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954" w:rsidRDefault="000A0954">
      <w:pPr>
        <w:spacing w:after="0" w:line="220" w:lineRule="atLeast"/>
        <w:jc w:val="center"/>
        <w:rPr>
          <w:rFonts w:ascii="黑体" w:eastAsia="黑体" w:hAnsi="黑体"/>
          <w:b/>
          <w:sz w:val="44"/>
          <w:szCs w:val="44"/>
        </w:rPr>
      </w:pPr>
    </w:p>
    <w:p w:rsidR="000A0954" w:rsidRDefault="00865B77">
      <w:pPr>
        <w:tabs>
          <w:tab w:val="left" w:pos="1020"/>
        </w:tabs>
        <w:spacing w:after="0" w:line="560" w:lineRule="exact"/>
        <w:ind w:firstLine="629"/>
        <w:jc w:val="center"/>
        <w:rPr>
          <w:rFonts w:ascii="仿宋_GB2312" w:eastAsia="仿宋_GB2312" w:hAnsi="黑体"/>
          <w:b/>
          <w:bCs/>
          <w:sz w:val="36"/>
          <w:szCs w:val="36"/>
        </w:rPr>
      </w:pPr>
      <w:r>
        <w:rPr>
          <w:rFonts w:ascii="仿宋_GB2312" w:eastAsia="仿宋_GB2312" w:hAnsi="黑体" w:hint="eastAsia"/>
          <w:b/>
          <w:bCs/>
          <w:sz w:val="36"/>
          <w:szCs w:val="36"/>
        </w:rPr>
        <w:t>2018年预算</w:t>
      </w:r>
      <w:r w:rsidR="00883ECD">
        <w:rPr>
          <w:rFonts w:ascii="仿宋_GB2312" w:eastAsia="仿宋_GB2312" w:hAnsi="黑体" w:hint="eastAsia"/>
          <w:b/>
          <w:bCs/>
          <w:sz w:val="36"/>
          <w:szCs w:val="36"/>
        </w:rPr>
        <w:t>绩效工作开展情况说明</w:t>
      </w:r>
    </w:p>
    <w:p w:rsidR="000A0954" w:rsidRDefault="00883ECD">
      <w:pPr>
        <w:tabs>
          <w:tab w:val="left" w:pos="1020"/>
        </w:tabs>
        <w:spacing w:after="0" w:line="500" w:lineRule="exact"/>
        <w:ind w:firstLineChars="200" w:firstLine="640"/>
        <w:jc w:val="both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依据《中华人民共和国预算法》的相关规定，按照自治区、地区有关预算绩效管理工作要求，疏附县财政局结合自身的实际情况对2018年本级财政预算绩效中所有项目进行了绩效考核，通过客观公正地考核绩效目标的实现程度，提高了预算绩效考核的准确性和有效性。</w:t>
      </w:r>
    </w:p>
    <w:p w:rsidR="000A0954" w:rsidRDefault="00883ECD">
      <w:pPr>
        <w:tabs>
          <w:tab w:val="left" w:pos="1020"/>
        </w:tabs>
        <w:spacing w:after="0" w:line="500" w:lineRule="exact"/>
        <w:ind w:firstLineChars="200" w:firstLine="640"/>
        <w:jc w:val="both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2018年共对疏附县本级65个部门开展了预算绩效考核工作。其中：一般公共服务类项目涉及资金</w:t>
      </w:r>
      <w:r>
        <w:rPr>
          <w:rFonts w:ascii="仿宋_GB2312" w:eastAsia="仿宋_GB2312" w:hAnsi="黑体"/>
          <w:sz w:val="32"/>
          <w:szCs w:val="32"/>
        </w:rPr>
        <w:t>32883.37</w:t>
      </w:r>
      <w:r>
        <w:rPr>
          <w:rFonts w:ascii="仿宋_GB2312" w:eastAsia="仿宋_GB2312" w:hAnsi="黑体" w:hint="eastAsia"/>
          <w:sz w:val="32"/>
          <w:szCs w:val="32"/>
        </w:rPr>
        <w:t>万元；国防类涉及资金11.2万元；公共安全类项目涉及资金</w:t>
      </w:r>
      <w:r>
        <w:rPr>
          <w:rFonts w:ascii="仿宋_GB2312" w:eastAsia="仿宋_GB2312" w:hAnsi="黑体"/>
          <w:sz w:val="32"/>
          <w:szCs w:val="32"/>
        </w:rPr>
        <w:t>43426</w:t>
      </w:r>
      <w:r>
        <w:rPr>
          <w:rFonts w:ascii="仿宋_GB2312" w:eastAsia="仿宋_GB2312" w:hAnsi="黑体" w:hint="eastAsia"/>
          <w:sz w:val="32"/>
          <w:szCs w:val="32"/>
        </w:rPr>
        <w:t>.</w:t>
      </w:r>
      <w:r>
        <w:rPr>
          <w:rFonts w:ascii="仿宋_GB2312" w:eastAsia="仿宋_GB2312" w:hAnsi="黑体"/>
          <w:sz w:val="32"/>
          <w:szCs w:val="32"/>
        </w:rPr>
        <w:t>88</w:t>
      </w:r>
      <w:r>
        <w:rPr>
          <w:rFonts w:ascii="仿宋_GB2312" w:eastAsia="仿宋_GB2312" w:hAnsi="黑体" w:hint="eastAsia"/>
          <w:sz w:val="32"/>
          <w:szCs w:val="32"/>
        </w:rPr>
        <w:t>万元；教育类项目涉及资金</w:t>
      </w:r>
      <w:r>
        <w:rPr>
          <w:rFonts w:ascii="仿宋_GB2312" w:eastAsia="仿宋_GB2312" w:hAnsi="黑体"/>
          <w:sz w:val="32"/>
          <w:szCs w:val="32"/>
        </w:rPr>
        <w:t>49222</w:t>
      </w:r>
      <w:r>
        <w:rPr>
          <w:rFonts w:ascii="仿宋_GB2312" w:eastAsia="仿宋_GB2312" w:hAnsi="黑体" w:hint="eastAsia"/>
          <w:sz w:val="32"/>
          <w:szCs w:val="32"/>
        </w:rPr>
        <w:t>.</w:t>
      </w:r>
      <w:r>
        <w:rPr>
          <w:rFonts w:ascii="仿宋_GB2312" w:eastAsia="仿宋_GB2312" w:hAnsi="黑体"/>
          <w:sz w:val="32"/>
          <w:szCs w:val="32"/>
        </w:rPr>
        <w:t>01</w:t>
      </w:r>
      <w:r>
        <w:rPr>
          <w:rFonts w:ascii="仿宋_GB2312" w:eastAsia="仿宋_GB2312" w:hAnsi="黑体" w:hint="eastAsia"/>
          <w:sz w:val="32"/>
          <w:szCs w:val="32"/>
        </w:rPr>
        <w:t>万元；科学技术类项目涉及资金113.69万元；文化体育与传媒类项目涉及资金1227万元；社会保障和就业类项目涉及资金28207.38万元；医疗卫生类项目涉及资金27264.53万元；节能环保类项目涉及资金5989.83万元；城乡社区类项目涉及资金4277.89万元；农林水类项目涉及资金80943.74万元；交通运输类项目涉及资金6932.91万元；资源勘探信息类项目涉及资金949.67万元；商业服务业类项目涉及资金945.69万元；援助其他地区类项目涉及资金31397.76万元；国土海洋气象类项目涉及资金1917.76万元；住房保障类项目涉及资金31938.35万元；粮油物资储备类项目涉及资金84.1万元；其他项目涉及资金4359.34万元；债务付息涉及资金1092.84万元。</w:t>
      </w:r>
    </w:p>
    <w:p w:rsidR="000A0954" w:rsidRDefault="00883ECD">
      <w:pPr>
        <w:tabs>
          <w:tab w:val="left" w:pos="1020"/>
        </w:tabs>
        <w:spacing w:after="0" w:line="500" w:lineRule="exact"/>
        <w:ind w:firstLineChars="200" w:firstLine="640"/>
        <w:jc w:val="both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通过对财政绩效结果的考核取得的成效：</w:t>
      </w:r>
      <w:bookmarkStart w:id="0" w:name="_GoBack"/>
      <w:bookmarkEnd w:id="0"/>
      <w:r>
        <w:rPr>
          <w:rFonts w:ascii="仿宋_GB2312" w:eastAsia="仿宋_GB2312" w:hAnsi="黑体" w:hint="eastAsia"/>
          <w:sz w:val="32"/>
          <w:szCs w:val="32"/>
        </w:rPr>
        <w:t>一是增强了财政收支绩效管理理念，促进财政资金分配和使用更加科学有效，提高财政资金使用效益和效率；二是强化绩效考核结果的运用，将预算绩效考核结果作为下一年度预算编</w:t>
      </w:r>
      <w:r>
        <w:rPr>
          <w:rFonts w:ascii="仿宋_GB2312" w:eastAsia="仿宋_GB2312" w:hAnsi="黑体" w:hint="eastAsia"/>
          <w:sz w:val="32"/>
          <w:szCs w:val="32"/>
        </w:rPr>
        <w:lastRenderedPageBreak/>
        <w:t>制的参考依据，将部门预算编制和预算绩效管理相结合，使预算绩效管理和预算编制更加规范化！</w:t>
      </w:r>
    </w:p>
    <w:p w:rsidR="000A0954" w:rsidRDefault="00883ECD">
      <w:pPr>
        <w:tabs>
          <w:tab w:val="left" w:pos="1020"/>
        </w:tabs>
        <w:spacing w:after="0" w:line="500" w:lineRule="exact"/>
        <w:ind w:firstLineChars="200" w:firstLine="640"/>
        <w:jc w:val="both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下一步工作计划：</w:t>
      </w:r>
    </w:p>
    <w:p w:rsidR="000A0954" w:rsidRDefault="00883ECD">
      <w:pPr>
        <w:tabs>
          <w:tab w:val="left" w:pos="1020"/>
        </w:tabs>
        <w:spacing w:after="0" w:line="500" w:lineRule="exact"/>
        <w:ind w:firstLineChars="200" w:firstLine="640"/>
        <w:jc w:val="center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疏附县将把预算绩效管理理念和方法深度融入到预算编制、执行和监督全过程，持续深入推进财政资金全过程绩效管理。一是强化绩效理念，深入推进评价工作。进一步强化各部门绩效管理理念，将“要我评价”的被动认识转化为“我要评价”的主动实践，把财政绩效评价作为转变政府职能、深化财政改革、促进科学理财的重要工作来抓细抓实，健全完善制度办法，切实加强组织领导，深入推进评价工作，提升整体绩效管理水平。二是强化事前准备，提升评价质量。在推进自身评价工作开展时，结合评价工作实际，完善项目（部门、单位）评价特性指标，规范评价标准、立足管理需求、预设评价重点，确保绩效评价结果公正、客观、精准，做到评价结果客观公正、实事求是，真实反映绩效，如实反映问题，切实提高评价质量。三是抓好绩效目标总源头，将按照全县绩效目标体系抓好各项工作落实，建立绩效目标管理机制。今后，所有新申报的项目，入库申报时必须同步编制绩效目标，行业主管部门和财政、扶贫等部门将持续审核绩效目标，绩效目标不明确不细化量化的，将不予立项和安排预算。四是加强绩效执行监控，有关行业管理部门和乡镇要建立项目资金绩效目标执行监控机制，适时开展绩效执行情况抽查，确保项目支出进度和绩效目标有效执行。五是强化结果应用，巩固评价成效。在进一步严格问题整改落实，加强评价结果与县级预算安排挂钩的工作力度的基础上，试点评价结</w:t>
      </w:r>
      <w:r>
        <w:rPr>
          <w:rFonts w:ascii="仿宋_GB2312" w:eastAsia="仿宋_GB2312" w:hAnsi="黑体" w:hint="eastAsia"/>
          <w:sz w:val="32"/>
          <w:szCs w:val="32"/>
        </w:rPr>
        <w:lastRenderedPageBreak/>
        <w:t>果公开。按照“谁评价、谁公开”的原则，由主管部门将部门自评报告向社会公开，接受公众监督。</w:t>
      </w:r>
    </w:p>
    <w:p w:rsidR="000A0954" w:rsidRDefault="000A0954">
      <w:pPr>
        <w:tabs>
          <w:tab w:val="left" w:pos="1020"/>
        </w:tabs>
        <w:spacing w:after="0" w:line="500" w:lineRule="exact"/>
        <w:ind w:firstLineChars="200" w:firstLine="640"/>
        <w:jc w:val="center"/>
        <w:rPr>
          <w:rFonts w:ascii="仿宋_GB2312" w:eastAsia="仿宋_GB2312" w:hAnsi="黑体"/>
          <w:sz w:val="32"/>
          <w:szCs w:val="32"/>
        </w:rPr>
      </w:pPr>
    </w:p>
    <w:p w:rsidR="000A0954" w:rsidRDefault="00883ECD">
      <w:pPr>
        <w:tabs>
          <w:tab w:val="left" w:pos="1020"/>
        </w:tabs>
        <w:spacing w:after="0" w:line="500" w:lineRule="exact"/>
        <w:ind w:firstLineChars="200" w:firstLine="640"/>
        <w:jc w:val="center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 xml:space="preserve">         疏附县财政局</w:t>
      </w:r>
    </w:p>
    <w:sectPr w:rsidR="000A0954" w:rsidSect="000A0954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0048" w:rsidRDefault="00660048" w:rsidP="00317ECA">
      <w:pPr>
        <w:spacing w:after="0"/>
      </w:pPr>
      <w:r>
        <w:separator/>
      </w:r>
    </w:p>
  </w:endnote>
  <w:endnote w:type="continuationSeparator" w:id="1">
    <w:p w:rsidR="00660048" w:rsidRDefault="00660048" w:rsidP="00317EC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0048" w:rsidRDefault="00660048" w:rsidP="00317ECA">
      <w:pPr>
        <w:spacing w:after="0"/>
      </w:pPr>
      <w:r>
        <w:separator/>
      </w:r>
    </w:p>
  </w:footnote>
  <w:footnote w:type="continuationSeparator" w:id="1">
    <w:p w:rsidR="00660048" w:rsidRDefault="00660048" w:rsidP="00317EC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720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0222F0"/>
    <w:rsid w:val="00065980"/>
    <w:rsid w:val="000A0954"/>
    <w:rsid w:val="000B44A5"/>
    <w:rsid w:val="000C2675"/>
    <w:rsid w:val="000C5544"/>
    <w:rsid w:val="000D2A3D"/>
    <w:rsid w:val="001149B4"/>
    <w:rsid w:val="00152C86"/>
    <w:rsid w:val="00157B63"/>
    <w:rsid w:val="001B1B7A"/>
    <w:rsid w:val="001F379F"/>
    <w:rsid w:val="001F446E"/>
    <w:rsid w:val="00203CC8"/>
    <w:rsid w:val="002042C5"/>
    <w:rsid w:val="002309C6"/>
    <w:rsid w:val="00252072"/>
    <w:rsid w:val="002701A4"/>
    <w:rsid w:val="002C3DCA"/>
    <w:rsid w:val="002F7878"/>
    <w:rsid w:val="00307F5B"/>
    <w:rsid w:val="00317ECA"/>
    <w:rsid w:val="00323B43"/>
    <w:rsid w:val="00327EDD"/>
    <w:rsid w:val="00347B13"/>
    <w:rsid w:val="0038155D"/>
    <w:rsid w:val="00391275"/>
    <w:rsid w:val="003D0F20"/>
    <w:rsid w:val="003D247A"/>
    <w:rsid w:val="003D37D8"/>
    <w:rsid w:val="004000B9"/>
    <w:rsid w:val="00426133"/>
    <w:rsid w:val="004358AB"/>
    <w:rsid w:val="0045615C"/>
    <w:rsid w:val="00482525"/>
    <w:rsid w:val="004B496D"/>
    <w:rsid w:val="004C3AF0"/>
    <w:rsid w:val="005D267A"/>
    <w:rsid w:val="005E79D2"/>
    <w:rsid w:val="005F6FE8"/>
    <w:rsid w:val="005F7477"/>
    <w:rsid w:val="00605809"/>
    <w:rsid w:val="006069B4"/>
    <w:rsid w:val="006457C2"/>
    <w:rsid w:val="00660048"/>
    <w:rsid w:val="00663DB9"/>
    <w:rsid w:val="00676A29"/>
    <w:rsid w:val="00694337"/>
    <w:rsid w:val="00694DB2"/>
    <w:rsid w:val="006A3D8B"/>
    <w:rsid w:val="006F5B08"/>
    <w:rsid w:val="00731E62"/>
    <w:rsid w:val="0073205C"/>
    <w:rsid w:val="00756814"/>
    <w:rsid w:val="007720AC"/>
    <w:rsid w:val="007834D9"/>
    <w:rsid w:val="00783B8C"/>
    <w:rsid w:val="0079096C"/>
    <w:rsid w:val="007924DF"/>
    <w:rsid w:val="007A3C24"/>
    <w:rsid w:val="007A3C7D"/>
    <w:rsid w:val="007E3652"/>
    <w:rsid w:val="007E607F"/>
    <w:rsid w:val="00865B77"/>
    <w:rsid w:val="00883ECD"/>
    <w:rsid w:val="008B7726"/>
    <w:rsid w:val="008F6054"/>
    <w:rsid w:val="008F7491"/>
    <w:rsid w:val="00900AE5"/>
    <w:rsid w:val="00934BA1"/>
    <w:rsid w:val="009A058F"/>
    <w:rsid w:val="009E5F53"/>
    <w:rsid w:val="009F4B41"/>
    <w:rsid w:val="00A016F7"/>
    <w:rsid w:val="00A1728D"/>
    <w:rsid w:val="00AC30E1"/>
    <w:rsid w:val="00AE3B29"/>
    <w:rsid w:val="00AF0796"/>
    <w:rsid w:val="00AF7562"/>
    <w:rsid w:val="00B03BE8"/>
    <w:rsid w:val="00B104BF"/>
    <w:rsid w:val="00B5316F"/>
    <w:rsid w:val="00B8368E"/>
    <w:rsid w:val="00BA3840"/>
    <w:rsid w:val="00BD0F3E"/>
    <w:rsid w:val="00C15AF0"/>
    <w:rsid w:val="00C64164"/>
    <w:rsid w:val="00CF0410"/>
    <w:rsid w:val="00D111F8"/>
    <w:rsid w:val="00D31D50"/>
    <w:rsid w:val="00D53E7E"/>
    <w:rsid w:val="00D66065"/>
    <w:rsid w:val="00DE4410"/>
    <w:rsid w:val="00E05AFB"/>
    <w:rsid w:val="00E1578B"/>
    <w:rsid w:val="00E234CD"/>
    <w:rsid w:val="00E26650"/>
    <w:rsid w:val="00E45973"/>
    <w:rsid w:val="00E91A66"/>
    <w:rsid w:val="00EC150B"/>
    <w:rsid w:val="00EF7EE6"/>
    <w:rsid w:val="00F538F5"/>
    <w:rsid w:val="00FC5F8E"/>
    <w:rsid w:val="00FD12A7"/>
    <w:rsid w:val="00FD4113"/>
    <w:rsid w:val="00FF28A2"/>
    <w:rsid w:val="01F67C07"/>
    <w:rsid w:val="04291A89"/>
    <w:rsid w:val="0B2445D9"/>
    <w:rsid w:val="0F2423FC"/>
    <w:rsid w:val="0F7A6BC5"/>
    <w:rsid w:val="10F669CC"/>
    <w:rsid w:val="176C3F69"/>
    <w:rsid w:val="243416FA"/>
    <w:rsid w:val="36C66866"/>
    <w:rsid w:val="4B974509"/>
    <w:rsid w:val="5148101A"/>
    <w:rsid w:val="5752350F"/>
    <w:rsid w:val="57BD5DA2"/>
    <w:rsid w:val="5C970F6F"/>
    <w:rsid w:val="62D6248D"/>
    <w:rsid w:val="682D7516"/>
    <w:rsid w:val="7BC132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954"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0A0954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0A095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qFormat/>
    <w:rsid w:val="000A095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List Paragraph"/>
    <w:basedOn w:val="a"/>
    <w:uiPriority w:val="34"/>
    <w:qFormat/>
    <w:rsid w:val="000A0954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sid w:val="000A0954"/>
    <w:rPr>
      <w:rFonts w:ascii="Tahoma" w:hAnsi="Tahoma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0A0954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206</Words>
  <Characters>1175</Characters>
  <Application>Microsoft Office Word</Application>
  <DocSecurity>0</DocSecurity>
  <Lines>9</Lines>
  <Paragraphs>2</Paragraphs>
  <ScaleCrop>false</ScaleCrop>
  <Company>Microsoft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81</cp:revision>
  <cp:lastPrinted>2019-02-01T02:52:00Z</cp:lastPrinted>
  <dcterms:created xsi:type="dcterms:W3CDTF">2008-09-11T17:20:00Z</dcterms:created>
  <dcterms:modified xsi:type="dcterms:W3CDTF">2021-06-15T02:15:00Z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