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560" w:lineRule="exact"/>
        <w:jc w:val="both"/>
        <w:rPr>
          <w:rFonts w:hint="eastAsia" w:ascii="方正楷体_GBK" w:hAnsi="方正楷体_GBK" w:eastAsia="方正楷体_GBK" w:cs="方正楷体_GBK"/>
          <w:bCs/>
          <w:spacing w:val="0"/>
          <w:sz w:val="28"/>
          <w:szCs w:val="28"/>
          <w:highlight w:val="none"/>
          <w:u w:val="none"/>
          <w:lang w:eastAsia="zh-CN"/>
        </w:rPr>
      </w:pPr>
      <w:r>
        <w:rPr>
          <w:rFonts w:hint="eastAsia" w:ascii="方正楷体_GBK" w:hAnsi="方正楷体_GBK" w:eastAsia="方正楷体_GBK" w:cs="方正楷体_GBK"/>
          <w:bCs/>
          <w:spacing w:val="0"/>
          <w:sz w:val="28"/>
          <w:szCs w:val="28"/>
          <w:highlight w:val="none"/>
          <w:u w:val="none"/>
        </w:rPr>
        <w:t>疏附县</w:t>
      </w:r>
      <w:r>
        <w:rPr>
          <w:rFonts w:hint="eastAsia" w:ascii="方正楷体_GBK" w:hAnsi="方正楷体_GBK" w:eastAsia="方正楷体_GBK" w:cs="方正楷体_GBK"/>
          <w:bCs/>
          <w:spacing w:val="0"/>
          <w:sz w:val="28"/>
          <w:szCs w:val="28"/>
          <w:highlight w:val="none"/>
          <w:u w:val="none"/>
          <w:lang w:eastAsia="zh-CN"/>
        </w:rPr>
        <w:t>第</w:t>
      </w:r>
      <w:r>
        <w:rPr>
          <w:rFonts w:hint="eastAsia" w:ascii="方正楷体_GBK" w:hAnsi="方正楷体_GBK" w:eastAsia="方正楷体_GBK" w:cs="方正楷体_GBK"/>
          <w:bCs/>
          <w:spacing w:val="0"/>
          <w:sz w:val="28"/>
          <w:szCs w:val="28"/>
          <w:highlight w:val="none"/>
          <w:u w:val="none"/>
        </w:rPr>
        <w:t>十七届人大第二次</w:t>
      </w:r>
      <w:r>
        <w:rPr>
          <w:rFonts w:hint="eastAsia" w:ascii="方正楷体_GBK" w:hAnsi="方正楷体_GBK" w:eastAsia="方正楷体_GBK" w:cs="方正楷体_GBK"/>
          <w:bCs/>
          <w:spacing w:val="0"/>
          <w:sz w:val="28"/>
          <w:szCs w:val="28"/>
          <w:highlight w:val="none"/>
          <w:u w:val="none"/>
          <w:lang w:val="en-US" w:eastAsia="zh-CN"/>
        </w:rPr>
        <w:t xml:space="preserve">                            </w:t>
      </w:r>
    </w:p>
    <w:p>
      <w:pPr>
        <w:pBdr>
          <w:top w:val="none" w:color="auto" w:sz="0" w:space="1"/>
          <w:left w:val="none" w:color="auto" w:sz="0" w:space="4"/>
          <w:bottom w:val="none" w:color="auto" w:sz="0" w:space="1"/>
          <w:right w:val="none" w:color="auto" w:sz="0" w:space="4"/>
        </w:pBdr>
        <w:spacing w:line="560" w:lineRule="exact"/>
        <w:jc w:val="both"/>
        <w:rPr>
          <w:rFonts w:hint="eastAsia" w:ascii="方正楷体_GBK" w:hAnsi="方正楷体_GBK" w:eastAsia="方正楷体_GBK" w:cs="方正楷体_GBK"/>
          <w:bCs/>
          <w:spacing w:val="0"/>
          <w:sz w:val="28"/>
          <w:szCs w:val="28"/>
          <w:highlight w:val="none"/>
          <w:u w:val="none"/>
          <w:lang w:eastAsia="zh-CN"/>
        </w:rPr>
      </w:pPr>
      <w:r>
        <w:rPr>
          <w:rFonts w:hint="eastAsia" w:ascii="方正楷体_GBK" w:hAnsi="方正楷体_GBK" w:eastAsia="方正楷体_GBK" w:cs="方正楷体_GBK"/>
          <w:bCs/>
          <w:spacing w:val="0"/>
          <w:sz w:val="28"/>
          <w:szCs w:val="28"/>
          <w:highlight w:val="none"/>
          <w:u w:val="none"/>
        </w:rPr>
        <w:t>会</w:t>
      </w:r>
      <w:r>
        <w:rPr>
          <w:rFonts w:hint="eastAsia" w:ascii="方正楷体_GBK" w:hAnsi="方正楷体_GBK" w:eastAsia="方正楷体_GBK" w:cs="方正楷体_GBK"/>
          <w:bCs/>
          <w:spacing w:val="0"/>
          <w:sz w:val="28"/>
          <w:szCs w:val="28"/>
          <w:highlight w:val="none"/>
          <w:u w:val="none"/>
          <w:lang w:val="en-US" w:eastAsia="zh-CN"/>
        </w:rPr>
        <w:t xml:space="preserve"> </w:t>
      </w:r>
      <w:r>
        <w:rPr>
          <w:rFonts w:hint="eastAsia" w:ascii="方正楷体_GBK" w:hAnsi="方正楷体_GBK" w:eastAsia="方正楷体_GBK" w:cs="方正楷体_GBK"/>
          <w:bCs/>
          <w:spacing w:val="0"/>
          <w:sz w:val="28"/>
          <w:szCs w:val="28"/>
          <w:highlight w:val="none"/>
          <w:u w:val="none"/>
        </w:rPr>
        <w:t>议</w:t>
      </w:r>
      <w:r>
        <w:rPr>
          <w:rFonts w:hint="eastAsia" w:ascii="方正楷体_GBK" w:hAnsi="方正楷体_GBK" w:eastAsia="方正楷体_GBK" w:cs="方正楷体_GBK"/>
          <w:bCs/>
          <w:spacing w:val="0"/>
          <w:sz w:val="28"/>
          <w:szCs w:val="28"/>
          <w:highlight w:val="none"/>
          <w:u w:val="none"/>
          <w:lang w:val="en-US" w:eastAsia="zh-CN"/>
        </w:rPr>
        <w:t xml:space="preserve"> </w:t>
      </w:r>
      <w:r>
        <w:rPr>
          <w:rFonts w:hint="eastAsia" w:ascii="方正楷体_GBK" w:hAnsi="方正楷体_GBK" w:eastAsia="方正楷体_GBK" w:cs="方正楷体_GBK"/>
          <w:bCs/>
          <w:spacing w:val="0"/>
          <w:sz w:val="28"/>
          <w:szCs w:val="28"/>
          <w:highlight w:val="none"/>
          <w:u w:val="none"/>
        </w:rPr>
        <w:t>文</w:t>
      </w:r>
      <w:r>
        <w:rPr>
          <w:rFonts w:hint="eastAsia" w:ascii="方正楷体_GBK" w:hAnsi="方正楷体_GBK" w:eastAsia="方正楷体_GBK" w:cs="方正楷体_GBK"/>
          <w:bCs/>
          <w:spacing w:val="0"/>
          <w:sz w:val="28"/>
          <w:szCs w:val="28"/>
          <w:highlight w:val="none"/>
          <w:u w:val="none"/>
          <w:lang w:val="en-US" w:eastAsia="zh-CN"/>
        </w:rPr>
        <w:t xml:space="preserve"> </w:t>
      </w:r>
      <w:r>
        <w:rPr>
          <w:rFonts w:hint="eastAsia" w:ascii="方正楷体_GBK" w:hAnsi="方正楷体_GBK" w:eastAsia="方正楷体_GBK" w:cs="方正楷体_GBK"/>
          <w:bCs/>
          <w:spacing w:val="0"/>
          <w:sz w:val="28"/>
          <w:szCs w:val="28"/>
          <w:highlight w:val="none"/>
          <w:u w:val="none"/>
        </w:rPr>
        <w:t>件（</w:t>
      </w:r>
      <w:r>
        <w:rPr>
          <w:rFonts w:hint="eastAsia" w:ascii="方正楷体_GBK" w:hAnsi="方正楷体_GBK" w:eastAsia="方正楷体_GBK" w:cs="方正楷体_GBK"/>
          <w:bCs/>
          <w:spacing w:val="0"/>
          <w:sz w:val="28"/>
          <w:szCs w:val="28"/>
          <w:highlight w:val="none"/>
          <w:u w:val="none"/>
          <w:lang w:val="en-US" w:eastAsia="zh-CN"/>
        </w:rPr>
        <w:t>十六</w:t>
      </w:r>
      <w:r>
        <w:rPr>
          <w:rFonts w:hint="eastAsia" w:ascii="方正楷体_GBK" w:hAnsi="方正楷体_GBK" w:eastAsia="方正楷体_GBK" w:cs="方正楷体_GBK"/>
          <w:bCs/>
          <w:spacing w:val="0"/>
          <w:sz w:val="28"/>
          <w:szCs w:val="28"/>
          <w:highlight w:val="none"/>
          <w:u w:val="none"/>
        </w:rPr>
        <w:t>）</w:t>
      </w:r>
      <w:r>
        <w:rPr>
          <w:rFonts w:hint="eastAsia" w:ascii="方正楷体_GBK" w:hAnsi="方正楷体_GBK" w:eastAsia="方正楷体_GBK" w:cs="方正楷体_GBK"/>
          <w:bCs/>
          <w:spacing w:val="0"/>
          <w:sz w:val="28"/>
          <w:szCs w:val="28"/>
          <w:highlight w:val="none"/>
          <w:u w:val="none"/>
          <w:lang w:val="en-US" w:eastAsia="zh-CN"/>
        </w:rPr>
        <w:t xml:space="preserve">                                </w:t>
      </w:r>
      <w:bookmarkStart w:id="0" w:name="_GoBack"/>
      <w:bookmarkEnd w:id="0"/>
    </w:p>
    <w:p>
      <w:pPr>
        <w:pBdr>
          <w:top w:val="none" w:color="auto" w:sz="0" w:space="1"/>
          <w:left w:val="none" w:color="auto" w:sz="0" w:space="4"/>
          <w:bottom w:val="none" w:color="auto" w:sz="0" w:space="1"/>
          <w:right w:val="none" w:color="auto" w:sz="0" w:space="4"/>
        </w:pBdr>
        <w:spacing w:line="560" w:lineRule="exact"/>
        <w:jc w:val="both"/>
        <w:rPr>
          <w:rFonts w:ascii="仿宋" w:hAnsi="仿宋" w:eastAsia="仿宋"/>
          <w:szCs w:val="32"/>
          <w:highlight w:val="none"/>
          <w:u w:val="none"/>
        </w:rPr>
      </w:pPr>
    </w:p>
    <w:p>
      <w:pPr>
        <w:pBdr>
          <w:top w:val="none" w:color="auto" w:sz="0" w:space="1"/>
          <w:left w:val="none" w:color="auto" w:sz="0" w:space="4"/>
          <w:bottom w:val="none" w:color="auto" w:sz="0" w:space="1"/>
          <w:right w:val="none" w:color="auto" w:sz="0" w:space="4"/>
        </w:pBdr>
        <w:spacing w:line="560" w:lineRule="exact"/>
        <w:jc w:val="center"/>
        <w:rPr>
          <w:rFonts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z w:val="44"/>
          <w:szCs w:val="44"/>
          <w:highlight w:val="none"/>
          <w:u w:val="none"/>
        </w:rPr>
        <w:t>关于疏附县2021年国民经济和社会发展计划</w:t>
      </w:r>
    </w:p>
    <w:p>
      <w:pPr>
        <w:pBdr>
          <w:top w:val="none" w:color="auto" w:sz="0" w:space="1"/>
          <w:left w:val="none" w:color="auto" w:sz="0" w:space="4"/>
          <w:bottom w:val="none" w:color="auto" w:sz="0" w:space="1"/>
          <w:right w:val="none" w:color="auto" w:sz="0" w:space="4"/>
        </w:pBdr>
        <w:spacing w:line="560" w:lineRule="exact"/>
        <w:jc w:val="center"/>
        <w:rPr>
          <w:rFonts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z w:val="44"/>
          <w:szCs w:val="44"/>
          <w:highlight w:val="none"/>
          <w:u w:val="none"/>
        </w:rPr>
        <w:t>执行情况与2022年国民经济和</w:t>
      </w:r>
    </w:p>
    <w:p>
      <w:pPr>
        <w:pBdr>
          <w:top w:val="none" w:color="auto" w:sz="0" w:space="1"/>
          <w:left w:val="none" w:color="auto" w:sz="0" w:space="4"/>
          <w:bottom w:val="none" w:color="auto" w:sz="0" w:space="1"/>
          <w:right w:val="none" w:color="auto" w:sz="0" w:space="4"/>
        </w:pBdr>
        <w:spacing w:line="560" w:lineRule="exact"/>
        <w:jc w:val="center"/>
        <w:rPr>
          <w:rFonts w:ascii="方正楷体_GBK" w:hAnsi="方正楷体_GBK" w:eastAsia="方正楷体_GBK" w:cs="方正楷体_GBK"/>
          <w:b/>
          <w:bCs/>
          <w:spacing w:val="-6"/>
          <w:kern w:val="0"/>
          <w:szCs w:val="32"/>
          <w:highlight w:val="none"/>
          <w:u w:val="none"/>
        </w:rPr>
      </w:pPr>
      <w:r>
        <w:rPr>
          <w:rFonts w:hint="eastAsia" w:ascii="方正小标宋_GBK" w:hAnsi="方正小标宋_GBK" w:eastAsia="方正小标宋_GBK" w:cs="方正小标宋_GBK"/>
          <w:sz w:val="44"/>
          <w:szCs w:val="44"/>
          <w:highlight w:val="none"/>
          <w:u w:val="none"/>
        </w:rPr>
        <w:t>社会发展计划</w:t>
      </w:r>
      <w:r>
        <w:rPr>
          <w:rFonts w:hint="eastAsia" w:ascii="方正小标宋_GBK" w:hAnsi="方正小标宋_GBK" w:eastAsia="方正小标宋_GBK" w:cs="方正小标宋_GBK"/>
          <w:sz w:val="44"/>
          <w:szCs w:val="44"/>
          <w:highlight w:val="none"/>
          <w:u w:val="none"/>
          <w:lang w:eastAsia="zh-CN"/>
        </w:rPr>
        <w:t>（</w:t>
      </w:r>
      <w:r>
        <w:rPr>
          <w:rFonts w:hint="eastAsia" w:ascii="方正小标宋_GBK" w:hAnsi="方正小标宋_GBK" w:eastAsia="方正小标宋_GBK" w:cs="方正小标宋_GBK"/>
          <w:sz w:val="44"/>
          <w:szCs w:val="44"/>
          <w:highlight w:val="none"/>
          <w:u w:val="none"/>
        </w:rPr>
        <w:t>草案</w:t>
      </w:r>
      <w:r>
        <w:rPr>
          <w:rFonts w:hint="eastAsia" w:ascii="方正小标宋_GBK" w:hAnsi="方正小标宋_GBK" w:eastAsia="方正小标宋_GBK" w:cs="方正小标宋_GBK"/>
          <w:sz w:val="44"/>
          <w:szCs w:val="44"/>
          <w:highlight w:val="none"/>
          <w:u w:val="none"/>
          <w:lang w:eastAsia="zh-CN"/>
        </w:rPr>
        <w:t>）</w:t>
      </w:r>
      <w:r>
        <w:rPr>
          <w:rFonts w:hint="eastAsia" w:ascii="方正小标宋_GBK" w:hAnsi="方正小标宋_GBK" w:eastAsia="方正小标宋_GBK" w:cs="方正小标宋_GBK"/>
          <w:sz w:val="44"/>
          <w:szCs w:val="44"/>
          <w:highlight w:val="none"/>
          <w:u w:val="none"/>
        </w:rPr>
        <w:t>的报告</w:t>
      </w:r>
    </w:p>
    <w:p>
      <w:pPr>
        <w:pBdr>
          <w:top w:val="none" w:color="auto" w:sz="0" w:space="1"/>
          <w:left w:val="none" w:color="auto" w:sz="0" w:space="4"/>
          <w:bottom w:val="none" w:color="auto" w:sz="0" w:space="1"/>
          <w:right w:val="none" w:color="auto" w:sz="0" w:space="4"/>
        </w:pBdr>
        <w:spacing w:line="560" w:lineRule="exact"/>
        <w:jc w:val="center"/>
        <w:rPr>
          <w:rFonts w:ascii="方正楷体_GBK" w:hAnsi="方正楷体_GBK" w:eastAsia="方正楷体_GBK" w:cs="方正楷体_GBK"/>
          <w:b w:val="0"/>
          <w:bCs w:val="0"/>
          <w:szCs w:val="32"/>
          <w:highlight w:val="none"/>
          <w:u w:val="none"/>
        </w:rPr>
      </w:pPr>
      <w:r>
        <w:rPr>
          <w:rFonts w:hint="eastAsia" w:ascii="方正楷体_GBK" w:hAnsi="方正楷体_GBK" w:eastAsia="方正楷体_GBK" w:cs="方正楷体_GBK"/>
          <w:b w:val="0"/>
          <w:bCs w:val="0"/>
          <w:spacing w:val="-6"/>
          <w:kern w:val="0"/>
          <w:szCs w:val="32"/>
          <w:highlight w:val="none"/>
          <w:u w:val="none"/>
        </w:rPr>
        <w:t>--在疏附县第十七届人民代表大会第二次会议上</w:t>
      </w:r>
    </w:p>
    <w:p>
      <w:pPr>
        <w:pBdr>
          <w:top w:val="none" w:color="auto" w:sz="0" w:space="1"/>
          <w:left w:val="none" w:color="auto" w:sz="0" w:space="4"/>
          <w:bottom w:val="none" w:color="auto" w:sz="0" w:space="1"/>
          <w:right w:val="none" w:color="auto" w:sz="0" w:space="4"/>
        </w:pBdr>
        <w:spacing w:line="560" w:lineRule="exact"/>
        <w:jc w:val="center"/>
        <w:rPr>
          <w:rFonts w:ascii="方正楷体_GBK" w:hAnsi="方正楷体_GBK" w:eastAsia="方正楷体_GBK" w:cs="方正楷体_GBK"/>
          <w:b w:val="0"/>
          <w:bCs w:val="0"/>
          <w:szCs w:val="32"/>
          <w:highlight w:val="none"/>
          <w:u w:val="none"/>
        </w:rPr>
      </w:pPr>
      <w:r>
        <w:rPr>
          <w:rFonts w:hint="eastAsia" w:ascii="方正楷体_GBK" w:hAnsi="方正楷体_GBK" w:eastAsia="方正楷体_GBK" w:cs="方正楷体_GBK"/>
          <w:b w:val="0"/>
          <w:bCs w:val="0"/>
          <w:szCs w:val="32"/>
          <w:highlight w:val="none"/>
          <w:u w:val="none"/>
        </w:rPr>
        <w:t>疏附县发展和改革委员会</w:t>
      </w:r>
      <w:r>
        <w:rPr>
          <w:rFonts w:hint="eastAsia" w:ascii="方正楷体_GBK" w:hAnsi="方正楷体_GBK" w:eastAsia="方正楷体_GBK" w:cs="方正楷体_GBK"/>
          <w:b w:val="0"/>
          <w:bCs w:val="0"/>
          <w:szCs w:val="32"/>
          <w:highlight w:val="none"/>
          <w:u w:val="none"/>
          <w:lang w:val="en-US" w:eastAsia="zh-CN"/>
        </w:rPr>
        <w:t>党组副书记、</w:t>
      </w:r>
      <w:r>
        <w:rPr>
          <w:rFonts w:hint="eastAsia" w:ascii="方正楷体_GBK" w:hAnsi="方正楷体_GBK" w:eastAsia="方正楷体_GBK" w:cs="方正楷体_GBK"/>
          <w:b w:val="0"/>
          <w:bCs w:val="0"/>
          <w:szCs w:val="32"/>
          <w:highlight w:val="none"/>
          <w:u w:val="none"/>
        </w:rPr>
        <w:t>主任 王保军</w:t>
      </w:r>
    </w:p>
    <w:p>
      <w:pPr>
        <w:pBdr>
          <w:top w:val="none" w:color="auto" w:sz="0" w:space="1"/>
          <w:left w:val="none" w:color="auto" w:sz="0" w:space="4"/>
          <w:bottom w:val="none" w:color="auto" w:sz="0" w:space="1"/>
          <w:right w:val="none" w:color="auto" w:sz="0" w:space="4"/>
        </w:pBdr>
        <w:spacing w:line="560" w:lineRule="exact"/>
        <w:jc w:val="center"/>
        <w:rPr>
          <w:rFonts w:hint="eastAsia" w:ascii="方正仿宋_GBK" w:hAnsi="方正仿宋_GBK" w:eastAsia="方正楷体_GBK" w:cs="方正仿宋_GBK"/>
          <w:b w:val="0"/>
          <w:bCs w:val="0"/>
          <w:szCs w:val="32"/>
          <w:highlight w:val="none"/>
          <w:u w:val="none"/>
          <w:lang w:eastAsia="zh-CN"/>
        </w:rPr>
      </w:pPr>
      <w:r>
        <w:rPr>
          <w:rFonts w:hint="eastAsia" w:ascii="方正楷体_GBK" w:hAnsi="方正楷体_GBK" w:eastAsia="方正楷体_GBK" w:cs="方正楷体_GBK"/>
          <w:b w:val="0"/>
          <w:bCs w:val="0"/>
          <w:spacing w:val="-6"/>
          <w:kern w:val="0"/>
          <w:szCs w:val="32"/>
          <w:highlight w:val="none"/>
          <w:u w:val="none"/>
          <w:lang w:eastAsia="zh-CN"/>
        </w:rPr>
        <w:t>（</w:t>
      </w:r>
      <w:r>
        <w:rPr>
          <w:rFonts w:hint="eastAsia" w:ascii="方正楷体_GBK" w:hAnsi="方正楷体_GBK" w:eastAsia="方正楷体_GBK" w:cs="方正楷体_GBK"/>
          <w:b w:val="0"/>
          <w:bCs w:val="0"/>
          <w:spacing w:val="-6"/>
          <w:kern w:val="0"/>
          <w:szCs w:val="32"/>
          <w:highlight w:val="none"/>
          <w:u w:val="none"/>
        </w:rPr>
        <w:t>2022年2月2</w:t>
      </w:r>
      <w:r>
        <w:rPr>
          <w:rFonts w:hint="eastAsia" w:ascii="方正楷体_GBK" w:hAnsi="方正楷体_GBK" w:eastAsia="方正楷体_GBK" w:cs="方正楷体_GBK"/>
          <w:b w:val="0"/>
          <w:bCs w:val="0"/>
          <w:spacing w:val="-6"/>
          <w:kern w:val="0"/>
          <w:szCs w:val="32"/>
          <w:highlight w:val="none"/>
          <w:u w:val="none"/>
          <w:lang w:val="en-US" w:eastAsia="zh-CN"/>
        </w:rPr>
        <w:t>3</w:t>
      </w:r>
      <w:r>
        <w:rPr>
          <w:rFonts w:hint="eastAsia" w:ascii="方正楷体_GBK" w:hAnsi="方正楷体_GBK" w:eastAsia="方正楷体_GBK" w:cs="方正楷体_GBK"/>
          <w:b w:val="0"/>
          <w:bCs w:val="0"/>
          <w:spacing w:val="-6"/>
          <w:kern w:val="0"/>
          <w:szCs w:val="32"/>
          <w:highlight w:val="none"/>
          <w:u w:val="none"/>
        </w:rPr>
        <w:t>日</w:t>
      </w:r>
      <w:r>
        <w:rPr>
          <w:rFonts w:hint="eastAsia" w:ascii="方正楷体_GBK" w:hAnsi="方正楷体_GBK" w:eastAsia="方正楷体_GBK" w:cs="方正楷体_GBK"/>
          <w:b w:val="0"/>
          <w:bCs w:val="0"/>
          <w:spacing w:val="-6"/>
          <w:kern w:val="0"/>
          <w:szCs w:val="32"/>
          <w:highlight w:val="none"/>
          <w:u w:val="none"/>
          <w:lang w:eastAsia="zh-CN"/>
        </w:rPr>
        <w:t>）</w:t>
      </w:r>
    </w:p>
    <w:p>
      <w:pPr>
        <w:pBdr>
          <w:top w:val="none" w:color="auto" w:sz="0" w:space="1"/>
          <w:left w:val="none" w:color="auto" w:sz="0" w:space="4"/>
          <w:bottom w:val="none" w:color="auto" w:sz="0" w:space="1"/>
          <w:right w:val="none" w:color="auto" w:sz="0" w:space="4"/>
        </w:pBdr>
        <w:spacing w:line="560" w:lineRule="exact"/>
        <w:jc w:val="both"/>
        <w:rPr>
          <w:rFonts w:hint="eastAsia" w:ascii="方正仿宋_GBK" w:hAnsi="方正仿宋_GBK" w:cs="方正仿宋_GBK"/>
          <w:b/>
          <w:bCs/>
          <w:szCs w:val="32"/>
          <w:highlight w:val="none"/>
          <w:u w:val="none"/>
        </w:rPr>
      </w:pPr>
    </w:p>
    <w:p>
      <w:pPr>
        <w:pBdr>
          <w:top w:val="none" w:color="auto" w:sz="0" w:space="1"/>
          <w:left w:val="none" w:color="auto" w:sz="0" w:space="4"/>
          <w:bottom w:val="none" w:color="auto" w:sz="0" w:space="1"/>
          <w:right w:val="none" w:color="auto" w:sz="0" w:space="4"/>
        </w:pBdr>
        <w:spacing w:line="560" w:lineRule="exact"/>
        <w:jc w:val="both"/>
        <w:rPr>
          <w:rFonts w:hint="eastAsia" w:ascii="方正楷体_GBK" w:hAnsi="方正楷体_GBK" w:eastAsia="方正楷体_GBK" w:cs="方正楷体_GBK"/>
          <w:b/>
          <w:bCs/>
          <w:szCs w:val="32"/>
          <w:highlight w:val="none"/>
          <w:u w:val="none"/>
        </w:rPr>
      </w:pPr>
      <w:r>
        <w:rPr>
          <w:rFonts w:hint="eastAsia" w:ascii="方正楷体_GBK" w:hAnsi="方正楷体_GBK" w:eastAsia="方正楷体_GBK" w:cs="方正楷体_GBK"/>
          <w:b/>
          <w:bCs/>
          <w:szCs w:val="32"/>
          <w:highlight w:val="none"/>
          <w:u w:val="none"/>
        </w:rPr>
        <w:t>各位代表：</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szCs w:val="32"/>
          <w:highlight w:val="none"/>
          <w:u w:val="none"/>
        </w:rPr>
        <w:t>受县政府委托，我向大会书面报告疏附县2021年国民经济和社会发展计划执行情况与2022年国民经济和社会发展计划（草案），请予审议</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rPr>
        <w:t>并请各位政协委员和其他列席会议的同志提出意见。</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黑体_GBK" w:hAnsi="方正黑体_GBK" w:eastAsia="方正黑体_GBK" w:cs="方正黑体_GBK"/>
          <w:bCs/>
          <w:szCs w:val="32"/>
          <w:highlight w:val="none"/>
          <w:u w:val="none"/>
        </w:rPr>
      </w:pPr>
      <w:r>
        <w:rPr>
          <w:rFonts w:hint="eastAsia" w:ascii="方正黑体_GBK" w:hAnsi="方正黑体_GBK" w:eastAsia="方正黑体_GBK" w:cs="方正黑体_GBK"/>
          <w:bCs/>
          <w:szCs w:val="32"/>
          <w:highlight w:val="none"/>
          <w:u w:val="none"/>
        </w:rPr>
        <w:t>一、2021年国民经济和社会发展计划执行情况</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szCs w:val="32"/>
          <w:highlight w:val="none"/>
          <w:u w:val="none"/>
        </w:rPr>
        <w:t>2021年是中国共产党成立100周年，是“十四五”开局之年，也是全面建设社会主义现代化国家新征程开启之年。这一年，面对严峻复杂的形势和艰巨繁重的改革发展稳定任务，全县上下坚持以习近平新时代中国特色社会主义思想为指导，坚定捍卫“两个确立”、坚决做到“两个维护”，在县委的坚强领导下，在县人大、政协的监督和支持下，贯彻落实中央、自治区、地区的决策部署，认真落实县第十三次党代会精神，坚持稳中求进工作总基调，立足“两个统筹”，扎实做好“六稳”工作、全面落实“六保”任务，社会大局持续稳定、发展质量稳步提升、民生保障更有温度，全县经济总体稳中向好，实现了“十四五”良好开局。</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仿宋_GBK" w:hAnsi="方正仿宋_GBK" w:cs="方正仿宋_GBK"/>
          <w:szCs w:val="32"/>
          <w:highlight w:val="none"/>
          <w:u w:val="none"/>
        </w:rPr>
      </w:pPr>
      <w:r>
        <w:rPr>
          <w:rFonts w:hint="eastAsia" w:ascii="方正楷体_GBK" w:hAnsi="方正楷体_GBK" w:eastAsia="方正楷体_GBK" w:cs="方正楷体_GBK"/>
          <w:b/>
          <w:szCs w:val="32"/>
          <w:highlight w:val="none"/>
          <w:u w:val="none"/>
        </w:rPr>
        <w:t>（一）坚持求实效、稳增长，经济运行总体平稳。</w:t>
      </w:r>
      <w:r>
        <w:rPr>
          <w:rFonts w:hint="eastAsia" w:ascii="方正仿宋_GBK" w:hAnsi="方正仿宋_GBK" w:cs="方正仿宋_GBK"/>
          <w:szCs w:val="32"/>
          <w:highlight w:val="none"/>
          <w:u w:val="none"/>
        </w:rPr>
        <w:t>全年实现地区生产总值56.58亿元、增长7.3%；工业增加值完成4.28亿元，其中规模以上工业增加值1.01亿元，同比增长22.6%；一般公共预算收入完成2.47亿元，增长2.1%；固定资产投资完成23.62亿元，增长20.2%；社会消费品零售总额8.88亿元，增长3.5%；城乡居民人均可支配收入保持较快增长，增幅分别达到8.1%、9.7%，县域经济发展内生动力持续增强，质量效益整体向好。</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（二）坚持调结构、促转型，发展质效稳步提升</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现代农业稳中增效。</w:t>
      </w:r>
      <w:r>
        <w:rPr>
          <w:rFonts w:hint="eastAsia" w:ascii="方正仿宋_GBK" w:hAnsi="方正仿宋_GBK" w:cs="方正仿宋_GBK"/>
          <w:b/>
          <w:bCs/>
          <w:szCs w:val="32"/>
          <w:highlight w:val="none"/>
          <w:u w:val="none"/>
        </w:rPr>
        <w:t>现代农业产业体系建设加快。</w:t>
      </w:r>
      <w:r>
        <w:rPr>
          <w:rFonts w:hint="eastAsia" w:ascii="方正仿宋_GBK" w:hAnsi="方正仿宋_GBK" w:cs="方正仿宋_GBK"/>
          <w:szCs w:val="32"/>
          <w:highlight w:val="none"/>
          <w:u w:val="none"/>
        </w:rPr>
        <w:t>现代农业产业园区加快建设，粤港澳大湾区“菜篮子”生产基地迎来丰收，百万只肉羊、万头肉牛产业园有序推进，实现农林牧渔业总产值40.95亿元、同比增长22.19%。</w:t>
      </w:r>
      <w:r>
        <w:rPr>
          <w:rFonts w:hint="eastAsia" w:ascii="方正仿宋_GBK" w:hAnsi="方正仿宋_GBK" w:cs="方正仿宋_GBK"/>
          <w:b/>
          <w:bCs/>
          <w:szCs w:val="32"/>
          <w:highlight w:val="none"/>
          <w:u w:val="none"/>
        </w:rPr>
        <w:t>粮食安全保障能力加强。</w:t>
      </w:r>
      <w:r>
        <w:rPr>
          <w:rFonts w:hint="eastAsia" w:ascii="方正仿宋_GBK" w:hAnsi="方正仿宋_GBK" w:cs="方正仿宋_GBK"/>
          <w:szCs w:val="32"/>
          <w:highlight w:val="none"/>
          <w:u w:val="none"/>
        </w:rPr>
        <w:t>保障粮食种植面积，完成小麦种植33.15万亩。狠抓粮食生产综合技术落实，新增高标准农田11.4万亩。</w:t>
      </w:r>
      <w:r>
        <w:rPr>
          <w:rFonts w:hint="eastAsia" w:ascii="方正仿宋_GBK" w:hAnsi="方正仿宋_GBK" w:cs="方正仿宋_GBK"/>
          <w:b/>
          <w:bCs/>
          <w:szCs w:val="32"/>
          <w:highlight w:val="none"/>
          <w:u w:val="none"/>
        </w:rPr>
        <w:t>蔬菜生产基地建设加快。</w:t>
      </w:r>
      <w:r>
        <w:rPr>
          <w:rFonts w:hint="eastAsia" w:ascii="方正仿宋_GBK" w:hAnsi="方正仿宋_GBK" w:cs="方正仿宋_GBK"/>
          <w:szCs w:val="32"/>
          <w:highlight w:val="none"/>
          <w:u w:val="none"/>
        </w:rPr>
        <w:t>围绕马铃薯、萝卜、皮牙子、大蒜等4种蔬菜，打造42个蔬菜生产专业村，新增温棚8500座。持续抓好集中育苗，完成集中育苗1572万株</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lang w:val="en-US" w:eastAsia="zh-CN"/>
        </w:rPr>
        <w:t>庭院经济持续巩固，</w:t>
      </w:r>
      <w:r>
        <w:rPr>
          <w:rFonts w:hint="eastAsia" w:ascii="方正仿宋_GBK" w:hAnsi="方正仿宋_GBK" w:cs="方正仿宋_GBK"/>
          <w:szCs w:val="32"/>
          <w:highlight w:val="none"/>
          <w:u w:val="none"/>
        </w:rPr>
        <w:t>1.75万座庭院拱棚全部种植。</w:t>
      </w:r>
      <w:r>
        <w:rPr>
          <w:rFonts w:hint="eastAsia" w:ascii="方正仿宋_GBK" w:hAnsi="方正仿宋_GBK" w:cs="方正仿宋_GBK"/>
          <w:b/>
          <w:bCs/>
          <w:szCs w:val="32"/>
          <w:highlight w:val="none"/>
          <w:u w:val="none"/>
        </w:rPr>
        <w:t>林果提质增效加快推进。</w:t>
      </w:r>
      <w:r>
        <w:rPr>
          <w:rFonts w:hint="eastAsia" w:ascii="方正仿宋_GBK" w:hAnsi="方正仿宋_GBK" w:cs="方正仿宋_GBK"/>
          <w:szCs w:val="32"/>
          <w:highlight w:val="none"/>
          <w:u w:val="none"/>
        </w:rPr>
        <w:t>新定植林果2.15万亩、补植补造6.99万亩，完成嫁接大田果树120.14万株、苗圃嫁接175万株。疏附木亚格杏品牌荣获国家农产品地理标志认证。</w:t>
      </w:r>
      <w:r>
        <w:rPr>
          <w:rFonts w:hint="eastAsia" w:ascii="方正仿宋_GBK" w:hAnsi="方正仿宋_GBK" w:cs="方正仿宋_GBK"/>
          <w:b/>
          <w:bCs/>
          <w:szCs w:val="32"/>
          <w:highlight w:val="none"/>
          <w:u w:val="none"/>
        </w:rPr>
        <w:t>畜牧业养殖结构不断优化。</w:t>
      </w:r>
      <w:r>
        <w:rPr>
          <w:rFonts w:hint="eastAsia" w:ascii="方正仿宋_GBK" w:hAnsi="方正仿宋_GBK" w:cs="方正仿宋_GBK"/>
          <w:szCs w:val="32"/>
          <w:highlight w:val="none"/>
          <w:u w:val="none"/>
        </w:rPr>
        <w:t>新建养殖小区14个，完成家庭牧场建设148户，布拉克苏乡万头牛养殖小区完成棚圈主体建设。持续加强饲草料保障体系建设，打造饲草料地2.2万亩。抓好畜禽重大动物疫病防控，全年未发生重大动物疫情。</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工业经济强基增效。</w:t>
      </w:r>
      <w:r>
        <w:rPr>
          <w:rFonts w:hint="eastAsia" w:ascii="方正仿宋_GBK" w:hAnsi="方正仿宋_GBK" w:cs="方正仿宋_GBK"/>
          <w:b/>
          <w:bCs/>
          <w:szCs w:val="32"/>
          <w:highlight w:val="none"/>
          <w:u w:val="none"/>
        </w:rPr>
        <w:t>工业经济稳步增长。</w:t>
      </w:r>
      <w:r>
        <w:rPr>
          <w:rFonts w:hint="eastAsia" w:ascii="方正仿宋_GBK" w:hAnsi="方正仿宋_GBK" w:cs="方正仿宋_GBK"/>
          <w:szCs w:val="32"/>
          <w:highlight w:val="none"/>
          <w:u w:val="none"/>
        </w:rPr>
        <w:t>实现工业增加值4.28亿元、同比增长3.0%。13家</w:t>
      </w:r>
      <w:r>
        <w:rPr>
          <w:rFonts w:hint="eastAsia" w:ascii="方正仿宋_GBK" w:hAnsi="方正仿宋_GBK" w:cs="方正仿宋_GBK"/>
          <w:szCs w:val="32"/>
          <w:highlight w:val="none"/>
          <w:u w:val="none"/>
          <w:lang w:eastAsia="zh-CN"/>
        </w:rPr>
        <w:t>规上企业</w:t>
      </w:r>
      <w:r>
        <w:rPr>
          <w:rFonts w:hint="eastAsia" w:ascii="方正仿宋_GBK" w:hAnsi="方正仿宋_GBK" w:cs="方正仿宋_GBK"/>
          <w:szCs w:val="32"/>
          <w:highlight w:val="none"/>
          <w:u w:val="none"/>
        </w:rPr>
        <w:t>实现工业增加值1.01亿元、增长22.6%。</w:t>
      </w:r>
      <w:r>
        <w:rPr>
          <w:rFonts w:hint="eastAsia" w:ascii="方正仿宋_GBK" w:hAnsi="方正仿宋_GBK" w:cs="方正仿宋_GBK"/>
          <w:b/>
          <w:bCs/>
          <w:szCs w:val="32"/>
          <w:highlight w:val="none"/>
          <w:u w:val="none"/>
        </w:rPr>
        <w:t>园区经济实力不断加强。</w:t>
      </w:r>
      <w:r>
        <w:rPr>
          <w:rFonts w:hint="eastAsia" w:ascii="方正仿宋_GBK" w:hAnsi="方正仿宋_GBK" w:cs="方正仿宋_GBK"/>
          <w:szCs w:val="32"/>
          <w:highlight w:val="none"/>
          <w:u w:val="none"/>
        </w:rPr>
        <w:t>园区落地招商引资企业17家，总入驻企业达131家、完成工业总产值7.2亿元。飞地园区建设不断加快，成功引进金威利集团公司，确立了以制鞋为主导的产业发展思路。</w:t>
      </w:r>
      <w:r>
        <w:rPr>
          <w:rFonts w:hint="eastAsia" w:ascii="方正仿宋_GBK" w:hAnsi="方正仿宋_GBK" w:cs="方正仿宋_GBK"/>
          <w:b/>
          <w:bCs/>
          <w:szCs w:val="32"/>
          <w:highlight w:val="none"/>
          <w:u w:val="none"/>
        </w:rPr>
        <w:t>工业产业结构不断优化</w:t>
      </w:r>
      <w:r>
        <w:rPr>
          <w:rFonts w:hint="eastAsia" w:ascii="方正仿宋_GBK" w:hAnsi="方正仿宋_GBK" w:cs="方正仿宋_GBK"/>
          <w:szCs w:val="32"/>
          <w:highlight w:val="none"/>
          <w:u w:val="none"/>
        </w:rPr>
        <w:t>。大力推进纺织服装产业园标准化厂房建设，完成飞地园区（一期）2万平方米标准化厂房建设，推进22栋二期厂房开工建设，完成4万平方米农副产品加工产业园主体封顶，形成了以纺织服装、制鞋、农副产品加工和新型建材为主的工业经济体系。</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服务业经济快速复苏。</w:t>
      </w:r>
      <w:r>
        <w:rPr>
          <w:rFonts w:hint="eastAsia" w:ascii="方正仿宋_GBK" w:hAnsi="方正仿宋_GBK" w:cs="方正仿宋_GBK"/>
          <w:b/>
          <w:bCs/>
          <w:szCs w:val="32"/>
          <w:highlight w:val="none"/>
          <w:u w:val="none"/>
        </w:rPr>
        <w:t>商贸物流业发展水平不断提升。</w:t>
      </w:r>
      <w:r>
        <w:rPr>
          <w:rFonts w:hint="eastAsia" w:ascii="方正仿宋_GBK" w:hAnsi="方正仿宋_GBK" w:cs="方正仿宋_GBK"/>
          <w:szCs w:val="32"/>
          <w:highlight w:val="none"/>
          <w:u w:val="none"/>
        </w:rPr>
        <w:t>全疆占地面积最大的农贸市场建成投运，物流产业园扎实推进。</w:t>
      </w:r>
      <w:r>
        <w:rPr>
          <w:rFonts w:hint="eastAsia" w:ascii="方正仿宋_GBK" w:hAnsi="方正仿宋_GBK" w:cs="方正仿宋_GBK"/>
          <w:b/>
          <w:bCs/>
          <w:szCs w:val="32"/>
          <w:highlight w:val="none"/>
          <w:u w:val="none"/>
        </w:rPr>
        <w:t>特色食品产业不断发展壮大。</w:t>
      </w:r>
      <w:r>
        <w:rPr>
          <w:rFonts w:hint="eastAsia" w:ascii="方正仿宋_GBK" w:hAnsi="方正仿宋_GBK" w:cs="方正仿宋_GBK"/>
          <w:szCs w:val="32"/>
          <w:highlight w:val="none"/>
          <w:u w:val="none"/>
        </w:rPr>
        <w:t>持续</w:t>
      </w:r>
      <w:r>
        <w:rPr>
          <w:rFonts w:hint="eastAsia" w:ascii="方正仿宋_GBK" w:hAnsi="方正仿宋_GBK" w:cs="方正仿宋_GBK"/>
          <w:szCs w:val="32"/>
          <w:highlight w:val="none"/>
          <w:u w:val="none"/>
          <w:lang w:val="zh-CN"/>
        </w:rPr>
        <w:t>壮大馕产业</w:t>
      </w:r>
      <w:r>
        <w:rPr>
          <w:rFonts w:hint="eastAsia" w:ascii="方正仿宋_GBK" w:hAnsi="方正仿宋_GBK" w:cs="方正仿宋_GBK"/>
          <w:szCs w:val="32"/>
          <w:highlight w:val="none"/>
          <w:u w:val="none"/>
        </w:rPr>
        <w:t>发展</w:t>
      </w:r>
      <w:r>
        <w:rPr>
          <w:rFonts w:hint="eastAsia" w:ascii="方正仿宋_GBK" w:hAnsi="方正仿宋_GBK" w:cs="方正仿宋_GBK"/>
          <w:szCs w:val="32"/>
          <w:highlight w:val="none"/>
          <w:u w:val="none"/>
          <w:lang w:val="zh-CN"/>
        </w:rPr>
        <w:t>，日生产销售馕</w:t>
      </w:r>
      <w:r>
        <w:rPr>
          <w:rFonts w:hint="eastAsia" w:ascii="方正仿宋_GBK" w:hAnsi="方正仿宋_GBK" w:cs="方正仿宋_GBK"/>
          <w:szCs w:val="32"/>
          <w:highlight w:val="none"/>
          <w:u w:val="none"/>
        </w:rPr>
        <w:t>100</w:t>
      </w:r>
      <w:r>
        <w:rPr>
          <w:rFonts w:hint="eastAsia" w:ascii="方正仿宋_GBK" w:hAnsi="方正仿宋_GBK" w:cs="方正仿宋_GBK"/>
          <w:szCs w:val="32"/>
          <w:highlight w:val="none"/>
          <w:u w:val="none"/>
          <w:lang w:val="zh-CN"/>
        </w:rPr>
        <w:t>万个。</w:t>
      </w:r>
      <w:r>
        <w:rPr>
          <w:rFonts w:hint="eastAsia" w:ascii="方正仿宋_GBK" w:hAnsi="方正仿宋_GBK" w:cs="方正仿宋_GBK"/>
          <w:szCs w:val="32"/>
          <w:highlight w:val="none"/>
          <w:u w:val="none"/>
        </w:rPr>
        <w:t>设立200万元馕产业发展资金，成功研发冷冻馕坯40余种，累计疆外销售132万个。持续推进</w:t>
      </w:r>
      <w:r>
        <w:rPr>
          <w:rFonts w:hint="eastAsia" w:ascii="方正仿宋_GBK" w:hAnsi="方正仿宋_GBK" w:cs="方正仿宋_GBK"/>
          <w:szCs w:val="32"/>
          <w:highlight w:val="none"/>
          <w:u w:val="none"/>
          <w:lang w:val="zh-CN"/>
        </w:rPr>
        <w:t>以“喀什味道”为品牌的特色餐饮业健康发展。</w:t>
      </w:r>
      <w:r>
        <w:rPr>
          <w:rFonts w:hint="eastAsia" w:ascii="方正仿宋_GBK" w:hAnsi="方正仿宋_GBK" w:cs="方正仿宋_GBK"/>
          <w:b/>
          <w:bCs/>
          <w:szCs w:val="32"/>
          <w:highlight w:val="none"/>
          <w:u w:val="none"/>
        </w:rPr>
        <w:t>旅游兴疏战略深入实施。</w:t>
      </w:r>
      <w:r>
        <w:rPr>
          <w:rFonts w:hint="eastAsia" w:ascii="方正仿宋_GBK" w:hAnsi="方正仿宋_GBK" w:cs="方正仿宋_GBK"/>
          <w:szCs w:val="32"/>
          <w:highlight w:val="none"/>
          <w:u w:val="none"/>
        </w:rPr>
        <w:t>全力打造吾库萨克镇区域性旅游集散中心，规划建设乌帕尔镇特色文旅小镇，旅游发展水平持续增强。</w:t>
      </w:r>
      <w:r>
        <w:rPr>
          <w:rFonts w:hint="eastAsia" w:ascii="方正仿宋_GBK" w:hAnsi="方正仿宋_GBK" w:cs="方正仿宋_GBK"/>
          <w:b/>
          <w:bCs/>
          <w:szCs w:val="32"/>
          <w:highlight w:val="none"/>
          <w:u w:val="none"/>
        </w:rPr>
        <w:t>消费活力不断释放。</w:t>
      </w:r>
      <w:r>
        <w:rPr>
          <w:rFonts w:hint="eastAsia" w:ascii="方正仿宋_GBK" w:hAnsi="方正仿宋_GBK" w:cs="方正仿宋_GBK"/>
          <w:szCs w:val="32"/>
          <w:highlight w:val="none"/>
          <w:u w:val="none"/>
        </w:rPr>
        <w:t>努力盘活“夜市经济”，打造一个县级商业夜市步行街，39个乡镇乡村夜市，丰富广大人民群众消费市场。</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Times New Roman" w:hAnsi="Times New Roman" w:eastAsia="楷体_GB2312"/>
          <w:b/>
          <w:szCs w:val="32"/>
          <w:highlight w:val="none"/>
          <w:u w:val="none"/>
        </w:rPr>
      </w:pPr>
      <w:r>
        <w:rPr>
          <w:rFonts w:hint="eastAsia" w:ascii="方正楷体_GBK" w:hAnsi="方正楷体_GBK" w:eastAsia="方正楷体_GBK" w:cs="方正楷体_GBK"/>
          <w:b/>
          <w:szCs w:val="32"/>
          <w:highlight w:val="none"/>
          <w:u w:val="none"/>
        </w:rPr>
        <w:t>（三）坚持抓项目、促投资，发展后劲不断增强</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有效投入持续扩大。</w:t>
      </w:r>
      <w:r>
        <w:rPr>
          <w:rFonts w:hint="eastAsia" w:ascii="方正仿宋_GBK" w:hAnsi="方正仿宋_GBK" w:cs="方正仿宋_GBK"/>
          <w:szCs w:val="32"/>
          <w:highlight w:val="none"/>
          <w:u w:val="none"/>
        </w:rPr>
        <w:t>贯彻落实项目建设“十大机制”，4个续建项目顺利完工，46个投资规模500万元以上新建项目全部开工建设，储备项目开工7个、转化率达到58%，实现全社会固定资产投资23.62亿元，增幅达20.2%。</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投资后劲有效夯实。</w:t>
      </w:r>
      <w:r>
        <w:rPr>
          <w:rFonts w:hint="eastAsia" w:ascii="方正仿宋_GBK" w:hAnsi="方正仿宋_GBK" w:cs="方正仿宋_GBK"/>
          <w:kern w:val="0"/>
          <w:szCs w:val="32"/>
          <w:highlight w:val="none"/>
          <w:u w:val="none"/>
        </w:rPr>
        <w:t>全年争取中央、自治区预算内项目21个，到位资金1.76亿元；安排援疆资金6.09亿元，实施援疆项目24个；争取债券资金项目29个，到位债券资金5.9亿元，实现债券资金100%拨付。</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招商引资扎实开展。</w:t>
      </w:r>
      <w:r>
        <w:rPr>
          <w:rFonts w:hint="eastAsia" w:ascii="方正仿宋_GBK" w:hAnsi="方正仿宋_GBK" w:cs="方正仿宋_GBK"/>
          <w:szCs w:val="32"/>
          <w:highlight w:val="none"/>
          <w:u w:val="none"/>
        </w:rPr>
        <w:t>组建招商服务中心，积极开展驻点招商、小分队招商，实现到位资金总额11.73亿元，完成全年目标任务的119.25%，同比增长46.55%。完成茂雄农产品全产业加工、京东农场、松果安奇汽车制造及销售等项目签约，粤新怡祺</w:t>
      </w:r>
      <w:r>
        <w:rPr>
          <w:rFonts w:hint="eastAsia" w:ascii="方正仿宋_GBK" w:hAnsi="方正仿宋_GBK" w:cs="方正仿宋_GBK"/>
          <w:spacing w:val="6"/>
          <w:szCs w:val="32"/>
          <w:highlight w:val="none"/>
          <w:u w:val="none"/>
        </w:rPr>
        <w:t>纺织服装及玩具加工落地投产，红石榴制鞋产业园项目完成落户，大数据标注、中央厨房项目等项目基本达成合作意向。</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（四）坚持促改革、扩开放，市场活力持续释放</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重点改革扎实推进。</w:t>
      </w:r>
      <w:r>
        <w:rPr>
          <w:rFonts w:hint="eastAsia" w:ascii="方正仿宋_GBK" w:hAnsi="方正仿宋_GBK" w:cs="方正仿宋_GBK"/>
          <w:szCs w:val="32"/>
          <w:highlight w:val="none"/>
          <w:u w:val="none"/>
        </w:rPr>
        <w:t>国资国企改革持续深化，1+N国有公司全面建立，乡镇国有企业同步顺利推进。土地制度改革有序推进，农村承包耕地经营权流转总面积达3.56万亩。工程建设项目审批制度改革持续深化，10个部门、32个事项全面推行线上审批。教育、卫健、社保等领域改革有序推进。</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开发合作不断加强。</w:t>
      </w:r>
      <w:r>
        <w:rPr>
          <w:rFonts w:hint="eastAsia" w:ascii="方正仿宋_GBK" w:hAnsi="方正仿宋_GBK" w:cs="方正仿宋_GBK"/>
          <w:szCs w:val="32"/>
          <w:highlight w:val="none"/>
          <w:u w:val="none"/>
        </w:rPr>
        <w:t>持续融入“一市两县一区一镇”同城化发展，G314辅道建设扎实推进，一市两县道路绿化工程启动实施，G314线喀什过境公路（疏附段）顺利完成征地拆迁。兵地融合发展深入推进，与草湖在基础设施、就业、国土、教育等领域交流融合持续稳固。</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市场活力持续迸发。</w:t>
      </w:r>
      <w:r>
        <w:rPr>
          <w:rFonts w:hint="eastAsia" w:ascii="方正仿宋_GBK" w:hAnsi="方正仿宋_GBK" w:cs="方正仿宋_GBK"/>
          <w:szCs w:val="32"/>
          <w:highlight w:val="none"/>
          <w:u w:val="none"/>
        </w:rPr>
        <w:t>全面完成112项深化改革目标任务，“一杯水的温度”服务扎实推进，招商引资帮办代办包联机制进一步健全完善，完成各类帮办代办业务60件。做好登记注册“零纸张”“零跑路”服务，新增市场主体2985户。</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Times New Roman" w:hAnsi="Times New Roman" w:eastAsia="楷体_GB2312"/>
          <w:b/>
          <w:kern w:val="0"/>
          <w:szCs w:val="32"/>
          <w:highlight w:val="none"/>
          <w:u w:val="none"/>
        </w:rPr>
      </w:pPr>
      <w:r>
        <w:rPr>
          <w:rFonts w:hint="eastAsia" w:ascii="方正楷体_GBK" w:hAnsi="方正楷体_GBK" w:eastAsia="方正楷体_GBK" w:cs="方正楷体_GBK"/>
          <w:b/>
          <w:szCs w:val="32"/>
          <w:highlight w:val="none"/>
          <w:u w:val="none"/>
        </w:rPr>
        <w:t>（五）坚持抓治理、提品质，城乡面貌焕然一新</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精细化管理能力增强。</w:t>
      </w:r>
      <w:r>
        <w:rPr>
          <w:rFonts w:hint="eastAsia" w:ascii="方正仿宋_GBK" w:hAnsi="方正仿宋_GBK" w:cs="方正仿宋_GBK"/>
          <w:szCs w:val="32"/>
          <w:highlight w:val="none"/>
          <w:u w:val="none"/>
        </w:rPr>
        <w:t>城市更新行动加快，推进县城道路提升改造23公里，完成外立面提升13万平方米，完成飞线治理285条。“百项”社会乱象治理成效显著，拆除围墙6550米、违章建筑417户，清理城市牛皮癣6656处9790张，清理各类建筑垃圾10万余立方米。</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城市功能不断完善。</w:t>
      </w:r>
      <w:r>
        <w:rPr>
          <w:rFonts w:hint="eastAsia" w:ascii="方正仿宋_GBK" w:hAnsi="方正仿宋_GBK" w:cs="方正仿宋_GBK"/>
          <w:szCs w:val="32"/>
          <w:highlight w:val="none"/>
          <w:u w:val="none"/>
        </w:rPr>
        <w:t>不断补齐县城公共基础设施短板弱项，完成供水管网改造21.1公里</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rPr>
        <w:t>新增燃气管道4.6公里</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lang w:val="en-US" w:eastAsia="zh-CN"/>
        </w:rPr>
        <w:t>对</w:t>
      </w:r>
      <w:r>
        <w:rPr>
          <w:rFonts w:hint="eastAsia" w:ascii="方正仿宋_GBK" w:hAnsi="方正仿宋_GBK" w:cs="方正仿宋_GBK"/>
          <w:szCs w:val="32"/>
          <w:highlight w:val="none"/>
          <w:u w:val="none"/>
        </w:rPr>
        <w:t>22座换热站</w:t>
      </w:r>
      <w:r>
        <w:rPr>
          <w:rFonts w:hint="eastAsia" w:ascii="方正仿宋_GBK" w:hAnsi="方正仿宋_GBK" w:cs="方正仿宋_GBK"/>
          <w:szCs w:val="32"/>
          <w:highlight w:val="none"/>
          <w:u w:val="none"/>
          <w:lang w:val="en-US" w:eastAsia="zh-CN"/>
        </w:rPr>
        <w:t>进行</w:t>
      </w:r>
      <w:r>
        <w:rPr>
          <w:rFonts w:hint="eastAsia" w:ascii="方正仿宋_GBK" w:hAnsi="方正仿宋_GBK" w:cs="方正仿宋_GBK"/>
          <w:szCs w:val="32"/>
          <w:highlight w:val="none"/>
          <w:u w:val="none"/>
        </w:rPr>
        <w:t>设备保养。住房保障能力进一步提升，完成10个小区老旧小区改造、惠及群众426户，1000套公租房完成主体封顶，飞地园区300套公租房启动实施，432套保障性租赁住房完成过半，银桥·壹号公馆等12个房地产开发项目进展顺利。</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乡村振兴深入推进。</w:t>
      </w:r>
      <w:r>
        <w:rPr>
          <w:rFonts w:hint="eastAsia" w:ascii="方正仿宋_GBK" w:hAnsi="方正仿宋_GBK" w:cs="方正仿宋_GBK"/>
          <w:szCs w:val="32"/>
          <w:highlight w:val="none"/>
          <w:u w:val="none"/>
        </w:rPr>
        <w:t>县乡村振兴局正式揭牌成立。强化监测预警和动态帮扶工作，对5806户监测户制定帮扶措施台账，消除风险隐患。示范村创建初见成效。易地扶贫搬迁后续扶持进一步加强，投入675万元建设就业创业孵化基地、特色林果产业园和设施农业。乡村水、电、路等基础设施建设持续巩固，快递进村（社区）全面覆盖。</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生态环境整治提升。</w:t>
      </w:r>
      <w:r>
        <w:rPr>
          <w:rFonts w:hint="eastAsia" w:ascii="方正仿宋_GBK" w:hAnsi="方正仿宋_GBK" w:cs="方正仿宋_GBK"/>
          <w:szCs w:val="32"/>
          <w:highlight w:val="none"/>
          <w:u w:val="none"/>
        </w:rPr>
        <w:t>100万立方中水库运行良好，1.4万户煤改电工程全面完成，固体废物填埋场等项目顺利实施，托克扎克镇、兰干镇垃圾转运站竣工投入使用。人居环境整治加快推进，清理农村生活垃圾3605吨，整理林带757公里。扎实推进县城生态绿化建设，新增绿地面积18公顷，建成区绿化率达30.08%，成功创建自治区园林城市。完成“一市两县”城乡饮水、布拉克</w:t>
      </w:r>
      <w:r>
        <w:rPr>
          <w:rFonts w:hint="eastAsia" w:ascii="方正仿宋_GBK" w:hAnsi="方正仿宋_GBK" w:cs="方正仿宋_GBK"/>
          <w:spacing w:val="-6"/>
          <w:szCs w:val="32"/>
          <w:highlight w:val="none"/>
          <w:u w:val="none"/>
        </w:rPr>
        <w:t>苏、萨依巴格、塔什米里克乡巴仁桥水厂饮用水水源地保护区划定。</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（六）坚持补短板、惠民生，群众福祉日益提升</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就业质量不断提升。</w:t>
      </w:r>
      <w:r>
        <w:rPr>
          <w:rFonts w:hint="eastAsia" w:ascii="方正仿宋_GBK" w:hAnsi="方正仿宋_GBK" w:cs="方正仿宋_GBK"/>
          <w:szCs w:val="32"/>
          <w:highlight w:val="none"/>
          <w:u w:val="none"/>
        </w:rPr>
        <w:t>全面推进技工学校建设，大规模开展职业技能培训。广泛收集发布就业岗位，推送各类就业岗位3.5万余个。全年城镇新增就业5627人，完成全年目标任务5450人的103.25%；农村富余劳动力转移就业84632人次，完成全年目标任务7.5万人次的112.84%；城乡人均可支配收入分别达到28388元、10029元。</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教育事业加快发展。</w:t>
      </w:r>
      <w:r>
        <w:rPr>
          <w:rFonts w:hint="eastAsia" w:ascii="方正仿宋_GBK" w:hAnsi="方正仿宋_GBK" w:cs="方正仿宋_GBK"/>
          <w:szCs w:val="32"/>
          <w:highlight w:val="none"/>
          <w:u w:val="none"/>
        </w:rPr>
        <w:t>全面落实十五年免费教育政策，1.74万名幼儿享受学前教育免费政策，5.4万名学生享受义务教育营养改善计划，7520名高中生享受“三免一补”政策。持续加大贫困家庭大学生资助力度，发放资助金2651.4万元资助贫困家庭学生7715名。着力改善办学条件，改扩建学生食堂4所</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rPr>
        <w:t>新建运动场13座、托幼所1个</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rPr>
        <w:t>提升改造2所学校消防设施。</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全民健康工程深入实施。</w:t>
      </w:r>
      <w:r>
        <w:rPr>
          <w:rFonts w:hint="eastAsia" w:ascii="方正仿宋_GBK" w:hAnsi="方正仿宋_GBK" w:cs="方正仿宋_GBK"/>
          <w:szCs w:val="32"/>
          <w:highlight w:val="none"/>
          <w:u w:val="none"/>
        </w:rPr>
        <w:t>县人民医院南山楼、急救中心、传染病楼紧张施工，县人民医院发热门诊业务用房投入使用，留观隔离点项目启动实施，疫情防控药品物资储备库完成主体封顶，维吾尔医医院中药配置中心完成建设，健康疏附能力得到加强。新冠病毒疫苗接种有序推进，累计完成接种59.59万剂次疫苗。</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民生底线</w:t>
      </w:r>
      <w:r>
        <w:rPr>
          <w:rFonts w:hint="eastAsia" w:ascii="方正黑体_GBK" w:hAnsi="方正黑体_GBK" w:eastAsia="方正黑体_GBK" w:cs="方正黑体_GBK"/>
          <w:bCs/>
          <w:szCs w:val="32"/>
          <w:highlight w:val="none"/>
          <w:u w:val="none"/>
        </w:rPr>
        <w:fldChar w:fldCharType="begin"/>
      </w:r>
      <w:r>
        <w:rPr>
          <w:rFonts w:hint="eastAsia" w:ascii="方正黑体_GBK" w:hAnsi="方正黑体_GBK" w:eastAsia="方正黑体_GBK" w:cs="方正黑体_GBK"/>
          <w:bCs/>
          <w:szCs w:val="32"/>
          <w:highlight w:val="none"/>
          <w:u w:val="none"/>
        </w:rPr>
        <w:instrText xml:space="preserve"> HYPERLINK "http://www.baidu.com/link?url=GZSgFosP18qDM5riupiMNW1LVomYfZBIgxlzb9UV__87yEqw55RJuflyTMoWH4lbXR8skfld9BmpNxmu6GFvva" \t "https://www.baidu.com/_blank" </w:instrText>
      </w:r>
      <w:r>
        <w:rPr>
          <w:rFonts w:hint="eastAsia" w:ascii="方正黑体_GBK" w:hAnsi="方正黑体_GBK" w:eastAsia="方正黑体_GBK" w:cs="方正黑体_GBK"/>
          <w:bCs/>
          <w:szCs w:val="32"/>
          <w:highlight w:val="none"/>
          <w:u w:val="none"/>
        </w:rPr>
        <w:fldChar w:fldCharType="separate"/>
      </w:r>
      <w:r>
        <w:rPr>
          <w:rFonts w:hint="eastAsia" w:ascii="方正黑体_GBK" w:hAnsi="方正黑体_GBK" w:eastAsia="方正黑体_GBK" w:cs="方正黑体_GBK"/>
          <w:bCs/>
          <w:szCs w:val="32"/>
          <w:highlight w:val="none"/>
          <w:u w:val="none"/>
        </w:rPr>
        <w:t>兜牢兜实</w:t>
      </w:r>
      <w:r>
        <w:rPr>
          <w:rFonts w:hint="eastAsia" w:ascii="方正黑体_GBK" w:hAnsi="方正黑体_GBK" w:eastAsia="方正黑体_GBK" w:cs="方正黑体_GBK"/>
          <w:bCs/>
          <w:szCs w:val="32"/>
          <w:highlight w:val="none"/>
          <w:u w:val="none"/>
        </w:rPr>
        <w:fldChar w:fldCharType="end"/>
      </w:r>
      <w:r>
        <w:rPr>
          <w:rFonts w:hint="eastAsia" w:ascii="方正黑体_GBK" w:hAnsi="方正黑体_GBK" w:eastAsia="方正黑体_GBK" w:cs="方正黑体_GBK"/>
          <w:bCs/>
          <w:szCs w:val="32"/>
          <w:highlight w:val="none"/>
          <w:u w:val="none"/>
        </w:rPr>
        <w:t>。</w:t>
      </w:r>
      <w:r>
        <w:rPr>
          <w:rFonts w:hint="eastAsia" w:ascii="方正仿宋_GBK" w:hAnsi="方正仿宋_GBK" w:cs="方正仿宋_GBK"/>
          <w:szCs w:val="32"/>
          <w:highlight w:val="none"/>
          <w:u w:val="none"/>
        </w:rPr>
        <w:t>发挥低保兜底保障作用，全年发放低保金2.12亿元救助2.66万户5.1万余人。临时救助力度不断加大，救助12万余人，发放物资及现金3000余万元。</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（七）坚持强基层、聚民心，对口援疆综合效益不断提升</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产业就业实现新增长。</w:t>
      </w:r>
      <w:r>
        <w:rPr>
          <w:rFonts w:hint="eastAsia" w:ascii="方正仿宋_GBK" w:hAnsi="方正仿宋_GBK" w:cs="方正仿宋_GBK"/>
          <w:szCs w:val="32"/>
          <w:highlight w:val="none"/>
          <w:u w:val="none"/>
        </w:rPr>
        <w:t>引进农业龙头企业茂雄和昇永，成功获批自治区首个粤港澳大湾区“菜篮子”生产基地。开设援疆产</w:t>
      </w:r>
      <w:r>
        <w:rPr>
          <w:rFonts w:hint="eastAsia" w:ascii="方正仿宋_GBK" w:hAnsi="方正仿宋_GBK" w:cs="方正仿宋_GBK"/>
          <w:spacing w:val="-6"/>
          <w:szCs w:val="32"/>
          <w:highlight w:val="none"/>
          <w:u w:val="none"/>
        </w:rPr>
        <w:t>品旗舰店和馕产品专营店，带动2.2万余农户户均增收5000元以上。</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民族团结展现新作为。</w:t>
      </w:r>
      <w:r>
        <w:rPr>
          <w:rFonts w:hint="eastAsia" w:ascii="方正仿宋_GBK" w:hAnsi="方正仿宋_GBK" w:cs="方正仿宋_GBK"/>
          <w:szCs w:val="32"/>
          <w:highlight w:val="none"/>
          <w:u w:val="none"/>
        </w:rPr>
        <w:t>深入开展民族团结“一十百千万”工程、文化润疆培根铸魂工程等项目，培育培养少数民族“致富带头人”10名、少数民族技术人才1012名，成立100支青少年舞龙舞狮队伍，组建“红孩儿”宣讲团200支。</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民生援疆取得新实效。</w:t>
      </w:r>
      <w:r>
        <w:rPr>
          <w:rFonts w:hint="eastAsia" w:ascii="方正仿宋_GBK" w:hAnsi="方正仿宋_GBK" w:cs="方正仿宋_GBK"/>
          <w:szCs w:val="32"/>
          <w:highlight w:val="none"/>
          <w:u w:val="none"/>
        </w:rPr>
        <w:t>深化教育和医疗“组团式”援疆，建立自治区首批8支乡村教师陆地龙舟队伍，打造97个中小学爱国主义教育基地，开发医疗新技术12项、推广医疗技术15项，帮助县人民医院新开2个专业诊室，填补神经内科和精神心理专业空白，援建托克扎克镇中医康复馆。</w:t>
      </w:r>
    </w:p>
    <w:p>
      <w:pPr>
        <w:pBdr>
          <w:top w:val="none" w:color="auto" w:sz="0" w:space="1"/>
          <w:left w:val="none" w:color="auto" w:sz="0" w:space="4"/>
          <w:bottom w:val="none" w:color="auto" w:sz="0" w:space="1"/>
          <w:right w:val="none" w:color="auto" w:sz="0" w:space="4"/>
        </w:pBdr>
        <w:autoSpaceDE w:val="0"/>
        <w:autoSpaceDN w:val="0"/>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szCs w:val="32"/>
          <w:highlight w:val="none"/>
          <w:u w:val="none"/>
        </w:rPr>
        <w:t>2021年我县经济社会发展经受住了严峻考验，主要指标较好完成预期目标，经济发展效益质量明显提升，市场主体活力进一步增强。但我们也要清醒认识到，对照高质量发展要求，当前发展还存在诸多困难和挑战。主要表现在：经济总量偏小、产业层次偏低；农产品精深加工深度不够，</w:t>
      </w:r>
      <w:r>
        <w:rPr>
          <w:rFonts w:hint="eastAsia" w:ascii="方正仿宋_GBK" w:hAnsi="方正仿宋_GBK" w:cs="方正仿宋_GBK"/>
          <w:szCs w:val="32"/>
          <w:highlight w:val="none"/>
          <w:u w:val="none"/>
          <w:lang w:val="en-US" w:eastAsia="zh-CN"/>
        </w:rPr>
        <w:t>工业</w:t>
      </w:r>
      <w:r>
        <w:rPr>
          <w:rFonts w:hint="eastAsia" w:ascii="方正仿宋_GBK" w:hAnsi="方正仿宋_GBK" w:cs="方正仿宋_GBK"/>
          <w:szCs w:val="32"/>
          <w:highlight w:val="none"/>
          <w:u w:val="none"/>
        </w:rPr>
        <w:t>规模较小，文化旅游资源总体开发程度不高、商贸物流业发展不充分；</w:t>
      </w:r>
      <w:r>
        <w:rPr>
          <w:rFonts w:hint="eastAsia" w:ascii="方正仿宋_GBK" w:hAnsi="方正仿宋_GBK" w:cs="方正仿宋_GBK"/>
          <w:spacing w:val="-6"/>
          <w:szCs w:val="32"/>
          <w:highlight w:val="none"/>
          <w:u w:val="none"/>
        </w:rPr>
        <w:t>城镇基础设施相</w:t>
      </w:r>
      <w:r>
        <w:rPr>
          <w:rFonts w:hint="eastAsia" w:ascii="方正仿宋_GBK" w:hAnsi="方正仿宋_GBK" w:cs="方正仿宋_GBK"/>
          <w:szCs w:val="32"/>
          <w:highlight w:val="none"/>
          <w:u w:val="none"/>
        </w:rPr>
        <w:t>对落后；人民群众在休闲、教育、住房、社会保障等项目上的需求和消费未得到充分激发。针对这些困难和问题，我们将进一步分析症结、查找原因，精心部署，采取切实可行的措施加以解决。</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黑体_GBK" w:hAnsi="方正黑体_GBK" w:eastAsia="方正黑体_GBK" w:cs="方正黑体_GBK"/>
          <w:bCs/>
          <w:szCs w:val="32"/>
          <w:highlight w:val="none"/>
          <w:u w:val="none"/>
        </w:rPr>
      </w:pPr>
      <w:r>
        <w:rPr>
          <w:rFonts w:hint="eastAsia" w:ascii="方正黑体_GBK" w:hAnsi="方正黑体_GBK" w:eastAsia="方正黑体_GBK" w:cs="方正黑体_GBK"/>
          <w:bCs/>
          <w:szCs w:val="32"/>
          <w:highlight w:val="none"/>
          <w:u w:val="none"/>
        </w:rPr>
        <w:t>二、</w:t>
      </w:r>
      <w:r>
        <w:rPr>
          <w:rFonts w:ascii="方正黑体_GBK" w:hAnsi="方正黑体_GBK" w:eastAsia="方正黑体_GBK" w:cs="方正黑体_GBK"/>
          <w:bCs/>
          <w:szCs w:val="32"/>
          <w:highlight w:val="none"/>
          <w:u w:val="none"/>
        </w:rPr>
        <w:t>202</w:t>
      </w:r>
      <w:r>
        <w:rPr>
          <w:rFonts w:hint="eastAsia" w:ascii="方正黑体_GBK" w:hAnsi="方正黑体_GBK" w:eastAsia="方正黑体_GBK" w:cs="方正黑体_GBK"/>
          <w:bCs/>
          <w:szCs w:val="32"/>
          <w:highlight w:val="none"/>
          <w:u w:val="none"/>
        </w:rPr>
        <w:t>2</w:t>
      </w:r>
      <w:r>
        <w:rPr>
          <w:rFonts w:ascii="方正黑体_GBK" w:hAnsi="方正黑体_GBK" w:eastAsia="方正黑体_GBK" w:cs="方正黑体_GBK"/>
          <w:bCs/>
          <w:szCs w:val="32"/>
          <w:highlight w:val="none"/>
          <w:u w:val="none"/>
        </w:rPr>
        <w:t>年国民经济</w:t>
      </w:r>
      <w:r>
        <w:rPr>
          <w:rFonts w:hint="eastAsia" w:ascii="方正黑体_GBK" w:hAnsi="方正黑体_GBK" w:eastAsia="方正黑体_GBK" w:cs="方正黑体_GBK"/>
          <w:bCs/>
          <w:szCs w:val="32"/>
          <w:highlight w:val="none"/>
          <w:u w:val="none"/>
        </w:rPr>
        <w:t>和</w:t>
      </w:r>
      <w:r>
        <w:rPr>
          <w:rFonts w:ascii="方正黑体_GBK" w:hAnsi="方正黑体_GBK" w:eastAsia="方正黑体_GBK" w:cs="方正黑体_GBK"/>
          <w:bCs/>
          <w:szCs w:val="32"/>
          <w:highlight w:val="none"/>
          <w:u w:val="none"/>
        </w:rPr>
        <w:t>社会发展总体要求和主要目标</w:t>
      </w:r>
    </w:p>
    <w:p>
      <w:pPr>
        <w:pBdr>
          <w:top w:val="none" w:color="auto" w:sz="0" w:space="1"/>
          <w:left w:val="none" w:color="auto" w:sz="0" w:space="4"/>
          <w:bottom w:val="none" w:color="auto" w:sz="0" w:space="1"/>
          <w:right w:val="none" w:color="auto" w:sz="0" w:space="4"/>
        </w:pBdr>
        <w:autoSpaceDE w:val="0"/>
        <w:autoSpaceDN w:val="0"/>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szCs w:val="32"/>
          <w:highlight w:val="none"/>
          <w:u w:val="none"/>
        </w:rPr>
        <w:t>今年是党的二十大召开之年，是“十四五”规划承上启下的关键之年，做好国民经济和社会发展工作尤为重要。</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楷体" w:hAnsi="楷体" w:eastAsia="楷体" w:cs="楷体"/>
          <w:b/>
          <w:bCs/>
          <w:szCs w:val="32"/>
          <w:highlight w:val="none"/>
          <w:u w:val="none"/>
        </w:rPr>
        <w:t>总体要求：</w:t>
      </w:r>
      <w:r>
        <w:rPr>
          <w:rFonts w:hint="eastAsia" w:ascii="方正仿宋_GBK" w:hAnsi="方正仿宋_GBK" w:cs="方正仿宋_GBK"/>
          <w:szCs w:val="32"/>
          <w:highlight w:val="none"/>
          <w:u w:val="none"/>
        </w:rPr>
        <w:t>坚持以习近平新时代中国特色社会主义思想为指导，全面贯彻落实党的十九大和十九届历次全会精神，贯彻落实中央经济工作会议和第三次中央新疆工作座谈会精神，贯彻落实新时代党的治疆方略，贯彻落实自治区党委经济工作会议精神、地委经济工作会议精神，贯彻落实县委各项决策部署，弘扬伟大建党精神，坚持稳中求进工作总基调，完整准确全面贯彻新发展理念，加快服务和融入新发展格局，全面深化改革开放，坚持创新驱动发展，坚持以人民为中心推动高质量发展，坚持以供给侧结构性改革为主线，统筹疫情防控和经济社会发展，统筹发展和安全，继续做好“六稳”“六保”工作，保持经济运行在合理区间，确保社会大局持续稳定长期稳定，以优异成绩迎接党的二十大胜利召开。</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楷体" w:hAnsi="楷体" w:eastAsia="楷体" w:cs="楷体"/>
          <w:szCs w:val="32"/>
          <w:highlight w:val="none"/>
          <w:u w:val="none"/>
        </w:rPr>
      </w:pPr>
      <w:r>
        <w:rPr>
          <w:rFonts w:hint="eastAsia" w:ascii="方正楷体_GBK" w:hAnsi="方正楷体_GBK" w:eastAsia="方正楷体_GBK" w:cs="方正楷体_GBK"/>
          <w:b/>
          <w:szCs w:val="32"/>
          <w:highlight w:val="none"/>
          <w:u w:val="none"/>
        </w:rPr>
        <w:t>主要目标：</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全县生产总值达到61.85亿元，增长8.0%。</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实现规模以上工业增加值1.2亿元、增长10%。</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一般公共预算收入2.775亿元，增长12%。</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全社会固定资产投资27.92亿元，增长18%。</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社会消费品零售总额9.7亿元，增长9%。</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城乡居民人均可支配收入分别达到30659元、10932元，增长8%、9%。</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b/>
          <w:bCs/>
          <w:szCs w:val="32"/>
          <w:highlight w:val="none"/>
          <w:u w:val="none"/>
        </w:rPr>
        <w:t>——</w:t>
      </w:r>
      <w:r>
        <w:rPr>
          <w:rFonts w:hint="eastAsia" w:ascii="方正仿宋_GBK" w:hAnsi="方正仿宋_GBK" w:cs="方正仿宋_GBK"/>
          <w:szCs w:val="32"/>
          <w:highlight w:val="none"/>
          <w:u w:val="none"/>
        </w:rPr>
        <w:t>城镇新增就业4200人以上，农村富余劳动力转移就业7.5万人次以上，城镇登记失业率控制在3%以内。</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黑体_GBK" w:hAnsi="方正黑体_GBK" w:eastAsia="方正黑体_GBK" w:cs="方正黑体_GBK"/>
          <w:bCs/>
          <w:szCs w:val="32"/>
          <w:highlight w:val="none"/>
          <w:u w:val="none"/>
        </w:rPr>
      </w:pPr>
      <w:r>
        <w:rPr>
          <w:rFonts w:hint="eastAsia" w:ascii="方正黑体_GBK" w:hAnsi="方正黑体_GBK" w:eastAsia="方正黑体_GBK" w:cs="方正黑体_GBK"/>
          <w:bCs/>
          <w:szCs w:val="32"/>
          <w:highlight w:val="none"/>
          <w:u w:val="none"/>
        </w:rPr>
        <w:t>三</w:t>
      </w:r>
      <w:r>
        <w:rPr>
          <w:rFonts w:ascii="方正黑体_GBK" w:hAnsi="方正黑体_GBK" w:eastAsia="方正黑体_GBK" w:cs="方正黑体_GBK"/>
          <w:bCs/>
          <w:szCs w:val="32"/>
          <w:highlight w:val="none"/>
          <w:u w:val="none"/>
        </w:rPr>
        <w:t>、202</w:t>
      </w:r>
      <w:r>
        <w:rPr>
          <w:rFonts w:hint="eastAsia" w:ascii="方正黑体_GBK" w:hAnsi="方正黑体_GBK" w:eastAsia="方正黑体_GBK" w:cs="方正黑体_GBK"/>
          <w:bCs/>
          <w:szCs w:val="32"/>
          <w:highlight w:val="none"/>
          <w:u w:val="none"/>
        </w:rPr>
        <w:t>2</w:t>
      </w:r>
      <w:r>
        <w:rPr>
          <w:rFonts w:ascii="方正黑体_GBK" w:hAnsi="方正黑体_GBK" w:eastAsia="方正黑体_GBK" w:cs="方正黑体_GBK"/>
          <w:bCs/>
          <w:szCs w:val="32"/>
          <w:highlight w:val="none"/>
          <w:u w:val="none"/>
        </w:rPr>
        <w:t>年经济社会发展主要任务和措施</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仿宋_GBK" w:hAnsi="方正仿宋_GBK" w:cs="方正仿宋_GBK"/>
          <w:szCs w:val="32"/>
          <w:highlight w:val="none"/>
          <w:u w:val="none"/>
        </w:rPr>
        <w:t>实现今年的国民经济和社会发展预期目标，要进一步强化政治担当、履行政治责任，坚定信心、迎难而上、主动作为，更好统筹疫情防控和经济社会发展，统筹发展和安全，着力抓好以下10个方面工作。</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（一）培育壮大实体经济，加快发展特色优势产业</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一是强化农村经济，推进一产上水平。</w:t>
      </w:r>
      <w:r>
        <w:rPr>
          <w:rFonts w:hint="eastAsia" w:ascii="方正仿宋_GBK" w:hAnsi="方正仿宋_GBK" w:cs="方正仿宋_GBK"/>
          <w:b/>
          <w:bCs/>
          <w:szCs w:val="32"/>
          <w:highlight w:val="none"/>
          <w:u w:val="none"/>
        </w:rPr>
        <w:t>筑牢粮食安全底线。</w:t>
      </w:r>
      <w:r>
        <w:rPr>
          <w:rFonts w:hint="eastAsia" w:ascii="方正仿宋_GBK" w:hAnsi="方正仿宋_GBK" w:cs="方正仿宋_GBK"/>
          <w:szCs w:val="32"/>
          <w:highlight w:val="none"/>
          <w:u w:val="none"/>
        </w:rPr>
        <w:t>贯彻落实地委涉粮问题专项巡察反馈意见整改，严守耕地保护红线，落实集中连片、GPS播种等措施，完成65万亩粮食种植面积，其中种植冬小麦32万亩，完成6万亩高标准农田建设。</w:t>
      </w:r>
      <w:r>
        <w:rPr>
          <w:rFonts w:hint="eastAsia" w:ascii="方正仿宋_GBK" w:hAnsi="方正仿宋_GBK" w:cs="方正仿宋_GBK"/>
          <w:b/>
          <w:bCs/>
          <w:szCs w:val="32"/>
          <w:highlight w:val="none"/>
          <w:u w:val="none"/>
        </w:rPr>
        <w:t>大力推进蔬菜产业壮大。</w:t>
      </w:r>
      <w:r>
        <w:rPr>
          <w:rFonts w:hint="eastAsia" w:ascii="方正仿宋_GBK" w:hAnsi="方正仿宋_GBK" w:cs="方正仿宋_GBK"/>
          <w:szCs w:val="32"/>
          <w:highlight w:val="none"/>
          <w:u w:val="none"/>
        </w:rPr>
        <w:t>围绕吾库萨克镇7村、萨依巴格乡5村和站敏乡8村产业布局优势，建设一个蔬菜现代产业园，打造10个设施农业基地，接续规划好站敏乡、兰干镇、萨依巴格乡和吾库萨克镇4个蔬菜专业乡（镇），加大42个蔬菜生产专业村培育打造力度，发展优质蔬菜10万亩以上。加快温室拱棚建设，新建500座日光温室、8000座大拱棚，确保“菜篮子”产品稳产保供。切实抓好集中育苗、统一供苗。</w:t>
      </w:r>
      <w:r>
        <w:rPr>
          <w:rFonts w:hint="eastAsia" w:ascii="方正仿宋_GBK" w:hAnsi="方正仿宋_GBK" w:cs="方正仿宋_GBK"/>
          <w:b/>
          <w:bCs/>
          <w:szCs w:val="32"/>
          <w:highlight w:val="none"/>
          <w:u w:val="none"/>
        </w:rPr>
        <w:t>大力推进林果业增效。</w:t>
      </w:r>
      <w:r>
        <w:rPr>
          <w:rFonts w:hint="eastAsia" w:ascii="方正仿宋_GBK" w:hAnsi="方正仿宋_GBK" w:cs="方正仿宋_GBK"/>
          <w:szCs w:val="32"/>
          <w:highlight w:val="none"/>
          <w:u w:val="none"/>
        </w:rPr>
        <w:t>高起点高标准建设1个现代化果品加工园区、2个果树种质资源圃、4个标准化生产实训基地、10个高科技产业示范园。持续推进林果补植补造、嫁接改优、低产园改造等措施落实，补植补造2.5万亩、嫁接改优30万株、低质低效园改造2.5万亩。全面抓好32.2万亩林果管理，发展鲜果6.3万亩，培育52个林果生产专业村，实现果品产量16.7万吨、总产值达7.5亿元。</w:t>
      </w:r>
      <w:r>
        <w:rPr>
          <w:rFonts w:hint="eastAsia" w:ascii="方正仿宋_GBK" w:hAnsi="方正仿宋_GBK" w:cs="方正仿宋_GBK"/>
          <w:b/>
          <w:bCs/>
          <w:szCs w:val="32"/>
          <w:highlight w:val="none"/>
          <w:u w:val="none"/>
        </w:rPr>
        <w:t>大力推进畜牧业提升。</w:t>
      </w:r>
      <w:r>
        <w:rPr>
          <w:rFonts w:hint="eastAsia" w:ascii="方正仿宋_GBK" w:hAnsi="方正仿宋_GBK" w:cs="方正仿宋_GBK"/>
          <w:szCs w:val="32"/>
          <w:highlight w:val="none"/>
          <w:u w:val="none"/>
        </w:rPr>
        <w:t>深入实施畜牧产业振兴行动，做强肉羊产业、做大肉牛产业、做优家禽产业，实现畜牧业人均纯收入达到2352元，同比增长16.92%。大力发展以牛为龙头的畜禽养殖业，持续做强以西门塔尔为主的牛产业，加快现代农业产业园万头肉牛养殖基地建设，加快家庭牧场发展步伐，新增家庭牧场340户，实现牲畜存栏73.35万头、其中牛存栏17万头。充分挖掘庭院发展潜力，发展1300户家禽养殖示范户，引导农户发展蛋鸡、肉鸽、肉兔养殖，鼓励发展林下养殖，实现家禽存栏345.48万只羽、出栏762.31万只羽。围绕畜草平衡，加快推进30万亩饲草料基地建设。严格落实“四良一规范”技术措施，强化畜禽防疫</w:t>
      </w:r>
      <w:r>
        <w:rPr>
          <w:rFonts w:hint="eastAsia" w:ascii="方正仿宋_GBK" w:hAnsi="方正仿宋_GBK" w:cs="方正仿宋_GBK"/>
          <w:szCs w:val="32"/>
          <w:highlight w:val="none"/>
          <w:u w:val="none"/>
          <w:lang w:val="en-US" w:eastAsia="zh-CN"/>
        </w:rPr>
        <w:t>各项措施落实</w:t>
      </w:r>
      <w:r>
        <w:rPr>
          <w:rFonts w:hint="eastAsia" w:ascii="方正仿宋_GBK" w:hAnsi="方正仿宋_GBK" w:cs="方正仿宋_GBK"/>
          <w:szCs w:val="32"/>
          <w:highlight w:val="none"/>
          <w:u w:val="none"/>
        </w:rPr>
        <w:t>。加快推进畜禽屠宰现代化、规范化建设，在吾库萨克镇4村建设禽类屠宰场，支持阿斯曼牧业推进屠宰分割及熟食加工改造提升项目建设，逐步实现畜禽标准化生产模式。</w:t>
      </w:r>
      <w:r>
        <w:rPr>
          <w:rFonts w:hint="eastAsia" w:ascii="方正仿宋_GBK" w:hAnsi="方正仿宋_GBK" w:cs="方正仿宋_GBK"/>
          <w:b/>
          <w:bCs/>
          <w:szCs w:val="32"/>
          <w:highlight w:val="none"/>
          <w:u w:val="none"/>
        </w:rPr>
        <w:t>加快推进农业产业化发展</w:t>
      </w:r>
      <w:r>
        <w:rPr>
          <w:rFonts w:hint="eastAsia" w:ascii="方正仿宋_GBK" w:hAnsi="方正仿宋_GBK" w:cs="方正仿宋_GBK"/>
          <w:szCs w:val="32"/>
          <w:highlight w:val="none"/>
          <w:u w:val="none"/>
        </w:rPr>
        <w:t>。深入推进与新疆德汇集团合作，全力推进智慧果园示范基地、三级冷链体系和ERP智慧指挥系统、喀什特色水果小镇三大重点项目开发建设。</w:t>
      </w:r>
      <w:r>
        <w:rPr>
          <w:rFonts w:hint="eastAsia" w:ascii="方正仿宋_GBK" w:hAnsi="方正仿宋_GBK" w:cs="方正仿宋_GBK"/>
          <w:b/>
          <w:bCs/>
          <w:szCs w:val="32"/>
          <w:highlight w:val="none"/>
          <w:u w:val="none"/>
        </w:rPr>
        <w:t>大力发展特色经济作物。</w:t>
      </w:r>
      <w:r>
        <w:rPr>
          <w:rFonts w:hint="eastAsia" w:ascii="方正仿宋_GBK" w:hAnsi="方正仿宋_GBK" w:cs="方正仿宋_GBK"/>
          <w:szCs w:val="32"/>
          <w:highlight w:val="none"/>
          <w:u w:val="none"/>
        </w:rPr>
        <w:t>抓好西甜瓜、中药材、万寿菊、玫瑰花、色素辣椒等4.3万亩特色种植面积，推进吾库萨克镇1000亩中草药基地建设。</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二是做强工业经济，推进二产上台阶。</w:t>
      </w:r>
      <w:r>
        <w:rPr>
          <w:rFonts w:hint="eastAsia" w:ascii="方正仿宋_GBK" w:hAnsi="方正仿宋_GBK" w:cs="方正仿宋_GBK"/>
          <w:b/>
          <w:bCs/>
          <w:szCs w:val="32"/>
          <w:highlight w:val="none"/>
          <w:u w:val="none"/>
        </w:rPr>
        <w:t>大力发展劳动密集型产业。</w:t>
      </w:r>
      <w:r>
        <w:rPr>
          <w:rFonts w:hint="eastAsia" w:ascii="方正仿宋_GBK" w:hAnsi="方正仿宋_GBK" w:cs="方正仿宋_GBK"/>
          <w:szCs w:val="32"/>
          <w:highlight w:val="none"/>
          <w:u w:val="none"/>
        </w:rPr>
        <w:t>以就业为导向，立足建设纺织服装城，大力推进纺织服装产业园建设，推动加工车间向乡村产业园、卫星工厂延伸，新增吸纳就业2000人以上，年产2000万件套、产值3亿元。积极引进箱包企业，培育箱包产业发展壮大。</w:t>
      </w:r>
      <w:r>
        <w:rPr>
          <w:rFonts w:hint="eastAsia" w:ascii="方正仿宋_GBK" w:hAnsi="方正仿宋_GBK" w:cs="方正仿宋_GBK"/>
          <w:b/>
          <w:bCs/>
          <w:szCs w:val="32"/>
          <w:highlight w:val="none"/>
          <w:u w:val="none"/>
        </w:rPr>
        <w:t>加快发展制鞋产业。</w:t>
      </w:r>
      <w:r>
        <w:rPr>
          <w:rFonts w:hint="eastAsia" w:ascii="方正仿宋_GBK" w:hAnsi="方正仿宋_GBK" w:cs="方正仿宋_GBK"/>
          <w:szCs w:val="32"/>
          <w:highlight w:val="none"/>
          <w:u w:val="none"/>
        </w:rPr>
        <w:t>立足飞地园区，加快推进红石榴制鞋产业园投产运营，实现工业增加值2000万元以上、就业人员2400人以上。</w:t>
      </w:r>
      <w:r>
        <w:rPr>
          <w:rFonts w:hint="eastAsia" w:ascii="方正仿宋_GBK" w:hAnsi="方正仿宋_GBK" w:cs="方正仿宋_GBK"/>
          <w:b/>
          <w:bCs/>
          <w:szCs w:val="32"/>
          <w:highlight w:val="none"/>
          <w:u w:val="none"/>
        </w:rPr>
        <w:t>持续做好电子组装产业。</w:t>
      </w:r>
      <w:r>
        <w:rPr>
          <w:rFonts w:hint="eastAsia" w:ascii="方正仿宋_GBK" w:hAnsi="方正仿宋_GBK" w:cs="方正仿宋_GBK"/>
          <w:szCs w:val="32"/>
          <w:highlight w:val="none"/>
          <w:u w:val="none"/>
        </w:rPr>
        <w:t>引进工序简单、就业容量大、操作易上手的企业，实现年产值1.8亿元，新增就业500人以上。</w:t>
      </w:r>
      <w:r>
        <w:rPr>
          <w:rFonts w:hint="eastAsia" w:ascii="方正仿宋_GBK" w:hAnsi="方正仿宋_GBK" w:cs="方正仿宋_GBK"/>
          <w:b/>
          <w:bCs/>
          <w:szCs w:val="32"/>
          <w:highlight w:val="none"/>
          <w:u w:val="none"/>
        </w:rPr>
        <w:t>大力发展农产品加工业。</w:t>
      </w:r>
      <w:r>
        <w:rPr>
          <w:rFonts w:hint="eastAsia" w:ascii="方正仿宋_GBK" w:hAnsi="方正仿宋_GBK" w:cs="方正仿宋_GBK"/>
          <w:szCs w:val="32"/>
          <w:highlight w:val="none"/>
          <w:u w:val="none"/>
        </w:rPr>
        <w:t>扶持现有涉农企业发展壮大，加快推进农副产品加工产业园建设，全力打造农副产品加工基地。大力发展蔬菜瓜果精深加工及冷切、肉串、肉丸等畜禽产品，实现农副产品90%以上初加工、40%以上精深加工。搞好政企配合和协作，支持疆果果</w:t>
      </w:r>
      <w:r>
        <w:rPr>
          <w:rFonts w:hint="eastAsia" w:ascii="方正仿宋_GBK" w:hAnsi="方正仿宋_GBK" w:cs="方正仿宋_GBK"/>
          <w:szCs w:val="32"/>
          <w:highlight w:val="none"/>
          <w:u w:val="none"/>
          <w:lang w:eastAsia="zh-CN"/>
        </w:rPr>
        <w:t>等企业</w:t>
      </w:r>
      <w:r>
        <w:rPr>
          <w:rFonts w:hint="eastAsia" w:ascii="方正仿宋_GBK" w:hAnsi="方正仿宋_GBK" w:cs="方正仿宋_GBK"/>
          <w:szCs w:val="32"/>
          <w:highlight w:val="none"/>
          <w:u w:val="none"/>
        </w:rPr>
        <w:t>发展运营。</w:t>
      </w:r>
      <w:r>
        <w:rPr>
          <w:rFonts w:hint="eastAsia" w:ascii="方正仿宋_GBK" w:hAnsi="方正仿宋_GBK" w:cs="方正仿宋_GBK"/>
          <w:b/>
          <w:bCs/>
          <w:szCs w:val="32"/>
          <w:highlight w:val="none"/>
          <w:u w:val="none"/>
        </w:rPr>
        <w:t>大力发展特色食品产业。</w:t>
      </w:r>
      <w:r>
        <w:rPr>
          <w:rFonts w:hint="eastAsia" w:ascii="方正仿宋_GBK" w:hAnsi="方正仿宋_GBK" w:cs="方正仿宋_GBK"/>
          <w:szCs w:val="32"/>
          <w:highlight w:val="none"/>
          <w:u w:val="none"/>
        </w:rPr>
        <w:t>围绕发展以馕为主的特色食品加工业，做大“疆舒福”品牌，用好疆内疆外、线上线下销售渠道和销售网络，实现日产销馕146万个，年产值5.4亿元、同比增长25%。进一步完善馕产业基础设施建设，改造冷冻</w:t>
      </w:r>
      <w:r>
        <w:rPr>
          <w:rFonts w:hint="eastAsia" w:ascii="方正仿宋_GBK" w:hAnsi="方正仿宋_GBK" w:cs="方正仿宋_GBK"/>
          <w:szCs w:val="32"/>
          <w:highlight w:val="none"/>
          <w:u w:val="none"/>
          <w:lang w:eastAsia="zh-CN"/>
        </w:rPr>
        <w:t>馕</w:t>
      </w:r>
      <w:r>
        <w:rPr>
          <w:rFonts w:hint="eastAsia" w:ascii="方正仿宋_GBK" w:hAnsi="方正仿宋_GBK" w:cs="方正仿宋_GBK"/>
          <w:szCs w:val="32"/>
          <w:highlight w:val="none"/>
          <w:u w:val="none"/>
        </w:rPr>
        <w:t>胚生产厂房，建设物流仓储库及自营店等，促进馕产业园区功能和条件得到进一步提升。深化与新疆农帮餐饮公司（中央厨房）合作，围绕发展“喀什味道”特色餐饮业，推进连锁化经营、快餐化发展。</w:t>
      </w:r>
      <w:r>
        <w:rPr>
          <w:rFonts w:hint="eastAsia" w:ascii="方正仿宋_GBK" w:hAnsi="方正仿宋_GBK" w:cs="方正仿宋_GBK"/>
          <w:b/>
          <w:bCs/>
          <w:szCs w:val="32"/>
          <w:highlight w:val="none"/>
          <w:u w:val="none"/>
        </w:rPr>
        <w:t>大力发展新型建材产业。</w:t>
      </w:r>
      <w:r>
        <w:rPr>
          <w:rFonts w:hint="eastAsia" w:ascii="方正仿宋_GBK" w:hAnsi="方正仿宋_GBK" w:cs="方正仿宋_GBK"/>
          <w:szCs w:val="32"/>
          <w:highlight w:val="none"/>
          <w:u w:val="none"/>
        </w:rPr>
        <w:t>在广州工业城建设石膏产业园，积极发展石膏矿开采及下游产品。依托喀什广建集团落户疏附，在巩固提升传统建筑产业的基础上，加快转型升级，大力发展新型建材产业，推动实现绿色化、智能化发展。加快推进年产10万吨钢结构生产加工项目，继续支持发展新型硅酸钙板。</w:t>
      </w:r>
      <w:r>
        <w:rPr>
          <w:rFonts w:hint="eastAsia" w:ascii="方正仿宋_GBK" w:hAnsi="方正仿宋_GBK" w:cs="方正仿宋_GBK"/>
          <w:b/>
          <w:bCs/>
          <w:szCs w:val="32"/>
          <w:highlight w:val="none"/>
          <w:u w:val="none"/>
        </w:rPr>
        <w:t>积极发展新兴产业。</w:t>
      </w:r>
      <w:r>
        <w:rPr>
          <w:rFonts w:hint="eastAsia" w:ascii="方正仿宋_GBK" w:hAnsi="方正仿宋_GBK" w:cs="方正仿宋_GBK"/>
          <w:szCs w:val="32"/>
          <w:highlight w:val="none"/>
          <w:u w:val="none"/>
        </w:rPr>
        <w:t>加大5G网络覆盖，积极发展数字经济，</w:t>
      </w:r>
      <w:r>
        <w:rPr>
          <w:rFonts w:hint="eastAsia" w:ascii="方正仿宋_GBK" w:hAnsi="方正仿宋_GBK" w:cs="方正仿宋_GBK"/>
          <w:szCs w:val="32"/>
          <w:highlight w:val="none"/>
          <w:u w:val="none"/>
          <w:lang w:val="en-US" w:eastAsia="zh-CN"/>
        </w:rPr>
        <w:t>推进数字经济与实体经济融合发展。</w:t>
      </w:r>
      <w:r>
        <w:rPr>
          <w:rFonts w:hint="eastAsia" w:ascii="方正仿宋_GBK" w:hAnsi="方正仿宋_GBK" w:cs="方正仿宋_GBK"/>
          <w:szCs w:val="32"/>
          <w:highlight w:val="none"/>
          <w:u w:val="none"/>
        </w:rPr>
        <w:t>依托大橙子公司，以人工智能、大数据、机械自动化、无人机等技术为主，积极发展新一代信息技术。用好木什和乌帕尔天然水资源，做好“四十眼泉”、“明尧勒”矿泉水品牌推广，提高矿泉水的“知名度”。</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黑体_GBK" w:hAnsi="方正黑体_GBK" w:eastAsia="方正黑体_GBK" w:cs="方正黑体_GBK"/>
          <w:bCs/>
          <w:szCs w:val="32"/>
          <w:highlight w:val="none"/>
          <w:u w:val="none"/>
        </w:rPr>
      </w:pPr>
      <w:r>
        <w:rPr>
          <w:rFonts w:hint="eastAsia" w:ascii="方正黑体_GBK" w:hAnsi="方正黑体_GBK" w:eastAsia="方正黑体_GBK" w:cs="方正黑体_GBK"/>
          <w:bCs/>
          <w:szCs w:val="32"/>
          <w:highlight w:val="none"/>
          <w:u w:val="none"/>
        </w:rPr>
        <w:t>三是抓住区位优势，推进三产大发展。</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首先要做强旅游业。</w:t>
      </w:r>
      <w:r>
        <w:rPr>
          <w:rFonts w:hint="eastAsia" w:ascii="方正仿宋_GBK" w:hAnsi="方正仿宋_GBK" w:cs="方正仿宋_GBK"/>
          <w:b/>
          <w:bCs/>
          <w:szCs w:val="32"/>
          <w:highlight w:val="none"/>
          <w:u w:val="none"/>
        </w:rPr>
        <w:t>全面实施旅游兴疏战略。</w:t>
      </w:r>
      <w:r>
        <w:rPr>
          <w:rFonts w:hint="eastAsia" w:ascii="方正仿宋_GBK" w:hAnsi="方正仿宋_GBK" w:cs="方正仿宋_GBK"/>
          <w:szCs w:val="32"/>
          <w:highlight w:val="none"/>
          <w:u w:val="none"/>
        </w:rPr>
        <w:t>围绕“吃住行游购娱”，加快旅游基础设施建设，进一步完善木什天门和乌帕尔旅游服务区，积极发展探险游线路、人文景观游线路、红色教育游线路，打造3A级景区1家、146家优质农家乐，新增民宿100家以上。</w:t>
      </w:r>
      <w:r>
        <w:rPr>
          <w:rFonts w:hint="eastAsia" w:ascii="方正仿宋_GBK" w:hAnsi="方正仿宋_GBK" w:cs="方正仿宋_GBK"/>
          <w:b/>
          <w:bCs/>
          <w:szCs w:val="32"/>
          <w:highlight w:val="none"/>
          <w:u w:val="none"/>
        </w:rPr>
        <w:t>推进文旅重点乡镇建设。</w:t>
      </w:r>
      <w:r>
        <w:rPr>
          <w:rFonts w:hint="eastAsia" w:ascii="方正仿宋_GBK" w:hAnsi="方正仿宋_GBK" w:cs="方正仿宋_GBK"/>
          <w:szCs w:val="32"/>
          <w:highlight w:val="none"/>
          <w:u w:val="none"/>
        </w:rPr>
        <w:t>立足“双5A必经之路”，大力推进乌帕尔镇特色旅游小镇建设。立足吾库萨克镇资源优势，建成集农副产品生产加工、纺织服装、休闲观光旅游及民族手工艺为一体的特色产业小城镇。立足“总书记十八大后在南疆唯一视察过的村”，推进红色旅游基地建设，积极争创3A级景区。立足“世界上最高的天然石拱门”，串联怪坡、古战场等系列景点，推进木什明尧勒天门山景区建设。</w:t>
      </w:r>
      <w:r>
        <w:rPr>
          <w:rFonts w:hint="eastAsia" w:ascii="方正仿宋_GBK" w:hAnsi="方正仿宋_GBK" w:cs="方正仿宋_GBK"/>
          <w:b/>
          <w:bCs/>
          <w:szCs w:val="32"/>
          <w:highlight w:val="none"/>
          <w:u w:val="none"/>
        </w:rPr>
        <w:t>全面打响“餐饮品牌”。</w:t>
      </w:r>
      <w:r>
        <w:rPr>
          <w:rFonts w:hint="eastAsia" w:ascii="方正仿宋_GBK" w:hAnsi="方正仿宋_GBK" w:cs="方正仿宋_GBK"/>
          <w:szCs w:val="32"/>
          <w:highlight w:val="none"/>
          <w:u w:val="none"/>
        </w:rPr>
        <w:t>围绕两个5A级景区歇脚地，加快旅游餐饮和特色美食一条街建设。</w:t>
      </w:r>
      <w:r>
        <w:rPr>
          <w:rFonts w:hint="eastAsia" w:ascii="方正仿宋_GBK" w:hAnsi="方正仿宋_GBK" w:cs="方正仿宋_GBK"/>
          <w:b/>
          <w:bCs/>
          <w:szCs w:val="32"/>
          <w:highlight w:val="none"/>
          <w:u w:val="none"/>
        </w:rPr>
        <w:t>做精做细“疏附礼物”。</w:t>
      </w:r>
      <w:r>
        <w:rPr>
          <w:rFonts w:hint="eastAsia" w:ascii="方正仿宋_GBK" w:hAnsi="方正仿宋_GBK" w:cs="方正仿宋_GBK"/>
          <w:szCs w:val="32"/>
          <w:highlight w:val="none"/>
          <w:u w:val="none"/>
        </w:rPr>
        <w:t>突出补齐“购物短板”，围绕民族乐器、阿凡提布偶等旅游元素，打造不少于5种旅游纪念产品。</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其次是做活现代物流业。</w:t>
      </w:r>
      <w:r>
        <w:rPr>
          <w:rFonts w:hint="eastAsia" w:ascii="方正仿宋_GBK" w:hAnsi="方正仿宋_GBK" w:cs="方正仿宋_GBK"/>
          <w:szCs w:val="32"/>
          <w:highlight w:val="none"/>
          <w:u w:val="none"/>
        </w:rPr>
        <w:t>加快推进“一市两县”农贸市场（二期）建设，不断拓展市场功能。发展冷链保鲜、运输产业，建设果蔬、肉类冷链仓储设施，满足现代农业产业园、乡镇微小产业园等冷链需求。加快推进物流产业园建设，努力打造集停车、仓储、配载、装卸、中转、货运信息、加油站、司机餐饮住宿、汽车维修保养等综合服务于一体的公路物流产业园。发展直播带货经济，带动农副产品、纺织服装和文旅等产业发展。加快整合供销社、邮政等流通服务网络，继续做好电子商务进农村，扎实推进4个基层供销社建设，规划布局100个喀什名优特产品直销点，更好地满足群众消费需求。支持润东国际、玛蒂娜国际物流发展壮大，鼓励拓展线上业务，推动线上线下融合发展。</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最后要发展现代服务业。</w:t>
      </w:r>
      <w:r>
        <w:rPr>
          <w:rFonts w:hint="eastAsia" w:ascii="方正仿宋_GBK" w:hAnsi="方正仿宋_GBK" w:cs="方正仿宋_GBK"/>
          <w:szCs w:val="32"/>
          <w:highlight w:val="none"/>
          <w:u w:val="none"/>
        </w:rPr>
        <w:t>以国家区域医疗中心建设为契机，发展医疗健康、养老托育等现代服务业。大力发展中医药、民族医药等关联产业。积极盘活广州新城，大力推进二手车交易市场建设，做好汽车维修、保养、洗车等产业链发展。</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（二）深入实施扩大内需战略，着力抓项目促消费</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切实抓好有效投资。</w:t>
      </w:r>
      <w:r>
        <w:rPr>
          <w:rFonts w:hint="eastAsia" w:ascii="仿宋_GB2312" w:hAnsi="仿宋_GB2312" w:eastAsia="仿宋_GB2312" w:cs="仿宋_GB2312"/>
          <w:b/>
          <w:bCs/>
          <w:szCs w:val="32"/>
          <w:highlight w:val="none"/>
          <w:u w:val="none"/>
        </w:rPr>
        <w:t>抓实重大项目。</w:t>
      </w:r>
      <w:r>
        <w:rPr>
          <w:rFonts w:hint="eastAsia" w:ascii="方正仿宋_GBK" w:hAnsi="方正仿宋_GBK" w:cs="方正仿宋_GBK"/>
          <w:szCs w:val="32"/>
          <w:highlight w:val="none"/>
          <w:u w:val="none"/>
        </w:rPr>
        <w:t>全面落实项目建设“十大机制”，适度超前开展基础设施投资，积极争取、切实用好中央预算内、政府债券、乡村振兴、对口援疆、社会投资等资金，重点抓好63个投资规模500万元以上的重大项目，完成年度计划投资27.92亿元，实现全社会固定资产投资18%以上。</w:t>
      </w:r>
      <w:r>
        <w:rPr>
          <w:rFonts w:hint="eastAsia" w:ascii="仿宋_GB2312" w:hAnsi="仿宋_GB2312" w:eastAsia="仿宋_GB2312" w:cs="仿宋_GB2312"/>
          <w:b/>
          <w:bCs/>
          <w:szCs w:val="32"/>
          <w:highlight w:val="none"/>
          <w:u w:val="none"/>
        </w:rPr>
        <w:t>抓好项目谋划。</w:t>
      </w:r>
      <w:r>
        <w:rPr>
          <w:rFonts w:hint="eastAsia" w:ascii="方正仿宋_GBK" w:hAnsi="方正仿宋_GBK" w:cs="方正仿宋_GBK"/>
          <w:szCs w:val="32"/>
          <w:highlight w:val="none"/>
          <w:u w:val="none"/>
        </w:rPr>
        <w:t>围绕产业就业、社会事业发展、民生工程建设、生态文明建设、城市精细化管理、乡村振兴等方面统筹布局一批重大项目，及时储备一批重点项目，按照“对上能争取资金、对外能招商引资”，完善项目储备和滚动接续机制，确保谋划的项目拿得出、用得上、争得来。</w:t>
      </w:r>
      <w:r>
        <w:rPr>
          <w:rFonts w:hint="eastAsia" w:ascii="仿宋_GB2312" w:hAnsi="仿宋_GB2312" w:eastAsia="仿宋_GB2312" w:cs="仿宋_GB2312"/>
          <w:b/>
          <w:bCs/>
          <w:szCs w:val="32"/>
          <w:highlight w:val="none"/>
          <w:u w:val="none"/>
        </w:rPr>
        <w:t>抓紧项目落地。</w:t>
      </w:r>
      <w:r>
        <w:rPr>
          <w:rFonts w:hint="eastAsia" w:ascii="方正仿宋_GBK" w:hAnsi="方正仿宋_GBK" w:cs="方正仿宋_GBK"/>
          <w:szCs w:val="32"/>
          <w:highlight w:val="none"/>
          <w:u w:val="none"/>
        </w:rPr>
        <w:t>健全完善领导包联、定期调度、联审联批等推进机制，推行“一线工作法”，强化资金、土地、机械、材料等要素保障，倒排工期、挂图作战、跑表计时，确保项目按时序落地推进。</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hint="default" w:ascii="仿宋_GB2312" w:hAnsi="仿宋_GB2312" w:eastAsia="方正仿宋_GBK" w:cs="仿宋_GB2312"/>
          <w:szCs w:val="32"/>
          <w:highlight w:val="none"/>
          <w:u w:val="none"/>
          <w:lang w:val="en-US" w:eastAsia="zh-CN"/>
        </w:rPr>
      </w:pPr>
      <w:r>
        <w:rPr>
          <w:rFonts w:hint="eastAsia" w:ascii="方正黑体_GBK" w:hAnsi="方正黑体_GBK" w:eastAsia="方正黑体_GBK" w:cs="方正黑体_GBK"/>
          <w:bCs/>
          <w:szCs w:val="32"/>
          <w:highlight w:val="none"/>
          <w:u w:val="none"/>
        </w:rPr>
        <w:t>加快推进重点领域项目建设。</w:t>
      </w:r>
      <w:r>
        <w:rPr>
          <w:rFonts w:hint="eastAsia" w:ascii="仿宋_GB2312" w:hAnsi="仿宋_GB2312" w:eastAsia="仿宋_GB2312" w:cs="仿宋_GB2312"/>
          <w:b/>
          <w:bCs/>
          <w:szCs w:val="32"/>
          <w:highlight w:val="none"/>
          <w:u w:val="none"/>
        </w:rPr>
        <w:t>加快推进交通建设。</w:t>
      </w:r>
      <w:r>
        <w:rPr>
          <w:rFonts w:hint="eastAsia" w:ascii="方正仿宋_GBK" w:hAnsi="方正仿宋_GBK" w:cs="方正仿宋_GBK"/>
          <w:szCs w:val="32"/>
          <w:highlight w:val="none"/>
          <w:u w:val="none"/>
        </w:rPr>
        <w:t>大力配合支持G314线喀什过境公路（疏附段）建设。加快一市两县交通一体化推进步伐，抓好G314辅道建设等。不断完善产业配套设施，推进产业园区道路工程。进一步完善农村公路管护长效机制，大力推进“四好农村路”创建工作。</w:t>
      </w:r>
      <w:r>
        <w:rPr>
          <w:rFonts w:hint="eastAsia" w:ascii="仿宋_GB2312" w:hAnsi="仿宋_GB2312" w:eastAsia="仿宋_GB2312" w:cs="仿宋_GB2312"/>
          <w:b/>
          <w:bCs/>
          <w:szCs w:val="32"/>
          <w:highlight w:val="none"/>
          <w:u w:val="none"/>
        </w:rPr>
        <w:t>加快推进水利建设。</w:t>
      </w:r>
      <w:r>
        <w:rPr>
          <w:rFonts w:hint="eastAsia" w:ascii="方正仿宋_GBK" w:hAnsi="方正仿宋_GBK" w:cs="方正仿宋_GBK"/>
          <w:szCs w:val="32"/>
          <w:highlight w:val="none"/>
          <w:u w:val="none"/>
        </w:rPr>
        <w:t>继续做好现代产业园供水项目，</w:t>
      </w:r>
      <w:r>
        <w:rPr>
          <w:rFonts w:hint="eastAsia" w:ascii="方正仿宋_GBK" w:hAnsi="方正仿宋_GBK" w:cs="方正仿宋_GBK"/>
          <w:szCs w:val="32"/>
          <w:highlight w:val="none"/>
          <w:u w:val="none"/>
          <w:lang w:val="en-US" w:eastAsia="zh-CN"/>
        </w:rPr>
        <w:t>实现年供水2200万立方米。</w:t>
      </w:r>
      <w:r>
        <w:rPr>
          <w:rFonts w:hint="eastAsia" w:ascii="方正仿宋_GBK" w:hAnsi="方正仿宋_GBK" w:cs="方正仿宋_GBK"/>
          <w:szCs w:val="32"/>
          <w:highlight w:val="none"/>
          <w:u w:val="none"/>
        </w:rPr>
        <w:t>推进实施兰干镇阿克波斯太克支渠和木苏曼干渠续建配套与现代化改造工程，积极争取栏杆分洪工程、吾布里肯堤防工程、塔什米力克护岸工程等中小河流治理（防洪）工程，加快推进木什明尧勒防洪堤（二期），全面完成44处42.1公里防洪险工险段维修加固，做好两座水库安全隐患整改。继续做好乡村渠道防渗、排碱渠和输水灌溉建设。</w:t>
      </w:r>
      <w:r>
        <w:rPr>
          <w:rFonts w:hint="eastAsia" w:ascii="仿宋_GB2312" w:hAnsi="仿宋_GB2312" w:eastAsia="仿宋_GB2312" w:cs="仿宋_GB2312"/>
          <w:b/>
          <w:bCs/>
          <w:szCs w:val="32"/>
          <w:highlight w:val="none"/>
          <w:u w:val="none"/>
        </w:rPr>
        <w:t>加快推进能源建设。</w:t>
      </w:r>
      <w:r>
        <w:rPr>
          <w:rFonts w:hint="eastAsia" w:ascii="方正仿宋_GBK" w:hAnsi="方正仿宋_GBK" w:cs="方正仿宋_GBK"/>
          <w:szCs w:val="32"/>
          <w:highlight w:val="none"/>
          <w:u w:val="none"/>
        </w:rPr>
        <w:t>继续实施好农网巩固提升工程，</w:t>
      </w:r>
      <w:r>
        <w:rPr>
          <w:rFonts w:hint="eastAsia" w:ascii="方正仿宋_GBK" w:hAnsi="方正仿宋_GBK" w:cs="方正仿宋_GBK"/>
          <w:szCs w:val="32"/>
          <w:highlight w:val="none"/>
          <w:u w:val="none"/>
          <w:lang w:val="en-US" w:eastAsia="zh-CN"/>
        </w:rPr>
        <w:t>投入资金8141万元</w:t>
      </w:r>
      <w:r>
        <w:rPr>
          <w:rFonts w:hint="eastAsia" w:ascii="方正仿宋_GBK" w:hAnsi="方正仿宋_GBK" w:cs="方正仿宋_GBK"/>
          <w:szCs w:val="32"/>
          <w:highlight w:val="none"/>
          <w:u w:val="none"/>
        </w:rPr>
        <w:t>新建线路281公里、增换配电变压器104台</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lang w:val="en-US" w:eastAsia="zh-CN"/>
        </w:rPr>
        <w:t>安装户表6438块</w:t>
      </w:r>
      <w:r>
        <w:rPr>
          <w:rFonts w:hint="eastAsia" w:ascii="方正仿宋_GBK" w:hAnsi="方正仿宋_GBK" w:cs="方正仿宋_GBK"/>
          <w:szCs w:val="32"/>
          <w:highlight w:val="none"/>
          <w:u w:val="none"/>
        </w:rPr>
        <w:t>。不断加强城市配电网能力，继续推进飞线整治、线路下地。立足丰富的水力、光热、风力资源等自然资源，加快推动盖孜河水力发电项目，积极引进光伏发电、风力发电和储能项目，推进天然气综合利用项目落地。</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持续扩大消费。</w:t>
      </w:r>
      <w:r>
        <w:rPr>
          <w:rFonts w:hint="eastAsia" w:ascii="方正仿宋_GBK" w:hAnsi="方正仿宋_GBK" w:cs="方正仿宋_GBK"/>
          <w:szCs w:val="32"/>
          <w:highlight w:val="none"/>
          <w:u w:val="none"/>
        </w:rPr>
        <w:t>积极创建夜间经济示范街区，鼓励开展24小时营业，开展“最美深夜食堂”评选活动，常态化开展丰富多彩的夜间文体活动。争取各类资金支持夜间经济，通过发放夜间消费券，引导鼓励夜间消费。出台电费、摊位费、水费等优惠政策，减轻经营主体运营负担。</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（三）进一步扩大开放，抓好招商引资工作</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抓好开放平台建设。</w:t>
      </w:r>
      <w:r>
        <w:rPr>
          <w:rFonts w:hint="eastAsia" w:ascii="方正仿宋_GBK" w:hAnsi="方正仿宋_GBK" w:cs="方正仿宋_GBK"/>
          <w:szCs w:val="32"/>
          <w:highlight w:val="none"/>
          <w:u w:val="none"/>
        </w:rPr>
        <w:t>持续融入丝绸之路经济带核心区南疆支点建设，突出抓好“三园一区”“飞地园区”建设，积极推进“三园一区”道路、供水、亮化等提升改造，大力推进“飞地园区”“七通一平”工程，全力做好飞地园区22栋厂房建设，同步配套建设工业污水处理、绿化、照明等设施。加强领导班子建设，盘活园区土地资源，完善配套公共设施。</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千方百计抓好招商引资。</w:t>
      </w:r>
      <w:r>
        <w:rPr>
          <w:rFonts w:hint="eastAsia" w:ascii="方正仿宋_GBK" w:hAnsi="方正仿宋_GBK" w:cs="方正仿宋_GBK"/>
          <w:szCs w:val="32"/>
          <w:highlight w:val="none"/>
          <w:u w:val="none"/>
        </w:rPr>
        <w:t>重点围绕服装服饰、农副产品精深加工、高端鞋业、新型建材、电子组装、馕产业等特色优势产业延链、补链、强链，精心谋划投资项目，有针对性地组织开展驻点招商、小分队招商、云招商、以商招商，特别是加强与广州市招商合作、产业合作、园区合作，实现招商引资到位资金任务13亿元以上。</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扎实抓好企业服务。</w:t>
      </w:r>
      <w:r>
        <w:rPr>
          <w:rFonts w:hint="eastAsia" w:ascii="方正仿宋_GBK" w:hAnsi="方正仿宋_GBK" w:cs="方正仿宋_GBK"/>
          <w:szCs w:val="32"/>
          <w:highlight w:val="none"/>
          <w:u w:val="none"/>
        </w:rPr>
        <w:t>落实“一企一策一班子”和项目全程帮办代办机制，强化土地、厂房、资金、劳动力等要素保障，做好原材料保障、员工招录培训等工作，落实各项补贴政策。 推进一杯水的温度服务，做好“保姆式”服务，积极营造“重商、亲商、安商、富商、稳商”浓厚氛围。加大金融支持力度，争取更多的信贷规模支持。</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（四）加快推进新型城镇化建设，推进城乡高水平建设</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持续优化城镇化空间布局。</w:t>
      </w:r>
      <w:r>
        <w:rPr>
          <w:rFonts w:hint="eastAsia" w:ascii="方正仿宋_GBK" w:hAnsi="方正仿宋_GBK" w:cs="方正仿宋_GBK"/>
          <w:szCs w:val="32"/>
          <w:highlight w:val="none"/>
          <w:u w:val="none"/>
        </w:rPr>
        <w:t>积极融入“一市两县一区一镇”同城化步伐，促成我县与喀什市第三条人流物流通道建设，形成以314、315国道为骨架、县市联通道路为网络的大交通格局。</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Times New Roman" w:hAnsi="Times New Roman"/>
          <w:szCs w:val="32"/>
          <w:highlight w:val="none"/>
          <w:u w:val="none"/>
        </w:rPr>
      </w:pPr>
      <w:r>
        <w:rPr>
          <w:rFonts w:hint="eastAsia" w:ascii="方正黑体_GBK" w:hAnsi="方正黑体_GBK" w:eastAsia="方正黑体_GBK" w:cs="方正黑体_GBK"/>
          <w:bCs/>
          <w:szCs w:val="32"/>
          <w:highlight w:val="none"/>
          <w:u w:val="none"/>
        </w:rPr>
        <w:t>扎实做好城市更新行动。</w:t>
      </w:r>
      <w:r>
        <w:rPr>
          <w:rFonts w:hint="eastAsia" w:ascii="方正仿宋_GBK" w:hAnsi="方正仿宋_GBK" w:cs="方正仿宋_GBK"/>
          <w:szCs w:val="32"/>
          <w:highlight w:val="none"/>
          <w:u w:val="none"/>
        </w:rPr>
        <w:t>加快城市公共交通、市政设施等基础设施建设，新建公交站台18座，联通硬化非机动车道和人行道6万平方米，改造供水管道12公里，新建65吨锅炉1台，改造供热管道7公里。做好市政设施管理，安装户外电子大屏2处、灯箱广告牌160个，更换及维修路灯节能灯头2437盏，县城道路亮灯率达到95%以上。</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平稳发展房地产市场。</w:t>
      </w:r>
      <w:r>
        <w:rPr>
          <w:rFonts w:hint="eastAsia" w:ascii="方正仿宋_GBK" w:hAnsi="方正仿宋_GBK" w:cs="方正仿宋_GBK"/>
          <w:szCs w:val="32"/>
          <w:highlight w:val="none"/>
          <w:u w:val="none"/>
        </w:rPr>
        <w:t>按照改善型、需求型及保障型的市场测算，适度鼓励品质较高、综合配套完善的商品房建设，加快推进银桥·壹号公馆等房地产开发项目，打造集超市、餐饮、娱乐、服装销售、美容美发等为一体的商业综合体。</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加快推动城乡融合发展。</w:t>
      </w:r>
      <w:r>
        <w:rPr>
          <w:rFonts w:hint="eastAsia" w:ascii="方正仿宋_GBK" w:hAnsi="方正仿宋_GBK" w:cs="方正仿宋_GBK"/>
          <w:szCs w:val="32"/>
          <w:highlight w:val="none"/>
          <w:u w:val="none"/>
          <w:lang w:val="zh-CN"/>
        </w:rPr>
        <w:t>支持在城镇稳定就业和生活的农业转移人口举家进城落户，</w:t>
      </w:r>
      <w:r>
        <w:rPr>
          <w:rFonts w:hint="eastAsia" w:ascii="方正仿宋_GBK" w:hAnsi="方正仿宋_GBK" w:cs="方正仿宋_GBK"/>
          <w:szCs w:val="32"/>
          <w:highlight w:val="none"/>
          <w:u w:val="none"/>
        </w:rPr>
        <w:t>推进农业转移人口市民化</w:t>
      </w:r>
      <w:r>
        <w:rPr>
          <w:rFonts w:hint="eastAsia" w:ascii="方正仿宋_GBK" w:hAnsi="方正仿宋_GBK" w:cs="方正仿宋_GBK"/>
          <w:szCs w:val="32"/>
          <w:highlight w:val="none"/>
          <w:u w:val="none"/>
          <w:lang w:val="zh-CN"/>
        </w:rPr>
        <w:t>。</w:t>
      </w:r>
      <w:r>
        <w:rPr>
          <w:rFonts w:hint="eastAsia" w:ascii="方正仿宋_GBK" w:hAnsi="方正仿宋_GBK" w:cs="方正仿宋_GBK"/>
          <w:szCs w:val="32"/>
          <w:highlight w:val="none"/>
          <w:u w:val="none"/>
        </w:rPr>
        <w:t>加大住房保障力度，提供3330套保障性住房、解决1.5万人的住房需求。</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（五）巩固拓展脱贫攻坚成果，全面实施乡村振兴</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巩固拓展脱贫成果同乡村振兴有效衔接。</w:t>
      </w:r>
      <w:r>
        <w:rPr>
          <w:rFonts w:hint="eastAsia" w:ascii="方正仿宋_GBK" w:hAnsi="方正仿宋_GBK" w:cs="方正仿宋_GBK"/>
          <w:szCs w:val="32"/>
          <w:highlight w:val="none"/>
          <w:u w:val="none"/>
        </w:rPr>
        <w:t>坚持把巩固拓展脱贫攻坚成果作为乡村振兴的首要任务，落实“四个不摘”要求，狠抓防返贫动态监测帮扶，常态开展“三类户”摸排，把8000元以下群体作为重中之重，有效防范化解各类返贫致贫风险。继续做好易地扶贫搬迁后续产业扶持，针对易地扶贫搬迁安置点产业需要，推进花卉温室大棚、水果食材批发市场、木什牛养殖小区等产业建设，让搬迁群众稳得住、有就业、逐步能致富。</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深入推进乡村振兴。</w:t>
      </w:r>
      <w:r>
        <w:rPr>
          <w:rFonts w:hint="eastAsia" w:ascii="方正仿宋_GBK" w:hAnsi="方正仿宋_GBK" w:cs="方正仿宋_GBK"/>
          <w:szCs w:val="32"/>
          <w:highlight w:val="none"/>
          <w:u w:val="none"/>
        </w:rPr>
        <w:t>扎实推进示范村创建，突出抓好托克扎克镇4村和布拉克苏乡13村两个自治区重点示范村产业培育和公共基础设施建设。深入开展农村人居环境整治五年提升行动，大力实施村庄清洁行动，加快推进农村改厕，逐步将县城周边乡镇的生活污水处理管道并入县城主管网，健全农村生活垃圾收运处置体系。加强推进以乡镇政府驻地为中心的生活圈建设，支持乡镇老旧巴扎提升改造，形成30分钟公共服务圈。严格落实人均每年种植100棵树的要求，大力开展植树造林工作，各乡村内部绿化率达到40%以上。</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（六）深化重点领域改革，增强经济发展活力</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持续深化“放管服”改革。</w:t>
      </w:r>
      <w:r>
        <w:rPr>
          <w:rFonts w:hint="eastAsia" w:ascii="方正仿宋_GBK" w:hAnsi="方正仿宋_GBK" w:cs="方正仿宋_GBK"/>
          <w:szCs w:val="32"/>
          <w:highlight w:val="none"/>
          <w:u w:val="none"/>
        </w:rPr>
        <w:t>大力推进“数字政府”建设，深化自治区一体化在线政务服务平台应用，让“数据跑路”代替“群众跑腿”。认真落实政务服务向基层延伸，推进政务服务标准化、规范化、便利化。持续深化公共资源整合共享，加快组建公共资源交易中心。畅通“12345”政务服务热线，深化“接诉即办”工作机制，切实提高企业和群众的满意度。</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深化营商环境综合改革。</w:t>
      </w:r>
      <w:r>
        <w:rPr>
          <w:rFonts w:hint="eastAsia" w:ascii="方正仿宋_GBK" w:hAnsi="方正仿宋_GBK" w:cs="方正仿宋_GBK"/>
          <w:szCs w:val="32"/>
          <w:highlight w:val="none"/>
          <w:u w:val="none"/>
        </w:rPr>
        <w:t>全面落实市场准入负面清单制度，落实中小微企业简易注销制度。深化工程建设项目审批制度改革，力争到2022年底将审批时限压缩至30—60个工作日内。深入推进“双随机一公开”改革。落实《自治区实施〈优化营商环境条例〉办法》，全力以赴抓好地委营商环境专项巡察整改工作。持续清理规范涉企收费，落实减税降费各项政策，增添市场活力。</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持续深化国资国企改革。</w:t>
      </w:r>
      <w:r>
        <w:rPr>
          <w:rFonts w:hint="eastAsia" w:ascii="方正仿宋_GBK" w:hAnsi="方正仿宋_GBK" w:cs="方正仿宋_GBK"/>
          <w:szCs w:val="32"/>
          <w:highlight w:val="none"/>
          <w:u w:val="none"/>
        </w:rPr>
        <w:t>全面完成国企改革三年行动任务，加强企业领导班子建设和绩效考核管理，重点在基础设施建设、农牧、交通、旅游、水利、物业、建筑安装等领域组建和培育一批国有企业，做好国投公司发展运营，继续推动“N”家国有实体公司实质性运营，支持乡镇国有企业发展壮大。</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扎实稳妥推进农村改革。</w:t>
      </w:r>
      <w:r>
        <w:rPr>
          <w:rFonts w:hint="eastAsia" w:ascii="方正仿宋_GBK" w:hAnsi="方正仿宋_GBK" w:cs="方正仿宋_GBK"/>
          <w:szCs w:val="32"/>
          <w:highlight w:val="none"/>
          <w:u w:val="none"/>
        </w:rPr>
        <w:t>巩固拓展农村土地确权登记颁证成果，做好133个股份经济合作社铜牌、制度牌、公章和开户服务工作。深化农业水价综合改革，加快支斗渠末级计量设施安装及水权交易等工作。</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（七）大力推进生态文明建设，促进经济社会绿色低碳发展</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持续开展大气污染防治。</w:t>
      </w:r>
      <w:r>
        <w:rPr>
          <w:rFonts w:hint="eastAsia" w:ascii="方正仿宋_GBK" w:hAnsi="方正仿宋_GBK" w:cs="方正仿宋_GBK"/>
          <w:szCs w:val="32"/>
          <w:highlight w:val="none"/>
          <w:u w:val="none"/>
        </w:rPr>
        <w:t>加快推进2家集中供热公司开展除尘脱硫脱硝污染防治，推动65蒸吨以上锅炉超低排放改造。加强对4家砖瓦行业的企业大气污染治理设施的监督检查力度，完成11个工业燃气锅炉低氮燃烧技术改造。推进两个自治区级园区环境空气质量自动监测站的建设并运行</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lang w:val="en-US" w:eastAsia="zh-CN"/>
        </w:rPr>
        <w:t>加快在</w:t>
      </w:r>
      <w:r>
        <w:rPr>
          <w:rFonts w:hint="eastAsia" w:ascii="方正仿宋_GBK" w:hAnsi="方正仿宋_GBK" w:cs="方正仿宋_GBK"/>
          <w:szCs w:val="32"/>
          <w:highlight w:val="none"/>
          <w:u w:val="none"/>
        </w:rPr>
        <w:t>施工面积3000平方米以上的建筑工地安装在线监测和视频监控设备。</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扎实做好水污染防治。</w:t>
      </w:r>
      <w:r>
        <w:rPr>
          <w:rFonts w:hint="eastAsia" w:ascii="方正仿宋_GBK" w:hAnsi="方正仿宋_GBK" w:cs="方正仿宋_GBK"/>
          <w:szCs w:val="32"/>
          <w:highlight w:val="none"/>
          <w:u w:val="none"/>
        </w:rPr>
        <w:t>做好污水处理厂的监管，确保尾水达标排放。做好18家医疗污水治理设施监督检查，杜绝无证排污。做好农村生活污水治理。做好饮用水源地保护，严格落实水源地保护措施。严格落实河（湖、库）长制，常态化开展“清四乱”活动，持续改善水环境。</w:t>
      </w:r>
    </w:p>
    <w:p>
      <w:pP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切实做好土壤污染防治。</w:t>
      </w:r>
      <w:r>
        <w:rPr>
          <w:rFonts w:hint="eastAsia" w:ascii="方正仿宋_GBK" w:hAnsi="方正仿宋_GBK" w:cs="方正仿宋_GBK"/>
          <w:szCs w:val="32"/>
          <w:highlight w:val="none"/>
          <w:u w:val="none"/>
        </w:rPr>
        <w:t>推进固体废物垃圾填埋场工程建设和运营使用，统一设置土壤环境质量警戒线，定期研判土壤环境质量变化。</w:t>
      </w:r>
    </w:p>
    <w:p>
      <w:pP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加大生态环境保护和建设力度。</w:t>
      </w:r>
      <w:r>
        <w:rPr>
          <w:rFonts w:hint="eastAsia" w:ascii="方正仿宋_GBK" w:hAnsi="方正仿宋_GBK" w:cs="方正仿宋_GBK"/>
          <w:szCs w:val="32"/>
          <w:highlight w:val="none"/>
          <w:u w:val="none"/>
        </w:rPr>
        <w:t>加强城市绿化建设，继续推进防风固沙、塔里木河流域生态修复治理工程，加快推进“一市两县”道路绿化、花城大道、314国道环境提升等工程，新增绿地面积100公顷，人均绿地达到23.3平方米，改扩建街头小游园6处，人均公园绿地达到12.39平方米。加快推进污水垃圾治理，持续推进垃圾分类，谋划推进城东区污水处理厂（二期）工程。</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（八）切实保障改善民生，不断增强各族群众福祉</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大力实施扩大就业工程。</w:t>
      </w:r>
      <w:r>
        <w:rPr>
          <w:rFonts w:hint="eastAsia" w:ascii="方正仿宋_GBK" w:hAnsi="方正仿宋_GBK" w:cs="方正仿宋_GBK"/>
          <w:szCs w:val="32"/>
          <w:highlight w:val="none"/>
          <w:u w:val="none"/>
        </w:rPr>
        <w:t>强化就业优先政策，统筹做好重点群体就业工作，实现城镇新增就业4200人，农村劳动力转移就业7.5万人次，实现人均增收1000元以上。加强技工院校建设，推进技工学校实训基地、食堂等工程，做好室内体育场、室外操场及校内外道路、供排水、燃气、电力等配套附属。支持喀什职业技术学院健康医学院早日开工建设。</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大力推动教育事业发展。</w:t>
      </w:r>
      <w:r>
        <w:rPr>
          <w:rFonts w:hint="eastAsia" w:ascii="方正仿宋_GBK" w:hAnsi="方正仿宋_GBK" w:cs="方正仿宋_GBK"/>
          <w:szCs w:val="32"/>
          <w:highlight w:val="none"/>
          <w:u w:val="none"/>
        </w:rPr>
        <w:t>全面提升学前教育质量，对20所幼儿园进行提升改造。持续推进义务教育优质均衡发展，加快推进实验小学（第三小学）建设；进一步加快教育现代化进程，促进信息技术与教育教学深度融合。提升普通高中教学质量，以强化特色引领高中学校健康发展。加强职业教育基础设施建设，推进职业高中建设公共实训场地。加快发展特殊教育，新建一所特殊教育学校。持续关心关爱教师，加大家庭经济困难学生帮扶。</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全力提升医疗保障水平。</w:t>
      </w:r>
      <w:r>
        <w:rPr>
          <w:rFonts w:hint="eastAsia" w:ascii="方正仿宋_GBK" w:hAnsi="方正仿宋_GBK" w:cs="方正仿宋_GBK"/>
          <w:szCs w:val="32"/>
          <w:highlight w:val="none"/>
          <w:u w:val="none"/>
        </w:rPr>
        <w:t>加强公共卫生基础设施建设，加快推进人民医院新院区、维吾尔医院发热门诊等项目，完成急救中心建设。加快推进健康疏附建设，推进医疗物资储备库竣工投用，全力以赴完成留观隔离点工程建设，加快推进疾病预防控制中心检测能力和疾病防控能力提升项目。依托乡镇卫生院推进中医馆建设，提高中医药服务能力。持续开展城乡居民免费健康体检，深入开展全民健身活动和爱国卫生运动，强化重点地方病、职业病防治救治。</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继续加大社会保障力度。</w:t>
      </w:r>
      <w:r>
        <w:rPr>
          <w:rFonts w:hint="eastAsia" w:ascii="方正仿宋_GBK" w:hAnsi="方正仿宋_GBK" w:cs="方正仿宋_GBK"/>
          <w:szCs w:val="32"/>
          <w:highlight w:val="none"/>
          <w:u w:val="none"/>
        </w:rPr>
        <w:t>做好吾库萨克镇、托克扎克镇城乡低保审批权力下放试点工作。加强残疾人康复锻炼，新建</w:t>
      </w:r>
      <w:r>
        <w:rPr>
          <w:rFonts w:hint="eastAsia" w:ascii="方正仿宋_GBK" w:hAnsi="方正仿宋_GBK" w:cs="方正仿宋_GBK"/>
          <w:szCs w:val="32"/>
          <w:highlight w:val="none"/>
          <w:u w:val="none"/>
          <w:lang w:val="en-US" w:eastAsia="zh-CN"/>
        </w:rPr>
        <w:t>3200平方米的托</w:t>
      </w:r>
      <w:r>
        <w:rPr>
          <w:rFonts w:hint="eastAsia" w:ascii="方正仿宋_GBK" w:hAnsi="方正仿宋_GBK" w:cs="方正仿宋_GBK"/>
          <w:szCs w:val="32"/>
          <w:highlight w:val="none"/>
          <w:u w:val="none"/>
        </w:rPr>
        <w:t>养中心。全面做好康养服务事业，继续推进福兴苑养老院项目建设运营，启动实施疏附县老年公寓。做好县乡敬老院消防设施能力提升改造。持续做好“最美退役军人”宣传选树，在全社会营造尊崇军人、关心国防的良好氛围。坚决落实各项优待政策措施，</w:t>
      </w:r>
      <w:r>
        <w:rPr>
          <w:rFonts w:hint="eastAsia" w:ascii="方正仿宋_GBK" w:hAnsi="方正仿宋_GBK" w:cs="方正仿宋_GBK"/>
          <w:szCs w:val="32"/>
          <w:highlight w:val="none"/>
          <w:u w:val="none"/>
          <w:lang w:val="en-US" w:eastAsia="zh-CN"/>
        </w:rPr>
        <w:t>全面促进</w:t>
      </w:r>
      <w:r>
        <w:rPr>
          <w:rFonts w:hint="eastAsia" w:ascii="方正仿宋_GBK" w:hAnsi="方正仿宋_GBK" w:cs="方正仿宋_GBK"/>
          <w:szCs w:val="32"/>
          <w:highlight w:val="none"/>
          <w:u w:val="none"/>
        </w:rPr>
        <w:t>退役人员</w:t>
      </w:r>
      <w:r>
        <w:rPr>
          <w:rFonts w:hint="eastAsia" w:ascii="方正仿宋_GBK" w:hAnsi="方正仿宋_GBK" w:cs="方正仿宋_GBK"/>
          <w:szCs w:val="32"/>
          <w:highlight w:val="none"/>
          <w:u w:val="none"/>
          <w:lang w:val="en-US" w:eastAsia="zh-CN"/>
        </w:rPr>
        <w:t>就业创业</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rPr>
        <w:t>贯彻落实《新疆维吾尔自治区妇女发展规划（2021—2025年）》《新疆维吾尔自治区儿童发展规划（2021—2025年）》，不遗余力保障妇女儿童权益。</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不断改善住房条件。</w:t>
      </w:r>
      <w:r>
        <w:rPr>
          <w:rFonts w:hint="eastAsia" w:ascii="方正仿宋_GBK" w:hAnsi="方正仿宋_GBK" w:cs="方正仿宋_GBK"/>
          <w:szCs w:val="32"/>
          <w:highlight w:val="none"/>
          <w:u w:val="none"/>
        </w:rPr>
        <w:t>加快推进1000套公租房、432套保障性租赁住房、100套棚改安置房建设；继续推进城镇老旧小区提升改造，对水利局家属院、种子公司家属院等8个小区、19栋楼实施老旧小区改造，完善供水、排水、供热、供气、道路、绿化、亮化等设施，改善群众居住条件。启动“煤改电”二期工程，全面完成6438户改造任务。</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（九）做好对口援疆工作，推动对口援疆取得新成效</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 w:val="32"/>
          <w:szCs w:val="32"/>
          <w:highlight w:val="none"/>
          <w:u w:val="none"/>
        </w:rPr>
      </w:pPr>
      <w:r>
        <w:rPr>
          <w:rFonts w:hint="eastAsia" w:ascii="方正仿宋_GBK" w:hAnsi="方正仿宋_GBK" w:cs="方正仿宋_GBK"/>
          <w:sz w:val="32"/>
          <w:szCs w:val="32"/>
          <w:highlight w:val="none"/>
          <w:u w:val="none"/>
        </w:rPr>
        <w:t>坚持援疆项目和资金向民生、基层倾斜，全面实施好5.36亿元援疆资金项目，持续抓好电信援疆资金项目执行。</w:t>
      </w:r>
      <w:r>
        <w:rPr>
          <w:rFonts w:hint="eastAsia" w:ascii="方正仿宋_GBK" w:hAnsi="方正仿宋_GBK" w:cs="方正仿宋_GBK"/>
          <w:b/>
          <w:bCs/>
          <w:sz w:val="32"/>
          <w:szCs w:val="32"/>
          <w:highlight w:val="none"/>
          <w:u w:val="none"/>
        </w:rPr>
        <w:t>务实推进产业援疆</w:t>
      </w:r>
      <w:r>
        <w:rPr>
          <w:rFonts w:hint="eastAsia" w:ascii="方正仿宋_GBK" w:hAnsi="方正仿宋_GBK" w:cs="方正仿宋_GBK"/>
          <w:b/>
          <w:bCs/>
          <w:sz w:val="32"/>
          <w:szCs w:val="32"/>
          <w:highlight w:val="none"/>
          <w:u w:val="none"/>
          <w:lang w:eastAsia="zh-CN"/>
        </w:rPr>
        <w:t>。</w:t>
      </w:r>
      <w:r>
        <w:rPr>
          <w:rFonts w:hint="eastAsia" w:ascii="方正仿宋_GBK" w:hAnsi="方正仿宋_GBK" w:cs="方正仿宋_GBK"/>
          <w:sz w:val="32"/>
          <w:szCs w:val="32"/>
          <w:highlight w:val="none"/>
          <w:u w:val="none"/>
        </w:rPr>
        <w:t>加快推进粤港澳大湾区“菜篮子”生产基地建设，种植红菜苔、豌豆苗、广东菜心</w:t>
      </w:r>
      <w:r>
        <w:rPr>
          <w:rFonts w:hint="eastAsia" w:ascii="方正仿宋_GBK" w:hAnsi="方正仿宋_GBK" w:cs="方正仿宋_GBK"/>
          <w:sz w:val="32"/>
          <w:szCs w:val="32"/>
          <w:highlight w:val="none"/>
          <w:u w:val="none"/>
          <w:lang w:val="en-US" w:eastAsia="zh-CN"/>
        </w:rPr>
        <w:t>和</w:t>
      </w:r>
      <w:r>
        <w:rPr>
          <w:rFonts w:hint="eastAsia" w:ascii="方正仿宋_GBK" w:hAnsi="方正仿宋_GBK" w:cs="方正仿宋_GBK"/>
          <w:sz w:val="32"/>
          <w:szCs w:val="32"/>
          <w:highlight w:val="none"/>
          <w:u w:val="none"/>
        </w:rPr>
        <w:t>中草药等高价值农作物；发挥援疆优势，招引一批高质量劳动密集型企业。</w:t>
      </w:r>
      <w:r>
        <w:rPr>
          <w:rFonts w:hint="eastAsia" w:ascii="方正仿宋_GBK" w:hAnsi="方正仿宋_GBK" w:cs="方正仿宋_GBK"/>
          <w:b/>
          <w:bCs/>
          <w:sz w:val="32"/>
          <w:szCs w:val="32"/>
          <w:highlight w:val="none"/>
          <w:u w:val="none"/>
        </w:rPr>
        <w:t>持续推进民生援疆</w:t>
      </w:r>
      <w:r>
        <w:rPr>
          <w:rFonts w:hint="eastAsia" w:ascii="方正仿宋_GBK" w:hAnsi="方正仿宋_GBK" w:cs="方正仿宋_GBK"/>
          <w:b/>
          <w:bCs/>
          <w:sz w:val="32"/>
          <w:szCs w:val="32"/>
          <w:highlight w:val="none"/>
          <w:u w:val="none"/>
          <w:lang w:eastAsia="zh-CN"/>
        </w:rPr>
        <w:t>。</w:t>
      </w:r>
      <w:r>
        <w:rPr>
          <w:rFonts w:hint="eastAsia" w:ascii="方正仿宋_GBK" w:hAnsi="方正仿宋_GBK" w:cs="方正仿宋_GBK"/>
          <w:sz w:val="32"/>
          <w:szCs w:val="32"/>
          <w:highlight w:val="none"/>
          <w:u w:val="none"/>
        </w:rPr>
        <w:t>加大“一十百千万”工程支持力度，全力支持民族团结交流活动，推动援疆干部人才与群众认亲戚、交朋友、结对子，在交流交往中加深感情、增进团结，不断提升增进各族群众对中华文化的认同。围绕援疆民族团结进步示范创建，在广州新城设立维吾尔医理疗馆。</w:t>
      </w:r>
      <w:r>
        <w:rPr>
          <w:rFonts w:hint="eastAsia" w:ascii="方正仿宋_GBK" w:hAnsi="方正仿宋_GBK" w:cs="方正仿宋_GBK"/>
          <w:b/>
          <w:bCs/>
          <w:sz w:val="32"/>
          <w:szCs w:val="32"/>
          <w:highlight w:val="none"/>
          <w:u w:val="none"/>
        </w:rPr>
        <w:t>扎实做好文化润疆</w:t>
      </w:r>
      <w:r>
        <w:rPr>
          <w:rFonts w:hint="eastAsia" w:ascii="方正仿宋_GBK" w:hAnsi="方正仿宋_GBK" w:cs="方正仿宋_GBK"/>
          <w:b/>
          <w:bCs/>
          <w:sz w:val="32"/>
          <w:szCs w:val="32"/>
          <w:highlight w:val="none"/>
          <w:u w:val="none"/>
          <w:lang w:eastAsia="zh-CN"/>
        </w:rPr>
        <w:t>。</w:t>
      </w:r>
      <w:r>
        <w:rPr>
          <w:rFonts w:hint="eastAsia" w:ascii="方正仿宋_GBK" w:hAnsi="方正仿宋_GBK" w:cs="方正仿宋_GBK"/>
          <w:sz w:val="32"/>
          <w:szCs w:val="32"/>
          <w:highlight w:val="none"/>
          <w:u w:val="none"/>
        </w:rPr>
        <w:t>进一步打造新时代文明实践中心（站所），持续做好县乡村文化润疆示范点打造</w:t>
      </w:r>
      <w:r>
        <w:rPr>
          <w:rFonts w:hint="eastAsia" w:ascii="方正仿宋_GBK" w:hAnsi="方正仿宋_GBK" w:cs="方正仿宋_GBK"/>
          <w:sz w:val="32"/>
          <w:szCs w:val="32"/>
          <w:highlight w:val="none"/>
          <w:u w:val="none"/>
          <w:lang w:val="en-US" w:eastAsia="zh-CN"/>
        </w:rPr>
        <w:t>各项工作</w:t>
      </w:r>
      <w:r>
        <w:rPr>
          <w:rFonts w:hint="eastAsia" w:ascii="方正仿宋_GBK" w:hAnsi="方正仿宋_GBK" w:cs="方正仿宋_GBK"/>
          <w:sz w:val="32"/>
          <w:szCs w:val="32"/>
          <w:highlight w:val="none"/>
          <w:u w:val="none"/>
        </w:rPr>
        <w:t>。</w:t>
      </w:r>
      <w:r>
        <w:rPr>
          <w:rFonts w:hint="eastAsia" w:ascii="方正仿宋_GBK" w:hAnsi="方正仿宋_GBK" w:cs="方正仿宋_GBK"/>
          <w:b/>
          <w:bCs/>
          <w:sz w:val="32"/>
          <w:szCs w:val="32"/>
          <w:highlight w:val="none"/>
          <w:u w:val="none"/>
          <w:lang w:val="en-US" w:eastAsia="zh-CN"/>
        </w:rPr>
        <w:t>巩固提升干部人才援疆。</w:t>
      </w:r>
      <w:r>
        <w:rPr>
          <w:rFonts w:hint="eastAsia" w:ascii="方正仿宋_GBK" w:hAnsi="方正仿宋_GBK" w:cs="方正仿宋_GBK"/>
          <w:sz w:val="32"/>
          <w:szCs w:val="32"/>
          <w:highlight w:val="none"/>
          <w:u w:val="none"/>
        </w:rPr>
        <w:t>做好援疆人才干部后勤服务，助推医疗卫生、教育领域服务文化润疆的能力不断提升。</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方正楷体_GBK" w:hAnsi="方正楷体_GBK" w:eastAsia="方正楷体_GBK" w:cs="方正楷体_GBK"/>
          <w:b/>
          <w:szCs w:val="32"/>
          <w:highlight w:val="none"/>
          <w:u w:val="none"/>
        </w:rPr>
      </w:pPr>
      <w:r>
        <w:rPr>
          <w:rFonts w:hint="eastAsia" w:ascii="方正楷体_GBK" w:hAnsi="方正楷体_GBK" w:eastAsia="方正楷体_GBK" w:cs="方正楷体_GBK"/>
          <w:b/>
          <w:szCs w:val="32"/>
          <w:highlight w:val="none"/>
          <w:u w:val="none"/>
        </w:rPr>
        <w:t>（十）做好“两个统筹”，持续防范化解重大领域风险</w:t>
      </w:r>
    </w:p>
    <w:p>
      <w:pPr>
        <w:pBdr>
          <w:top w:val="none" w:color="auto" w:sz="0" w:space="1"/>
          <w:left w:val="none" w:color="auto" w:sz="0" w:space="4"/>
          <w:bottom w:val="none" w:color="auto" w:sz="0" w:space="1"/>
          <w:right w:val="none" w:color="auto" w:sz="0" w:space="4"/>
        </w:pBdr>
        <w:tabs>
          <w:tab w:val="left" w:pos="4260"/>
        </w:tabs>
        <w:spacing w:line="560" w:lineRule="exact"/>
        <w:ind w:firstLine="632" w:firstLineChars="200"/>
        <w:jc w:val="both"/>
        <w:rPr>
          <w:rFonts w:ascii="仿宋_GB2312" w:hAnsi="仿宋_GB2312" w:eastAsia="仿宋_GB2312" w:cs="仿宋_GB2312"/>
          <w:szCs w:val="32"/>
          <w:highlight w:val="none"/>
          <w:u w:val="none"/>
        </w:rPr>
      </w:pPr>
      <w:r>
        <w:rPr>
          <w:rFonts w:hint="eastAsia" w:ascii="方正黑体_GBK" w:hAnsi="方正黑体_GBK" w:eastAsia="方正黑体_GBK" w:cs="方正黑体_GBK"/>
          <w:bCs/>
          <w:szCs w:val="32"/>
          <w:highlight w:val="none"/>
          <w:u w:val="none"/>
        </w:rPr>
        <w:t>毫不放松抓好社会稳定工作。</w:t>
      </w:r>
      <w:r>
        <w:rPr>
          <w:rFonts w:hint="eastAsia" w:ascii="方正仿宋_GBK" w:hAnsi="方正仿宋_GBK" w:cs="方正仿宋_GBK"/>
          <w:szCs w:val="32"/>
          <w:highlight w:val="none"/>
          <w:u w:val="none"/>
        </w:rPr>
        <w:t>始终绷紧反恐维稳这根弦，高举社会主义法治旗帜，弘扬法治精神，依法依规进行社会治理</w:t>
      </w:r>
      <w:r>
        <w:rPr>
          <w:rFonts w:hint="eastAsia" w:ascii="方正仿宋_GBK" w:hAnsi="方正仿宋_GBK" w:cs="方正仿宋_GBK"/>
          <w:szCs w:val="32"/>
          <w:highlight w:val="none"/>
          <w:u w:val="none"/>
          <w:lang w:eastAsia="zh-CN"/>
        </w:rPr>
        <w:t>，</w:t>
      </w:r>
      <w:r>
        <w:rPr>
          <w:rFonts w:hint="eastAsia" w:ascii="方正仿宋_GBK" w:hAnsi="方正仿宋_GBK" w:cs="方正仿宋_GBK"/>
          <w:szCs w:val="32"/>
          <w:highlight w:val="none"/>
          <w:u w:val="none"/>
        </w:rPr>
        <w:t>打造共建共治共享的社会治理格局。</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毫不放松抓好常态化疫情防控工作。</w:t>
      </w:r>
      <w:r>
        <w:rPr>
          <w:rFonts w:hint="eastAsia" w:ascii="方正仿宋_GBK" w:hAnsi="方正仿宋_GBK" w:cs="方正仿宋_GBK"/>
          <w:szCs w:val="32"/>
          <w:highlight w:val="none"/>
          <w:u w:val="none"/>
        </w:rPr>
        <w:t>坚决贯彻落实“外防输入、内防反弹”总策略，</w:t>
      </w:r>
      <w:r>
        <w:rPr>
          <w:rFonts w:hint="eastAsia" w:ascii="方正仿宋_GBK" w:hAnsi="方正仿宋_GBK" w:cs="方正仿宋_GBK"/>
          <w:szCs w:val="32"/>
          <w:highlight w:val="none"/>
          <w:u w:val="none"/>
          <w:lang w:eastAsia="zh-CN"/>
        </w:rPr>
        <w:t>依法科学精准毫不放松推进常态化疫情防控</w:t>
      </w:r>
      <w:r>
        <w:rPr>
          <w:rFonts w:hint="eastAsia" w:ascii="方正仿宋_GBK" w:hAnsi="方正仿宋_GBK" w:cs="方正仿宋_GBK"/>
          <w:szCs w:val="32"/>
          <w:highlight w:val="none"/>
          <w:u w:val="none"/>
        </w:rPr>
        <w:t>。强化监测预警，落实落细各项防控措施，继续做好疫苗接种工作。不断强化物资保障，做好各类生活和医疗物资储备。</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毫不放松抓好安全生产工作。</w:t>
      </w:r>
      <w:r>
        <w:rPr>
          <w:rFonts w:hint="eastAsia" w:ascii="方正仿宋_GBK" w:hAnsi="方正仿宋_GBK" w:cs="方正仿宋_GBK"/>
          <w:szCs w:val="32"/>
          <w:highlight w:val="none"/>
          <w:u w:val="none"/>
        </w:rPr>
        <w:t>严格落实安全生产责任，强化资金保障，深入开展安全生产专项整治三年行动。下大力气补齐短板弱项，加强乡镇基层应急救援能力建设，购置消防车、消防救援装备运输车等应急救援设备。加强救灾物资储备库建设和管理工作。持续提升自然灾害防御能力，有效防范和坚决遏制重特大事故发生。</w:t>
      </w:r>
    </w:p>
    <w:p>
      <w:pPr>
        <w:pBdr>
          <w:top w:val="none" w:color="auto" w:sz="0" w:space="1"/>
          <w:left w:val="none" w:color="auto" w:sz="0" w:space="4"/>
          <w:bottom w:val="none" w:color="auto" w:sz="0" w:space="1"/>
          <w:right w:val="none" w:color="auto" w:sz="0" w:space="4"/>
        </w:pBdr>
        <w:spacing w:line="560" w:lineRule="exact"/>
        <w:ind w:firstLine="632" w:firstLineChars="200"/>
        <w:jc w:val="both"/>
        <w:rPr>
          <w:rFonts w:ascii="方正仿宋_GBK" w:hAnsi="方正仿宋_GBK" w:cs="方正仿宋_GBK"/>
          <w:szCs w:val="32"/>
          <w:highlight w:val="none"/>
          <w:u w:val="none"/>
        </w:rPr>
      </w:pPr>
      <w:r>
        <w:rPr>
          <w:rFonts w:hint="eastAsia" w:ascii="方正黑体_GBK" w:hAnsi="方正黑体_GBK" w:eastAsia="方正黑体_GBK" w:cs="方正黑体_GBK"/>
          <w:bCs/>
          <w:szCs w:val="32"/>
          <w:highlight w:val="none"/>
          <w:u w:val="none"/>
        </w:rPr>
        <w:t>毫不放松抓好财税金融工作。</w:t>
      </w:r>
      <w:r>
        <w:rPr>
          <w:rFonts w:hint="eastAsia" w:ascii="方正仿宋_GBK" w:hAnsi="方正仿宋_GBK" w:cs="方正仿宋_GBK"/>
          <w:szCs w:val="32"/>
          <w:highlight w:val="none"/>
          <w:u w:val="none"/>
        </w:rPr>
        <w:t>树牢“过紧日子”的思想，持续压减一般性支出、“三公”经费支出，最大程度保基本民生、保工资、保运转。加强财源税源建设，拓宽税收增收渠道。健全防范化解重大金融风险的长效机制，加强债务风险监测，严防新增政府债务，严控企业融资担保风险，坚决守住不发生系统性风险的底线。</w:t>
      </w:r>
    </w:p>
    <w:p>
      <w:pPr>
        <w:pBdr>
          <w:top w:val="none" w:color="auto" w:sz="0" w:space="1"/>
          <w:left w:val="none" w:color="auto" w:sz="0" w:space="4"/>
          <w:bottom w:val="none" w:color="auto" w:sz="0" w:space="1"/>
          <w:right w:val="none" w:color="auto" w:sz="0" w:space="4"/>
        </w:pBdr>
        <w:spacing w:line="560" w:lineRule="exact"/>
        <w:ind w:firstLine="632" w:firstLineChars="200"/>
        <w:jc w:val="both"/>
        <w:rPr>
          <w:highlight w:val="none"/>
          <w:u w:val="none"/>
        </w:rPr>
      </w:pPr>
      <w:r>
        <w:rPr>
          <w:rFonts w:hint="eastAsia" w:ascii="方正仿宋_GBK" w:hAnsi="方正仿宋_GBK" w:cs="方正仿宋_GBK"/>
          <w:b/>
          <w:bCs/>
          <w:szCs w:val="32"/>
          <w:highlight w:val="none"/>
          <w:u w:val="none"/>
        </w:rPr>
        <w:t>各位代表，</w:t>
      </w:r>
      <w:r>
        <w:rPr>
          <w:rFonts w:hint="eastAsia" w:ascii="方正仿宋_GBK" w:hAnsi="方正仿宋_GBK" w:cs="方正仿宋_GBK"/>
          <w:szCs w:val="32"/>
          <w:highlight w:val="none"/>
          <w:u w:val="none"/>
        </w:rPr>
        <w:t>扬帆奋进正当时，砥砺前行谱新篇。做好2022年经济社会发展工作任务艰巨、责任重大、使命光荣，让我们更加紧密地团结在以习近平同志为核心的党中央周围，在习近平新时代中国特色社会主义思想指引下，衷心拥护“两个确立”，忠诚践行“两个维护”，在县委的坚强领导下，在县人大、政协的监督支持下，团结和依靠全县各族人民</w:t>
      </w:r>
      <w:r>
        <w:rPr>
          <w:rFonts w:hint="eastAsia" w:ascii="方正仿宋_GBK" w:hAnsi="方正仿宋_GBK" w:cs="方正仿宋_GBK"/>
          <w:szCs w:val="32"/>
          <w:highlight w:val="none"/>
          <w:u w:val="none"/>
          <w:lang w:val="en-US" w:eastAsia="zh-CN"/>
        </w:rPr>
        <w:t>群众</w:t>
      </w:r>
      <w:r>
        <w:rPr>
          <w:rFonts w:hint="eastAsia" w:ascii="方正仿宋_GBK" w:hAnsi="方正仿宋_GBK" w:cs="方正仿宋_GBK"/>
          <w:szCs w:val="32"/>
          <w:highlight w:val="none"/>
          <w:u w:val="none"/>
        </w:rPr>
        <w:t>，不忘初心、牢记使命，踔厉奋发、笃行不怠，为建设团结和谐、繁荣富裕、文明进步、安居乐业、生态良好的新时代中国特色社会主义疏附而努力奋斗，以优异成绩向党的二十大献礼！</w:t>
      </w:r>
    </w:p>
    <w:sectPr>
      <w:headerReference r:id="rId3" w:type="default"/>
      <w:footerReference r:id="rId5" w:type="default"/>
      <w:headerReference r:id="rId4" w:type="even"/>
      <w:footerReference r:id="rId6" w:type="even"/>
      <w:pgSz w:w="11907" w:h="16839"/>
      <w:pgMar w:top="2098" w:right="1531" w:bottom="1984" w:left="1531" w:header="850" w:footer="1304" w:gutter="0"/>
      <w:pgNumType w:fmt="numberInDash" w:start="1"/>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0ytnU1gEAALE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apQuRlmHASp3H2ZMVhN0yEdq49Ic8eF6KhFvefEv3Jot5pd2YjzMZuNg4+qH2Xlyv1Av/h&#10;EHG4PHPqMMIi1+TgS2bW09alVXnq56rHP23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hpgkvT&#10;AAAABQEAAA8AAAAAAAAAAQAgAAAAOAAAAGRycy9kb3ducmV2LnhtbFBLAQIUABQAAAAIAIdO4kB0&#10;ytnU1gEAALEDAAAOAAAAAAAAAAEAIAAAADgBAABkcnMvZTJvRG9jLnhtbFBLBQYAAAAABgAGAFkB&#10;AACABQAAAAA=&#10;">
              <v:fill on="f" focussize="0,0"/>
              <v:stroke on="f" weight="1.2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Fonts w:eastAsia="仿宋_GB231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IzVfM1wEAALEDAAAOAAAA&#10;ZHJzL2Uyb0RvYy54bWytU82O0zAQviPxDpbvNNlIC1HUdLWoWoSEAGnZB3Adu7HkP3ncJn0BeANO&#10;XLjzXH0Oxk7SRctlD3txZjzjb+b7ZrK+GY0mRxFAOdvSq1VJibDcdcruW/rw7e5NTQlEZjumnRUt&#10;PQmgN5vXr9aDb0Tleqc7EQiCWGgG39I+Rt8UBfBeGAYr54XFoHTBsIhu2BddYAOiG11UZfm2GFzo&#10;fHBcAODtdgrSGTE8B9BJqbjYOn4wwsYJNQjNIlKCXnmgm9ytlILHL1KCiES3FJnGfGIRtHfpLDZr&#10;1uwD873icwvsOS084WSYslj0ArVlkZFDUP9BGcWDAyfjijtTTESyIsjiqnyizX3PvMhcUGrwF9Hh&#10;5WD55+PXQFTX0ooSywwO/Pzzx/nXn/Pv76RK8gweGsy695gXx/duxKVZ7gEvE+tRBpO+yIdgHMU9&#10;XcQVYyQ8Paqrui4xxDG2OIhfPD73AeIH4QxJRksDTi+Lyo6fIE6pS0qqZt2d0jpPUFsyIOp1/e46&#10;v7iEEF3blCzyMsw4idPUe7LiuBtnojvXnZDngAvRUov7T4n+aFHvtDuLERZjtxgHH9S+z8uVaoG/&#10;PURsLvecKkywyDU5OMnMet66tCr/+jnr8U/b/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oaYJL&#10;0wAAAAUBAAAPAAAAAAAAAAEAIAAAADgAAABkcnMvZG93bnJldi54bWxQSwECFAAUAAAACACHTuJA&#10;SM1XzNcBAACxAwAADgAAAAAAAAABACAAAAA4AQAAZHJzL2Uyb0RvYy54bWxQSwUGAAAAAAYABgBZ&#10;AQAAgQUAAAAA&#10;">
              <v:fill on="f" focussize="0,0"/>
              <v:stroke on="f" weight="1.25pt"/>
              <v:imagedata o:title=""/>
              <o:lock v:ext="edit" aspectratio="f"/>
              <v:textbox inset="0mm,0mm,0mm,0mm" style="mso-fit-shape-to-text:t;">
                <w:txbxContent>
                  <w:p>
                    <w:pPr>
                      <w:pStyle w:val="6"/>
                      <w:rPr>
                        <w:rFonts w:eastAsia="仿宋_GB231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D5AD2"/>
    <w:rsid w:val="004465C0"/>
    <w:rsid w:val="008F1614"/>
    <w:rsid w:val="00F827BE"/>
    <w:rsid w:val="018C154E"/>
    <w:rsid w:val="048B5AAA"/>
    <w:rsid w:val="0BC55D1D"/>
    <w:rsid w:val="0D8473EC"/>
    <w:rsid w:val="119B067C"/>
    <w:rsid w:val="1260799F"/>
    <w:rsid w:val="17082CA2"/>
    <w:rsid w:val="27D26E8A"/>
    <w:rsid w:val="27ED2875"/>
    <w:rsid w:val="28E264C9"/>
    <w:rsid w:val="30BC35F4"/>
    <w:rsid w:val="32DA54BB"/>
    <w:rsid w:val="334D6870"/>
    <w:rsid w:val="39225488"/>
    <w:rsid w:val="3E112849"/>
    <w:rsid w:val="3E8536B0"/>
    <w:rsid w:val="43670EB5"/>
    <w:rsid w:val="49710E08"/>
    <w:rsid w:val="515F7708"/>
    <w:rsid w:val="54196DC8"/>
    <w:rsid w:val="576D5AD2"/>
    <w:rsid w:val="5BE654A4"/>
    <w:rsid w:val="5E65677C"/>
    <w:rsid w:val="60577838"/>
    <w:rsid w:val="6A662725"/>
    <w:rsid w:val="6C022EBF"/>
    <w:rsid w:val="6CAC22E8"/>
    <w:rsid w:val="72E444E7"/>
    <w:rsid w:val="77F9150C"/>
    <w:rsid w:val="78544BC2"/>
    <w:rsid w:val="7EEE764D"/>
    <w:rsid w:val="EEBB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方正仿宋_GBK" w:cs="Times New Roman"/>
      <w:kern w:val="2"/>
      <w:sz w:val="32"/>
      <w:lang w:val="en-US" w:eastAsia="zh-CN" w:bidi="ar-SA"/>
    </w:rPr>
  </w:style>
  <w:style w:type="paragraph" w:styleId="2">
    <w:name w:val="heading 3"/>
    <w:basedOn w:val="3"/>
    <w:next w:val="5"/>
    <w:qFormat/>
    <w:uiPriority w:val="0"/>
    <w:pPr>
      <w:spacing w:beforeAutospacing="1" w:afterAutospacing="1"/>
      <w:outlineLvl w:val="2"/>
    </w:pPr>
    <w:rPr>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index 8"/>
    <w:basedOn w:val="1"/>
    <w:next w:val="1"/>
    <w:unhideWhenUsed/>
    <w:qFormat/>
    <w:uiPriority w:val="99"/>
    <w:pPr>
      <w:ind w:left="2940"/>
    </w:pPr>
  </w:style>
  <w:style w:type="paragraph" w:styleId="5">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7"/>
      </w:tabs>
      <w:snapToGrid w:val="0"/>
    </w:pPr>
    <w:rPr>
      <w:rFonts w:hAnsi="Times New Roman" w:eastAsia="宋体"/>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Ansi="Times New Roman" w:eastAsia="宋体"/>
      <w:sz w:val="18"/>
      <w:szCs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12672</Words>
  <Characters>13301</Characters>
  <Lines>6</Lines>
  <Paragraphs>26</Paragraphs>
  <TotalTime>5</TotalTime>
  <ScaleCrop>false</ScaleCrop>
  <LinksUpToDate>false</LinksUpToDate>
  <CharactersWithSpaces>13303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2022-02-21T02:13:00Z</dcterms:created>
  <dc:creator>Administrator</dc:creator>
  <cp:lastModifiedBy>user</cp:lastModifiedBy>
  <cp:lastPrinted>2022-02-21T16:35:00Z</cp:lastPrinted>
  <dcterms:modified xsi:type="dcterms:W3CDTF">2023-09-25T14:24:58Z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2E092F68F8B9460F862E496CF44F8081</vt:lpwstr>
  </property>
</Properties>
</file>