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E3416">
      <w:pPr>
        <w:keepNext w:val="0"/>
        <w:keepLines w:val="0"/>
        <w:widowControl/>
        <w:suppressLineNumbers w:val="0"/>
        <w:jc w:val="left"/>
        <w:rPr>
          <w:rFonts w:ascii="方正小标宋_GBK" w:hAnsi="方正小标宋_GBK" w:eastAsia="方正小标宋_GBK" w:cs="方正小标宋_GBK"/>
          <w:color w:val="000000"/>
          <w:kern w:val="0"/>
          <w:sz w:val="52"/>
          <w:szCs w:val="52"/>
          <w:highlight w:val="none"/>
          <w:lang w:val="en-US" w:eastAsia="zh-CN" w:bidi="ar"/>
        </w:rPr>
      </w:pPr>
    </w:p>
    <w:p w14:paraId="5B62AA7F">
      <w:pPr>
        <w:keepNext w:val="0"/>
        <w:keepLines w:val="0"/>
        <w:widowControl/>
        <w:suppressLineNumbers w:val="0"/>
        <w:jc w:val="left"/>
        <w:rPr>
          <w:rFonts w:ascii="方正小标宋_GBK" w:hAnsi="方正小标宋_GBK" w:eastAsia="方正小标宋_GBK" w:cs="方正小标宋_GBK"/>
          <w:color w:val="000000"/>
          <w:kern w:val="0"/>
          <w:sz w:val="52"/>
          <w:szCs w:val="52"/>
          <w:highlight w:val="none"/>
          <w:lang w:val="en-US" w:eastAsia="zh-CN" w:bidi="ar"/>
        </w:rPr>
      </w:pPr>
    </w:p>
    <w:p w14:paraId="00AD5828">
      <w:pPr>
        <w:keepNext w:val="0"/>
        <w:keepLines w:val="0"/>
        <w:widowControl/>
        <w:suppressLineNumbers w:val="0"/>
        <w:jc w:val="center"/>
        <w:rPr>
          <w:rFonts w:ascii="方正小标宋_GBK" w:hAnsi="方正小标宋_GBK" w:eastAsia="方正小标宋_GBK" w:cs="方正小标宋_GBK"/>
          <w:color w:val="000000"/>
          <w:kern w:val="0"/>
          <w:sz w:val="52"/>
          <w:szCs w:val="52"/>
          <w:highlight w:val="none"/>
          <w:lang w:val="en-US" w:eastAsia="zh-CN" w:bidi="ar"/>
        </w:rPr>
      </w:pPr>
      <w:r>
        <w:rPr>
          <w:rFonts w:ascii="方正小标宋_GBK" w:hAnsi="方正小标宋_GBK" w:eastAsia="方正小标宋_GBK" w:cs="方正小标宋_GBK"/>
          <w:color w:val="000000"/>
          <w:kern w:val="0"/>
          <w:sz w:val="52"/>
          <w:szCs w:val="52"/>
          <w:highlight w:val="none"/>
          <w:lang w:val="en-US" w:eastAsia="zh-CN" w:bidi="ar"/>
        </w:rPr>
        <w:t>喀什地区</w:t>
      </w:r>
      <w:r>
        <w:rPr>
          <w:rFonts w:hint="eastAsia" w:ascii="方正小标宋_GBK" w:hAnsi="方正小标宋_GBK" w:eastAsia="方正小标宋_GBK" w:cs="方正小标宋_GBK"/>
          <w:color w:val="000000"/>
          <w:kern w:val="0"/>
          <w:sz w:val="52"/>
          <w:szCs w:val="52"/>
          <w:highlight w:val="none"/>
          <w:lang w:val="en-US" w:eastAsia="zh-CN" w:bidi="ar"/>
        </w:rPr>
        <w:t>疏附县</w:t>
      </w:r>
      <w:r>
        <w:rPr>
          <w:rFonts w:hint="default" w:ascii="方正小标宋_GBK" w:hAnsi="方正小标宋_GBK" w:eastAsia="方正小标宋_GBK" w:cs="方正小标宋_GBK"/>
          <w:color w:val="000000"/>
          <w:kern w:val="0"/>
          <w:sz w:val="52"/>
          <w:szCs w:val="52"/>
          <w:highlight w:val="none"/>
          <w:lang w:val="en-US" w:eastAsia="zh-CN" w:bidi="ar"/>
        </w:rPr>
        <w:t>“</w:t>
      </w:r>
      <w:r>
        <w:rPr>
          <w:rFonts w:hint="eastAsia" w:ascii="方正小标宋_GBK" w:hAnsi="方正小标宋_GBK" w:eastAsia="方正小标宋_GBK" w:cs="方正小标宋_GBK"/>
          <w:color w:val="000000"/>
          <w:kern w:val="0"/>
          <w:sz w:val="52"/>
          <w:szCs w:val="52"/>
          <w:highlight w:val="none"/>
          <w:lang w:val="en-US" w:eastAsia="zh-CN" w:bidi="ar"/>
        </w:rPr>
        <w:t>通则式</w:t>
      </w:r>
      <w:r>
        <w:rPr>
          <w:rFonts w:hint="default" w:ascii="方正小标宋_GBK" w:hAnsi="方正小标宋_GBK" w:eastAsia="方正小标宋_GBK" w:cs="方正小标宋_GBK"/>
          <w:color w:val="000000"/>
          <w:kern w:val="0"/>
          <w:sz w:val="52"/>
          <w:szCs w:val="52"/>
          <w:highlight w:val="none"/>
          <w:lang w:val="en-US" w:eastAsia="zh-CN" w:bidi="ar"/>
        </w:rPr>
        <w:t>”</w:t>
      </w:r>
    </w:p>
    <w:p w14:paraId="5102F053">
      <w:pPr>
        <w:keepNext w:val="0"/>
        <w:keepLines w:val="0"/>
        <w:widowControl/>
        <w:suppressLineNumbers w:val="0"/>
        <w:jc w:val="center"/>
        <w:rPr>
          <w:highlight w:val="none"/>
        </w:rPr>
      </w:pPr>
      <w:r>
        <w:rPr>
          <w:rFonts w:hint="eastAsia" w:ascii="方正小标宋_GBK" w:hAnsi="方正小标宋_GBK" w:eastAsia="方正小标宋_GBK" w:cs="方正小标宋_GBK"/>
          <w:color w:val="000000"/>
          <w:kern w:val="0"/>
          <w:sz w:val="52"/>
          <w:szCs w:val="52"/>
          <w:highlight w:val="none"/>
          <w:lang w:val="en-US" w:eastAsia="zh-CN" w:bidi="ar"/>
        </w:rPr>
        <w:t>乡村规划建设管理规定</w:t>
      </w:r>
    </w:p>
    <w:p w14:paraId="499EE196">
      <w:pPr>
        <w:keepNext w:val="0"/>
        <w:keepLines w:val="0"/>
        <w:widowControl/>
        <w:suppressLineNumbers w:val="0"/>
        <w:jc w:val="center"/>
        <w:rPr>
          <w:rFonts w:hint="default" w:ascii="楷体_GB2312" w:hAnsi="楷体_GB2312" w:eastAsia="楷体_GB2312" w:cs="楷体_GB2312"/>
          <w:color w:val="000000"/>
          <w:kern w:val="0"/>
          <w:sz w:val="36"/>
          <w:szCs w:val="36"/>
          <w:highlight w:val="none"/>
          <w:lang w:val="en-US" w:eastAsia="zh-CN" w:bidi="ar"/>
        </w:rPr>
      </w:pPr>
      <w:r>
        <w:rPr>
          <w:rFonts w:hint="eastAsia" w:ascii="楷体_GB2312" w:hAnsi="楷体_GB2312" w:eastAsia="楷体_GB2312" w:cs="楷体_GB2312"/>
          <w:color w:val="000000"/>
          <w:kern w:val="0"/>
          <w:sz w:val="36"/>
          <w:szCs w:val="36"/>
          <w:highlight w:val="none"/>
          <w:lang w:val="en-US" w:eastAsia="zh-CN" w:bidi="ar"/>
        </w:rPr>
        <w:t>（征求意见稿）</w:t>
      </w:r>
    </w:p>
    <w:p w14:paraId="402A8D2D">
      <w:pPr>
        <w:keepNext w:val="0"/>
        <w:keepLines w:val="0"/>
        <w:widowControl/>
        <w:suppressLineNumbers w:val="0"/>
        <w:jc w:val="left"/>
        <w:rPr>
          <w:rFonts w:ascii="楷体_GB2312" w:hAnsi="楷体_GB2312" w:eastAsia="楷体_GB2312" w:cs="楷体_GB2312"/>
          <w:color w:val="000000"/>
          <w:kern w:val="0"/>
          <w:sz w:val="36"/>
          <w:szCs w:val="36"/>
          <w:highlight w:val="none"/>
          <w:lang w:val="en-US" w:eastAsia="zh-CN" w:bidi="ar"/>
        </w:rPr>
      </w:pPr>
    </w:p>
    <w:p w14:paraId="24933439">
      <w:pPr>
        <w:keepNext w:val="0"/>
        <w:keepLines w:val="0"/>
        <w:widowControl/>
        <w:suppressLineNumbers w:val="0"/>
        <w:jc w:val="left"/>
        <w:rPr>
          <w:rFonts w:ascii="楷体_GB2312" w:hAnsi="楷体_GB2312" w:eastAsia="楷体_GB2312" w:cs="楷体_GB2312"/>
          <w:color w:val="000000"/>
          <w:kern w:val="0"/>
          <w:sz w:val="36"/>
          <w:szCs w:val="36"/>
          <w:highlight w:val="none"/>
          <w:lang w:val="en-US" w:eastAsia="zh-CN" w:bidi="ar"/>
        </w:rPr>
      </w:pPr>
    </w:p>
    <w:p w14:paraId="1D3F4E89">
      <w:pPr>
        <w:keepNext w:val="0"/>
        <w:keepLines w:val="0"/>
        <w:widowControl/>
        <w:suppressLineNumbers w:val="0"/>
        <w:jc w:val="left"/>
        <w:rPr>
          <w:rFonts w:ascii="楷体_GB2312" w:hAnsi="楷体_GB2312" w:eastAsia="楷体_GB2312" w:cs="楷体_GB2312"/>
          <w:color w:val="000000"/>
          <w:kern w:val="0"/>
          <w:sz w:val="36"/>
          <w:szCs w:val="36"/>
          <w:highlight w:val="none"/>
          <w:lang w:val="en-US" w:eastAsia="zh-CN" w:bidi="ar"/>
        </w:rPr>
      </w:pPr>
    </w:p>
    <w:p w14:paraId="7CF6764A">
      <w:pPr>
        <w:keepNext w:val="0"/>
        <w:keepLines w:val="0"/>
        <w:widowControl/>
        <w:suppressLineNumbers w:val="0"/>
        <w:jc w:val="left"/>
        <w:rPr>
          <w:rFonts w:ascii="楷体_GB2312" w:hAnsi="楷体_GB2312" w:eastAsia="楷体_GB2312" w:cs="楷体_GB2312"/>
          <w:color w:val="000000"/>
          <w:kern w:val="0"/>
          <w:sz w:val="36"/>
          <w:szCs w:val="36"/>
          <w:highlight w:val="none"/>
          <w:lang w:val="en-US" w:eastAsia="zh-CN" w:bidi="ar"/>
        </w:rPr>
      </w:pPr>
    </w:p>
    <w:p w14:paraId="230B6A77">
      <w:pPr>
        <w:keepNext w:val="0"/>
        <w:keepLines w:val="0"/>
        <w:widowControl/>
        <w:suppressLineNumbers w:val="0"/>
        <w:jc w:val="left"/>
        <w:rPr>
          <w:rFonts w:ascii="楷体_GB2312" w:hAnsi="楷体_GB2312" w:eastAsia="楷体_GB2312" w:cs="楷体_GB2312"/>
          <w:color w:val="000000"/>
          <w:kern w:val="0"/>
          <w:sz w:val="36"/>
          <w:szCs w:val="36"/>
          <w:highlight w:val="none"/>
          <w:lang w:val="en-US" w:eastAsia="zh-CN" w:bidi="ar"/>
        </w:rPr>
      </w:pPr>
    </w:p>
    <w:p w14:paraId="184170EB">
      <w:pPr>
        <w:keepNext w:val="0"/>
        <w:keepLines w:val="0"/>
        <w:widowControl/>
        <w:suppressLineNumbers w:val="0"/>
        <w:jc w:val="left"/>
        <w:rPr>
          <w:rFonts w:ascii="楷体_GB2312" w:hAnsi="楷体_GB2312" w:eastAsia="楷体_GB2312" w:cs="楷体_GB2312"/>
          <w:color w:val="000000"/>
          <w:kern w:val="0"/>
          <w:sz w:val="36"/>
          <w:szCs w:val="36"/>
          <w:highlight w:val="none"/>
          <w:lang w:val="en-US" w:eastAsia="zh-CN" w:bidi="ar"/>
        </w:rPr>
      </w:pPr>
    </w:p>
    <w:p w14:paraId="5E7C6B4B">
      <w:pPr>
        <w:keepNext w:val="0"/>
        <w:keepLines w:val="0"/>
        <w:widowControl/>
        <w:suppressLineNumbers w:val="0"/>
        <w:jc w:val="left"/>
        <w:rPr>
          <w:rFonts w:ascii="楷体_GB2312" w:hAnsi="楷体_GB2312" w:eastAsia="楷体_GB2312" w:cs="楷体_GB2312"/>
          <w:color w:val="000000"/>
          <w:kern w:val="0"/>
          <w:sz w:val="36"/>
          <w:szCs w:val="36"/>
          <w:highlight w:val="none"/>
          <w:lang w:val="en-US" w:eastAsia="zh-CN" w:bidi="ar"/>
        </w:rPr>
      </w:pPr>
    </w:p>
    <w:p w14:paraId="6B41A0B1">
      <w:pPr>
        <w:keepNext w:val="0"/>
        <w:keepLines w:val="0"/>
        <w:widowControl/>
        <w:suppressLineNumbers w:val="0"/>
        <w:jc w:val="left"/>
        <w:rPr>
          <w:rFonts w:ascii="楷体_GB2312" w:hAnsi="楷体_GB2312" w:eastAsia="楷体_GB2312" w:cs="楷体_GB2312"/>
          <w:color w:val="000000"/>
          <w:kern w:val="0"/>
          <w:sz w:val="36"/>
          <w:szCs w:val="36"/>
          <w:highlight w:val="none"/>
          <w:lang w:val="en-US" w:eastAsia="zh-CN" w:bidi="ar"/>
        </w:rPr>
      </w:pPr>
    </w:p>
    <w:p w14:paraId="3FA78696">
      <w:pPr>
        <w:keepNext w:val="0"/>
        <w:keepLines w:val="0"/>
        <w:widowControl/>
        <w:suppressLineNumbers w:val="0"/>
        <w:jc w:val="left"/>
        <w:rPr>
          <w:rFonts w:ascii="楷体_GB2312" w:hAnsi="楷体_GB2312" w:eastAsia="楷体_GB2312" w:cs="楷体_GB2312"/>
          <w:color w:val="000000"/>
          <w:kern w:val="0"/>
          <w:sz w:val="36"/>
          <w:szCs w:val="36"/>
          <w:highlight w:val="none"/>
          <w:lang w:val="en-US" w:eastAsia="zh-CN" w:bidi="ar"/>
        </w:rPr>
      </w:pPr>
    </w:p>
    <w:p w14:paraId="30499254">
      <w:pPr>
        <w:keepNext w:val="0"/>
        <w:keepLines w:val="0"/>
        <w:widowControl/>
        <w:suppressLineNumbers w:val="0"/>
        <w:jc w:val="center"/>
        <w:rPr>
          <w:rFonts w:hint="default" w:ascii="楷体_GB2312" w:hAnsi="楷体_GB2312" w:eastAsia="楷体_GB2312" w:cs="楷体_GB2312"/>
          <w:color w:val="000000"/>
          <w:kern w:val="0"/>
          <w:sz w:val="31"/>
          <w:szCs w:val="31"/>
          <w:highlight w:val="none"/>
          <w:lang w:val="en-US" w:eastAsia="zh-CN" w:bidi="ar"/>
        </w:rPr>
      </w:pPr>
      <w:r>
        <w:rPr>
          <w:rFonts w:hint="eastAsia" w:ascii="楷体_GB2312" w:hAnsi="楷体_GB2312" w:eastAsia="楷体_GB2312" w:cs="楷体_GB2312"/>
          <w:color w:val="000000"/>
          <w:kern w:val="0"/>
          <w:sz w:val="31"/>
          <w:szCs w:val="31"/>
          <w:highlight w:val="none"/>
          <w:lang w:val="en-US" w:eastAsia="zh-CN" w:bidi="ar"/>
        </w:rPr>
        <w:t>疏附县自然资源局</w:t>
      </w:r>
    </w:p>
    <w:p w14:paraId="4AAC4F2A">
      <w:pPr>
        <w:keepNext w:val="0"/>
        <w:keepLines w:val="0"/>
        <w:widowControl/>
        <w:suppressLineNumbers w:val="0"/>
        <w:jc w:val="center"/>
        <w:rPr>
          <w:highlight w:val="none"/>
        </w:rPr>
      </w:pPr>
      <w:r>
        <w:rPr>
          <w:rFonts w:hint="default" w:ascii="Times New Roman" w:hAnsi="Times New Roman" w:eastAsia="宋体" w:cs="Times New Roman"/>
          <w:color w:val="000000"/>
          <w:kern w:val="0"/>
          <w:sz w:val="31"/>
          <w:szCs w:val="31"/>
          <w:highlight w:val="none"/>
          <w:lang w:val="en-US" w:eastAsia="zh-CN" w:bidi="ar"/>
        </w:rPr>
        <w:t>202</w:t>
      </w:r>
      <w:r>
        <w:rPr>
          <w:rFonts w:hint="eastAsia" w:ascii="Times New Roman" w:hAnsi="Times New Roman" w:eastAsia="宋体" w:cs="Times New Roman"/>
          <w:color w:val="000000"/>
          <w:kern w:val="0"/>
          <w:sz w:val="31"/>
          <w:szCs w:val="31"/>
          <w:highlight w:val="none"/>
          <w:lang w:val="en-US" w:eastAsia="zh-CN" w:bidi="ar"/>
        </w:rPr>
        <w:t>6</w:t>
      </w:r>
      <w:r>
        <w:rPr>
          <w:rFonts w:ascii="楷体_GB2312" w:hAnsi="楷体_GB2312" w:eastAsia="楷体_GB2312" w:cs="楷体_GB2312"/>
          <w:color w:val="000000"/>
          <w:kern w:val="0"/>
          <w:sz w:val="31"/>
          <w:szCs w:val="31"/>
          <w:highlight w:val="none"/>
          <w:lang w:val="en-US" w:eastAsia="zh-CN" w:bidi="ar"/>
        </w:rPr>
        <w:t>年</w:t>
      </w:r>
      <w:r>
        <w:rPr>
          <w:rFonts w:hint="eastAsia" w:ascii="Times New Roman" w:hAnsi="Times New Roman" w:eastAsia="宋体" w:cs="Times New Roman"/>
          <w:color w:val="000000"/>
          <w:kern w:val="0"/>
          <w:sz w:val="31"/>
          <w:szCs w:val="31"/>
          <w:highlight w:val="none"/>
          <w:lang w:val="en-US" w:eastAsia="zh-CN" w:bidi="ar"/>
        </w:rPr>
        <w:t>7</w:t>
      </w:r>
      <w:r>
        <w:rPr>
          <w:rFonts w:ascii="楷体_GB2312" w:hAnsi="楷体_GB2312" w:eastAsia="楷体_GB2312" w:cs="楷体_GB2312"/>
          <w:color w:val="000000"/>
          <w:kern w:val="0"/>
          <w:sz w:val="31"/>
          <w:szCs w:val="31"/>
          <w:highlight w:val="none"/>
          <w:lang w:val="en-US" w:eastAsia="zh-CN" w:bidi="ar"/>
        </w:rPr>
        <w:t>月</w:t>
      </w:r>
    </w:p>
    <w:p w14:paraId="4840CC8D">
      <w:pPr>
        <w:keepNext w:val="0"/>
        <w:keepLines w:val="0"/>
        <w:widowControl/>
        <w:suppressLineNumbers w:val="0"/>
        <w:jc w:val="left"/>
        <w:rPr>
          <w:rFonts w:hint="default" w:ascii="Times New Roman" w:hAnsi="Times New Roman" w:eastAsia="宋体" w:cs="Times New Roman"/>
          <w:color w:val="000000"/>
          <w:kern w:val="0"/>
          <w:sz w:val="18"/>
          <w:szCs w:val="18"/>
          <w:highlight w:val="none"/>
          <w:lang w:val="en-US" w:eastAsia="zh-CN" w:bidi="ar"/>
        </w:rPr>
      </w:pPr>
    </w:p>
    <w:p w14:paraId="639F6BCE">
      <w:pPr>
        <w:keepNext w:val="0"/>
        <w:keepLines w:val="0"/>
        <w:widowControl/>
        <w:suppressLineNumbers w:val="0"/>
        <w:jc w:val="left"/>
        <w:rPr>
          <w:rFonts w:hint="default" w:ascii="Times New Roman" w:hAnsi="Times New Roman" w:eastAsia="宋体" w:cs="Times New Roman"/>
          <w:color w:val="000000"/>
          <w:kern w:val="0"/>
          <w:sz w:val="18"/>
          <w:szCs w:val="18"/>
          <w:highlight w:val="none"/>
          <w:lang w:val="en-US" w:eastAsia="zh-CN" w:bidi="ar"/>
        </w:rPr>
      </w:pPr>
    </w:p>
    <w:p w14:paraId="495F4614">
      <w:pPr>
        <w:keepNext w:val="0"/>
        <w:keepLines w:val="0"/>
        <w:widowControl/>
        <w:suppressLineNumbers w:val="0"/>
        <w:jc w:val="left"/>
        <w:rPr>
          <w:rFonts w:hint="default" w:ascii="Times New Roman" w:hAnsi="Times New Roman" w:eastAsia="宋体" w:cs="Times New Roman"/>
          <w:color w:val="000000"/>
          <w:kern w:val="0"/>
          <w:sz w:val="18"/>
          <w:szCs w:val="18"/>
          <w:highlight w:val="none"/>
          <w:lang w:val="en-US" w:eastAsia="zh-CN" w:bidi="ar"/>
        </w:rPr>
      </w:pPr>
    </w:p>
    <w:p w14:paraId="15408B6A">
      <w:pPr>
        <w:keepNext w:val="0"/>
        <w:keepLines w:val="0"/>
        <w:widowControl/>
        <w:suppressLineNumbers w:val="0"/>
        <w:jc w:val="left"/>
        <w:rPr>
          <w:rFonts w:hint="default" w:ascii="Times New Roman" w:hAnsi="Times New Roman" w:eastAsia="宋体" w:cs="Times New Roman"/>
          <w:color w:val="000000"/>
          <w:kern w:val="0"/>
          <w:sz w:val="18"/>
          <w:szCs w:val="18"/>
          <w:highlight w:val="none"/>
          <w:lang w:val="en-US" w:eastAsia="zh-CN" w:bidi="ar"/>
        </w:rPr>
      </w:pPr>
    </w:p>
    <w:p w14:paraId="17143C5D">
      <w:pPr>
        <w:keepNext w:val="0"/>
        <w:keepLines w:val="0"/>
        <w:widowControl/>
        <w:suppressLineNumbers w:val="0"/>
        <w:jc w:val="left"/>
        <w:rPr>
          <w:rFonts w:hint="default" w:ascii="Times New Roman" w:hAnsi="Times New Roman" w:eastAsia="宋体" w:cs="Times New Roman"/>
          <w:color w:val="000000"/>
          <w:kern w:val="0"/>
          <w:sz w:val="18"/>
          <w:szCs w:val="18"/>
          <w:highlight w:val="none"/>
          <w:lang w:val="en-US" w:eastAsia="zh-CN" w:bidi="ar"/>
        </w:rPr>
      </w:pPr>
    </w:p>
    <w:p w14:paraId="632DB347">
      <w:pPr>
        <w:keepNext w:val="0"/>
        <w:keepLines w:val="0"/>
        <w:widowControl/>
        <w:suppressLineNumbers w:val="0"/>
        <w:jc w:val="left"/>
        <w:rPr>
          <w:rFonts w:hint="default" w:ascii="Times New Roman" w:hAnsi="Times New Roman" w:eastAsia="宋体" w:cs="Times New Roman"/>
          <w:color w:val="000000"/>
          <w:kern w:val="0"/>
          <w:sz w:val="18"/>
          <w:szCs w:val="18"/>
          <w:highlight w:val="none"/>
          <w:lang w:val="en-US" w:eastAsia="zh-CN" w:bidi="ar"/>
        </w:rPr>
      </w:pPr>
    </w:p>
    <w:p w14:paraId="55043B52">
      <w:pPr>
        <w:keepNext w:val="0"/>
        <w:keepLines w:val="0"/>
        <w:widowControl/>
        <w:suppressLineNumbers w:val="0"/>
        <w:jc w:val="left"/>
        <w:rPr>
          <w:rFonts w:hint="eastAsia" w:ascii="方正小标宋_GBK" w:hAnsi="方正小标宋_GBK" w:eastAsia="方正小标宋_GBK" w:cs="方正小标宋_GBK"/>
          <w:color w:val="000000"/>
          <w:kern w:val="0"/>
          <w:sz w:val="36"/>
          <w:szCs w:val="36"/>
          <w:highlight w:val="none"/>
          <w:lang w:val="en-US" w:eastAsia="zh-CN" w:bidi="ar"/>
        </w:rPr>
      </w:pPr>
    </w:p>
    <w:p w14:paraId="03017ED4">
      <w:pPr>
        <w:keepNext w:val="0"/>
        <w:keepLines w:val="0"/>
        <w:widowControl/>
        <w:suppressLineNumbers w:val="0"/>
        <w:jc w:val="left"/>
        <w:rPr>
          <w:highlight w:val="none"/>
        </w:rPr>
      </w:pPr>
      <w:bookmarkStart w:id="0" w:name="_GoBack"/>
      <w:bookmarkEnd w:id="0"/>
      <w:r>
        <w:rPr>
          <w:rFonts w:hint="eastAsia" w:ascii="方正小标宋_GBK" w:hAnsi="方正小标宋_GBK" w:eastAsia="方正小标宋_GBK" w:cs="方正小标宋_GBK"/>
          <w:color w:val="000000"/>
          <w:kern w:val="0"/>
          <w:sz w:val="36"/>
          <w:szCs w:val="36"/>
          <w:highlight w:val="none"/>
          <w:lang w:val="en-US" w:eastAsia="zh-CN" w:bidi="ar"/>
        </w:rPr>
        <w:t>目录</w:t>
      </w:r>
    </w:p>
    <w:p w14:paraId="5DECA308">
      <w:pPr>
        <w:keepNext w:val="0"/>
        <w:keepLines w:val="0"/>
        <w:widowControl/>
        <w:suppressLineNumbers w:val="0"/>
        <w:jc w:val="left"/>
        <w:rPr>
          <w:highlight w:val="none"/>
        </w:rPr>
      </w:pPr>
      <w:r>
        <w:rPr>
          <w:rFonts w:hint="eastAsia" w:ascii="方正小标宋_GBK" w:hAnsi="方正小标宋_GBK" w:eastAsia="方正小标宋_GBK" w:cs="方正小标宋_GBK"/>
          <w:color w:val="000000"/>
          <w:kern w:val="0"/>
          <w:sz w:val="31"/>
          <w:szCs w:val="31"/>
          <w:highlight w:val="none"/>
          <w:lang w:val="en-US" w:eastAsia="zh-CN" w:bidi="ar"/>
        </w:rPr>
        <w:t>第一章</w:t>
      </w:r>
      <w:r>
        <w:rPr>
          <w:rFonts w:ascii="黑体" w:hAnsi="宋体" w:eastAsia="黑体" w:cs="黑体"/>
          <w:color w:val="000000"/>
          <w:kern w:val="0"/>
          <w:sz w:val="31"/>
          <w:szCs w:val="31"/>
          <w:highlight w:val="none"/>
          <w:lang w:val="en-US" w:eastAsia="zh-CN" w:bidi="ar"/>
        </w:rPr>
        <w:t>总则</w:t>
      </w:r>
      <w:r>
        <w:rPr>
          <w:rFonts w:ascii="仿宋_GB2312" w:hAnsi="宋体" w:eastAsia="仿宋_GB2312" w:cs="仿宋_GB2312"/>
          <w:color w:val="000000"/>
          <w:kern w:val="0"/>
          <w:sz w:val="31"/>
          <w:szCs w:val="31"/>
          <w:highlight w:val="none"/>
          <w:lang w:val="en-US" w:eastAsia="zh-CN" w:bidi="ar"/>
        </w:rPr>
        <w:t>..........................................1</w:t>
      </w:r>
    </w:p>
    <w:p w14:paraId="4E402B5B">
      <w:pPr>
        <w:keepNext w:val="0"/>
        <w:keepLines w:val="0"/>
        <w:widowControl/>
        <w:suppressLineNumbers w:val="0"/>
        <w:jc w:val="left"/>
        <w:rPr>
          <w:highlight w:val="none"/>
        </w:rPr>
      </w:pPr>
      <w:r>
        <w:rPr>
          <w:rFonts w:hint="eastAsia" w:ascii="方正小标宋_GBK" w:hAnsi="方正小标宋_GBK" w:eastAsia="方正小标宋_GBK" w:cs="方正小标宋_GBK"/>
          <w:color w:val="000000"/>
          <w:kern w:val="0"/>
          <w:sz w:val="31"/>
          <w:szCs w:val="31"/>
          <w:highlight w:val="none"/>
          <w:lang w:val="en-US" w:eastAsia="zh-CN" w:bidi="ar"/>
        </w:rPr>
        <w:t>第二章</w:t>
      </w:r>
      <w:r>
        <w:rPr>
          <w:rFonts w:hint="eastAsia" w:ascii="黑体" w:hAnsi="宋体" w:eastAsia="黑体" w:cs="黑体"/>
          <w:color w:val="000000"/>
          <w:kern w:val="0"/>
          <w:sz w:val="31"/>
          <w:szCs w:val="31"/>
          <w:highlight w:val="none"/>
          <w:lang w:val="en-US" w:eastAsia="zh-CN" w:bidi="ar"/>
        </w:rPr>
        <w:t>分区管制和约束传导</w:t>
      </w:r>
      <w:r>
        <w:rPr>
          <w:rFonts w:hint="eastAsia" w:ascii="仿宋_GB2312" w:hAnsi="宋体" w:eastAsia="仿宋_GB2312" w:cs="仿宋_GB2312"/>
          <w:color w:val="000000"/>
          <w:kern w:val="0"/>
          <w:sz w:val="31"/>
          <w:szCs w:val="31"/>
          <w:highlight w:val="none"/>
          <w:lang w:val="en-US" w:eastAsia="zh-CN" w:bidi="ar"/>
        </w:rPr>
        <w:t>............................4</w:t>
      </w:r>
    </w:p>
    <w:p w14:paraId="38EE69CF">
      <w:pPr>
        <w:keepNext w:val="0"/>
        <w:keepLines w:val="0"/>
        <w:widowControl/>
        <w:suppressLineNumbers w:val="0"/>
        <w:jc w:val="left"/>
        <w:rPr>
          <w:highlight w:val="none"/>
        </w:rPr>
      </w:pPr>
      <w:r>
        <w:rPr>
          <w:rFonts w:hint="eastAsia" w:ascii="方正小标宋_GBK" w:hAnsi="方正小标宋_GBK" w:eastAsia="方正小标宋_GBK" w:cs="方正小标宋_GBK"/>
          <w:color w:val="000000"/>
          <w:kern w:val="0"/>
          <w:sz w:val="31"/>
          <w:szCs w:val="31"/>
          <w:highlight w:val="none"/>
          <w:lang w:val="en-US" w:eastAsia="zh-CN" w:bidi="ar"/>
        </w:rPr>
        <w:t>第三章</w:t>
      </w:r>
      <w:r>
        <w:rPr>
          <w:rFonts w:hint="eastAsia" w:ascii="黑体" w:hAnsi="宋体" w:eastAsia="黑体" w:cs="黑体"/>
          <w:color w:val="000000"/>
          <w:kern w:val="0"/>
          <w:sz w:val="31"/>
          <w:szCs w:val="31"/>
          <w:highlight w:val="none"/>
          <w:lang w:val="en-US" w:eastAsia="zh-CN" w:bidi="ar"/>
        </w:rPr>
        <w:t>建设项目选址要求</w:t>
      </w:r>
      <w:r>
        <w:rPr>
          <w:rFonts w:hint="eastAsia" w:ascii="仿宋_GB2312" w:hAnsi="宋体" w:eastAsia="仿宋_GB2312" w:cs="仿宋_GB2312"/>
          <w:color w:val="000000"/>
          <w:kern w:val="0"/>
          <w:sz w:val="31"/>
          <w:szCs w:val="31"/>
          <w:highlight w:val="none"/>
          <w:lang w:val="en-US" w:eastAsia="zh-CN" w:bidi="ar"/>
        </w:rPr>
        <w:t>..............................7</w:t>
      </w:r>
    </w:p>
    <w:p w14:paraId="394B6326">
      <w:pPr>
        <w:keepNext w:val="0"/>
        <w:keepLines w:val="0"/>
        <w:widowControl/>
        <w:suppressLineNumbers w:val="0"/>
        <w:jc w:val="left"/>
        <w:rPr>
          <w:highlight w:val="none"/>
        </w:rPr>
      </w:pPr>
      <w:r>
        <w:rPr>
          <w:rFonts w:hint="eastAsia" w:ascii="方正小标宋_GBK" w:hAnsi="方正小标宋_GBK" w:eastAsia="方正小标宋_GBK" w:cs="方正小标宋_GBK"/>
          <w:color w:val="000000"/>
          <w:kern w:val="0"/>
          <w:sz w:val="31"/>
          <w:szCs w:val="31"/>
          <w:highlight w:val="none"/>
          <w:lang w:val="en-US" w:eastAsia="zh-CN" w:bidi="ar"/>
        </w:rPr>
        <w:t>第四章</w:t>
      </w:r>
      <w:r>
        <w:rPr>
          <w:rFonts w:hint="eastAsia" w:ascii="黑体" w:hAnsi="宋体" w:eastAsia="黑体" w:cs="黑体"/>
          <w:color w:val="000000"/>
          <w:kern w:val="0"/>
          <w:sz w:val="31"/>
          <w:szCs w:val="31"/>
          <w:highlight w:val="none"/>
          <w:lang w:val="en-US" w:eastAsia="zh-CN" w:bidi="ar"/>
        </w:rPr>
        <w:t>实施管理</w:t>
      </w:r>
      <w:r>
        <w:rPr>
          <w:rFonts w:hint="eastAsia" w:ascii="仿宋_GB2312" w:hAnsi="宋体" w:eastAsia="仿宋_GB2312" w:cs="仿宋_GB2312"/>
          <w:color w:val="000000"/>
          <w:kern w:val="0"/>
          <w:sz w:val="31"/>
          <w:szCs w:val="31"/>
          <w:highlight w:val="none"/>
          <w:lang w:val="en-US" w:eastAsia="zh-CN" w:bidi="ar"/>
        </w:rPr>
        <w:t>.....................................12</w:t>
      </w:r>
    </w:p>
    <w:p w14:paraId="6608FBEA">
      <w:pPr>
        <w:keepNext w:val="0"/>
        <w:keepLines w:val="0"/>
        <w:widowControl/>
        <w:suppressLineNumbers w:val="0"/>
        <w:jc w:val="left"/>
        <w:rPr>
          <w:highlight w:val="none"/>
        </w:rPr>
      </w:pPr>
      <w:r>
        <w:rPr>
          <w:rFonts w:hint="eastAsia" w:ascii="黑体" w:hAnsi="宋体" w:eastAsia="黑体" w:cs="黑体"/>
          <w:color w:val="000000"/>
          <w:kern w:val="0"/>
          <w:sz w:val="31"/>
          <w:szCs w:val="31"/>
          <w:highlight w:val="none"/>
          <w:lang w:val="en-US" w:eastAsia="zh-CN" w:bidi="ar"/>
        </w:rPr>
        <w:t>附件</w:t>
      </w:r>
      <w:r>
        <w:rPr>
          <w:rFonts w:hint="eastAsia" w:ascii="仿宋_GB2312" w:hAnsi="宋体" w:eastAsia="仿宋_GB2312" w:cs="仿宋_GB2312"/>
          <w:color w:val="000000"/>
          <w:kern w:val="0"/>
          <w:sz w:val="31"/>
          <w:szCs w:val="31"/>
          <w:highlight w:val="none"/>
          <w:lang w:val="en-US" w:eastAsia="zh-CN" w:bidi="ar"/>
        </w:rPr>
        <w:t>1</w:t>
      </w:r>
      <w:r>
        <w:rPr>
          <w:rFonts w:hint="eastAsia" w:ascii="黑体" w:hAnsi="宋体" w:eastAsia="黑体" w:cs="黑体"/>
          <w:color w:val="000000"/>
          <w:kern w:val="0"/>
          <w:sz w:val="31"/>
          <w:szCs w:val="31"/>
          <w:highlight w:val="none"/>
          <w:lang w:val="en-US" w:eastAsia="zh-CN" w:bidi="ar"/>
        </w:rPr>
        <w:t>：用地兼容性控制一览表</w:t>
      </w:r>
      <w:r>
        <w:rPr>
          <w:rFonts w:hint="eastAsia" w:ascii="仿宋_GB2312" w:hAnsi="宋体" w:eastAsia="仿宋_GB2312" w:cs="仿宋_GB2312"/>
          <w:color w:val="000000"/>
          <w:kern w:val="0"/>
          <w:sz w:val="31"/>
          <w:szCs w:val="31"/>
          <w:highlight w:val="none"/>
          <w:lang w:val="en-US" w:eastAsia="zh-CN" w:bidi="ar"/>
        </w:rPr>
        <w:t>.......................15</w:t>
      </w:r>
    </w:p>
    <w:p w14:paraId="75FB1B76">
      <w:pPr>
        <w:keepNext w:val="0"/>
        <w:keepLines w:val="0"/>
        <w:widowControl/>
        <w:suppressLineNumbers w:val="0"/>
        <w:jc w:val="left"/>
        <w:rPr>
          <w:highlight w:val="none"/>
        </w:rPr>
      </w:pPr>
      <w:r>
        <w:rPr>
          <w:rFonts w:hint="eastAsia" w:ascii="黑体" w:hAnsi="宋体" w:eastAsia="黑体" w:cs="黑体"/>
          <w:color w:val="000000"/>
          <w:kern w:val="0"/>
          <w:sz w:val="31"/>
          <w:szCs w:val="31"/>
          <w:highlight w:val="none"/>
          <w:lang w:val="en-US" w:eastAsia="zh-CN" w:bidi="ar"/>
        </w:rPr>
        <w:t>附件</w:t>
      </w:r>
      <w:r>
        <w:rPr>
          <w:rFonts w:hint="eastAsia" w:ascii="仿宋_GB2312" w:hAnsi="宋体" w:eastAsia="仿宋_GB2312" w:cs="仿宋_GB2312"/>
          <w:color w:val="000000"/>
          <w:kern w:val="0"/>
          <w:sz w:val="31"/>
          <w:szCs w:val="31"/>
          <w:highlight w:val="none"/>
          <w:lang w:val="en-US" w:eastAsia="zh-CN" w:bidi="ar"/>
        </w:rPr>
        <w:t>2</w:t>
      </w:r>
      <w:r>
        <w:rPr>
          <w:rFonts w:hint="eastAsia" w:ascii="黑体" w:hAnsi="宋体" w:eastAsia="黑体" w:cs="黑体"/>
          <w:color w:val="000000"/>
          <w:kern w:val="0"/>
          <w:sz w:val="31"/>
          <w:szCs w:val="31"/>
          <w:highlight w:val="none"/>
          <w:lang w:val="en-US" w:eastAsia="zh-CN" w:bidi="ar"/>
        </w:rPr>
        <w:t>：规划管控图则范式</w:t>
      </w:r>
      <w:r>
        <w:rPr>
          <w:rFonts w:hint="eastAsia" w:ascii="仿宋_GB2312" w:hAnsi="宋体" w:eastAsia="仿宋_GB2312" w:cs="仿宋_GB2312"/>
          <w:color w:val="000000"/>
          <w:kern w:val="0"/>
          <w:sz w:val="31"/>
          <w:szCs w:val="31"/>
          <w:highlight w:val="none"/>
          <w:lang w:val="en-US" w:eastAsia="zh-CN" w:bidi="ar"/>
        </w:rPr>
        <w:t>...........................16</w:t>
      </w:r>
    </w:p>
    <w:p w14:paraId="0938F43F">
      <w:pPr>
        <w:keepNext w:val="0"/>
        <w:keepLines w:val="0"/>
        <w:widowControl/>
        <w:suppressLineNumbers w:val="0"/>
        <w:jc w:val="left"/>
        <w:rPr>
          <w:highlight w:val="none"/>
        </w:rPr>
      </w:pPr>
      <w:r>
        <w:rPr>
          <w:rFonts w:hint="eastAsia" w:ascii="黑体" w:hAnsi="宋体" w:eastAsia="黑体" w:cs="黑体"/>
          <w:color w:val="000000"/>
          <w:kern w:val="0"/>
          <w:sz w:val="31"/>
          <w:szCs w:val="31"/>
          <w:highlight w:val="none"/>
          <w:lang w:val="en-US" w:eastAsia="zh-CN" w:bidi="ar"/>
        </w:rPr>
        <w:t>附件</w:t>
      </w:r>
      <w:r>
        <w:rPr>
          <w:rFonts w:hint="eastAsia" w:ascii="仿宋_GB2312" w:hAnsi="宋体" w:eastAsia="仿宋_GB2312" w:cs="仿宋_GB2312"/>
          <w:color w:val="000000"/>
          <w:kern w:val="0"/>
          <w:sz w:val="31"/>
          <w:szCs w:val="31"/>
          <w:highlight w:val="none"/>
          <w:lang w:val="en-US" w:eastAsia="zh-CN" w:bidi="ar"/>
        </w:rPr>
        <w:t>3</w:t>
      </w:r>
      <w:r>
        <w:rPr>
          <w:rFonts w:hint="eastAsia" w:ascii="黑体" w:hAnsi="宋体" w:eastAsia="黑体" w:cs="黑体"/>
          <w:color w:val="000000"/>
          <w:kern w:val="0"/>
          <w:sz w:val="31"/>
          <w:szCs w:val="31"/>
          <w:highlight w:val="none"/>
          <w:lang w:val="en-US" w:eastAsia="zh-CN" w:bidi="ar"/>
        </w:rPr>
        <w:t>：规划管控图则成果要求</w:t>
      </w:r>
      <w:r>
        <w:rPr>
          <w:rFonts w:hint="eastAsia" w:ascii="仿宋_GB2312" w:hAnsi="宋体" w:eastAsia="仿宋_GB2312" w:cs="仿宋_GB2312"/>
          <w:color w:val="000000"/>
          <w:kern w:val="0"/>
          <w:sz w:val="31"/>
          <w:szCs w:val="31"/>
          <w:highlight w:val="none"/>
          <w:lang w:val="en-US" w:eastAsia="zh-CN" w:bidi="ar"/>
        </w:rPr>
        <w:t>.......................20</w:t>
      </w:r>
    </w:p>
    <w:p w14:paraId="5BF0DCA4">
      <w:pPr>
        <w:keepNext w:val="0"/>
        <w:keepLines w:val="0"/>
        <w:widowControl/>
        <w:suppressLineNumbers w:val="0"/>
        <w:jc w:val="left"/>
        <w:rPr>
          <w:rFonts w:hint="eastAsia" w:ascii="方正小标宋_GBK" w:hAnsi="方正小标宋_GBK" w:eastAsia="方正小标宋_GBK" w:cs="方正小标宋_GBK"/>
          <w:color w:val="000000"/>
          <w:kern w:val="0"/>
          <w:sz w:val="36"/>
          <w:szCs w:val="36"/>
          <w:highlight w:val="none"/>
          <w:lang w:val="en-US" w:eastAsia="zh-CN" w:bidi="ar"/>
        </w:rPr>
      </w:pPr>
    </w:p>
    <w:p w14:paraId="2AE5953A">
      <w:pPr>
        <w:keepNext w:val="0"/>
        <w:keepLines w:val="0"/>
        <w:widowControl/>
        <w:suppressLineNumbers w:val="0"/>
        <w:jc w:val="left"/>
        <w:rPr>
          <w:rFonts w:hint="eastAsia" w:ascii="方正小标宋_GBK" w:hAnsi="方正小标宋_GBK" w:eastAsia="方正小标宋_GBK" w:cs="方正小标宋_GBK"/>
          <w:color w:val="000000"/>
          <w:kern w:val="0"/>
          <w:sz w:val="36"/>
          <w:szCs w:val="36"/>
          <w:highlight w:val="none"/>
          <w:lang w:val="en-US" w:eastAsia="zh-CN" w:bidi="ar"/>
        </w:rPr>
      </w:pPr>
    </w:p>
    <w:p w14:paraId="37D084EF">
      <w:pPr>
        <w:keepNext w:val="0"/>
        <w:keepLines w:val="0"/>
        <w:widowControl/>
        <w:suppressLineNumbers w:val="0"/>
        <w:jc w:val="left"/>
        <w:rPr>
          <w:rFonts w:hint="eastAsia" w:ascii="方正小标宋_GBK" w:hAnsi="方正小标宋_GBK" w:eastAsia="方正小标宋_GBK" w:cs="方正小标宋_GBK"/>
          <w:color w:val="000000"/>
          <w:kern w:val="0"/>
          <w:sz w:val="36"/>
          <w:szCs w:val="36"/>
          <w:highlight w:val="none"/>
          <w:lang w:val="en-US" w:eastAsia="zh-CN" w:bidi="ar"/>
        </w:rPr>
      </w:pPr>
    </w:p>
    <w:p w14:paraId="06640445">
      <w:pPr>
        <w:keepNext w:val="0"/>
        <w:keepLines w:val="0"/>
        <w:widowControl/>
        <w:suppressLineNumbers w:val="0"/>
        <w:jc w:val="left"/>
        <w:rPr>
          <w:rFonts w:hint="eastAsia" w:ascii="方正小标宋_GBK" w:hAnsi="方正小标宋_GBK" w:eastAsia="方正小标宋_GBK" w:cs="方正小标宋_GBK"/>
          <w:color w:val="000000"/>
          <w:kern w:val="0"/>
          <w:sz w:val="36"/>
          <w:szCs w:val="36"/>
          <w:highlight w:val="none"/>
          <w:lang w:val="en-US" w:eastAsia="zh-CN" w:bidi="ar"/>
        </w:rPr>
      </w:pPr>
    </w:p>
    <w:p w14:paraId="4E51FD58">
      <w:pPr>
        <w:keepNext w:val="0"/>
        <w:keepLines w:val="0"/>
        <w:widowControl/>
        <w:suppressLineNumbers w:val="0"/>
        <w:jc w:val="left"/>
        <w:rPr>
          <w:rFonts w:hint="eastAsia" w:ascii="方正小标宋_GBK" w:hAnsi="方正小标宋_GBK" w:eastAsia="方正小标宋_GBK" w:cs="方正小标宋_GBK"/>
          <w:color w:val="000000"/>
          <w:kern w:val="0"/>
          <w:sz w:val="36"/>
          <w:szCs w:val="36"/>
          <w:highlight w:val="none"/>
          <w:lang w:val="en-US" w:eastAsia="zh-CN" w:bidi="ar"/>
        </w:rPr>
      </w:pPr>
    </w:p>
    <w:p w14:paraId="5A624A14">
      <w:pPr>
        <w:keepNext w:val="0"/>
        <w:keepLines w:val="0"/>
        <w:widowControl/>
        <w:suppressLineNumbers w:val="0"/>
        <w:jc w:val="left"/>
        <w:rPr>
          <w:rFonts w:hint="eastAsia" w:ascii="方正小标宋_GBK" w:hAnsi="方正小标宋_GBK" w:eastAsia="方正小标宋_GBK" w:cs="方正小标宋_GBK"/>
          <w:color w:val="000000"/>
          <w:kern w:val="0"/>
          <w:sz w:val="36"/>
          <w:szCs w:val="36"/>
          <w:highlight w:val="none"/>
          <w:lang w:val="en-US" w:eastAsia="zh-CN" w:bidi="ar"/>
        </w:rPr>
      </w:pPr>
    </w:p>
    <w:p w14:paraId="4D8EABD1">
      <w:pPr>
        <w:keepNext w:val="0"/>
        <w:keepLines w:val="0"/>
        <w:widowControl/>
        <w:suppressLineNumbers w:val="0"/>
        <w:jc w:val="left"/>
        <w:rPr>
          <w:rFonts w:hint="eastAsia" w:ascii="方正小标宋_GBK" w:hAnsi="方正小标宋_GBK" w:eastAsia="方正小标宋_GBK" w:cs="方正小标宋_GBK"/>
          <w:color w:val="000000"/>
          <w:kern w:val="0"/>
          <w:sz w:val="36"/>
          <w:szCs w:val="36"/>
          <w:highlight w:val="none"/>
          <w:lang w:val="en-US" w:eastAsia="zh-CN" w:bidi="ar"/>
        </w:rPr>
      </w:pPr>
    </w:p>
    <w:p w14:paraId="63D6AC7A">
      <w:pPr>
        <w:keepNext w:val="0"/>
        <w:keepLines w:val="0"/>
        <w:widowControl/>
        <w:suppressLineNumbers w:val="0"/>
        <w:jc w:val="left"/>
        <w:rPr>
          <w:rFonts w:hint="eastAsia" w:ascii="方正小标宋_GBK" w:hAnsi="方正小标宋_GBK" w:eastAsia="方正小标宋_GBK" w:cs="方正小标宋_GBK"/>
          <w:color w:val="000000"/>
          <w:kern w:val="0"/>
          <w:sz w:val="36"/>
          <w:szCs w:val="36"/>
          <w:highlight w:val="none"/>
          <w:lang w:val="en-US" w:eastAsia="zh-CN" w:bidi="ar"/>
        </w:rPr>
      </w:pPr>
    </w:p>
    <w:p w14:paraId="57FF86EF">
      <w:pPr>
        <w:keepNext w:val="0"/>
        <w:keepLines w:val="0"/>
        <w:widowControl/>
        <w:suppressLineNumbers w:val="0"/>
        <w:jc w:val="left"/>
        <w:rPr>
          <w:rFonts w:hint="eastAsia" w:ascii="方正小标宋_GBK" w:hAnsi="方正小标宋_GBK" w:eastAsia="方正小标宋_GBK" w:cs="方正小标宋_GBK"/>
          <w:color w:val="000000"/>
          <w:kern w:val="0"/>
          <w:sz w:val="36"/>
          <w:szCs w:val="36"/>
          <w:highlight w:val="none"/>
          <w:lang w:val="en-US" w:eastAsia="zh-CN" w:bidi="ar"/>
        </w:rPr>
      </w:pPr>
    </w:p>
    <w:p w14:paraId="24E225F9">
      <w:pPr>
        <w:keepNext w:val="0"/>
        <w:keepLines w:val="0"/>
        <w:widowControl/>
        <w:suppressLineNumbers w:val="0"/>
        <w:jc w:val="left"/>
        <w:rPr>
          <w:rFonts w:hint="eastAsia" w:ascii="方正小标宋_GBK" w:hAnsi="方正小标宋_GBK" w:eastAsia="方正小标宋_GBK" w:cs="方正小标宋_GBK"/>
          <w:color w:val="000000"/>
          <w:kern w:val="0"/>
          <w:sz w:val="36"/>
          <w:szCs w:val="36"/>
          <w:highlight w:val="none"/>
          <w:lang w:val="en-US" w:eastAsia="zh-CN" w:bidi="ar"/>
        </w:rPr>
      </w:pPr>
    </w:p>
    <w:p w14:paraId="2C8ADF21">
      <w:pPr>
        <w:keepNext w:val="0"/>
        <w:keepLines w:val="0"/>
        <w:widowControl/>
        <w:suppressLineNumbers w:val="0"/>
        <w:jc w:val="center"/>
        <w:rPr>
          <w:rFonts w:hint="eastAsia" w:ascii="方正小标宋_GBK" w:hAnsi="方正小标宋_GBK" w:eastAsia="方正小标宋_GBK" w:cs="方正小标宋_GBK"/>
          <w:color w:val="000000"/>
          <w:kern w:val="0"/>
          <w:sz w:val="36"/>
          <w:szCs w:val="36"/>
          <w:highlight w:val="none"/>
          <w:lang w:val="en-US" w:eastAsia="zh-CN" w:bidi="ar"/>
        </w:rPr>
      </w:pPr>
    </w:p>
    <w:p w14:paraId="19A0869E">
      <w:pPr>
        <w:keepNext w:val="0"/>
        <w:keepLines w:val="0"/>
        <w:widowControl/>
        <w:suppressLineNumbers w:val="0"/>
        <w:jc w:val="center"/>
        <w:rPr>
          <w:rFonts w:hint="eastAsia" w:ascii="方正小标宋_GBK" w:hAnsi="方正小标宋_GBK" w:eastAsia="方正小标宋_GBK" w:cs="方正小标宋_GBK"/>
          <w:color w:val="000000"/>
          <w:kern w:val="0"/>
          <w:sz w:val="36"/>
          <w:szCs w:val="36"/>
          <w:highlight w:val="none"/>
          <w:lang w:val="en-US" w:eastAsia="zh-CN" w:bidi="ar"/>
        </w:rPr>
      </w:pPr>
    </w:p>
    <w:p w14:paraId="283E0D25">
      <w:pPr>
        <w:keepNext w:val="0"/>
        <w:keepLines w:val="0"/>
        <w:widowControl/>
        <w:suppressLineNumbers w:val="0"/>
        <w:jc w:val="center"/>
        <w:rPr>
          <w:rFonts w:hint="eastAsia" w:ascii="方正小标宋_GBK" w:hAnsi="方正小标宋_GBK" w:eastAsia="方正小标宋_GBK" w:cs="方正小标宋_GBK"/>
          <w:color w:val="000000"/>
          <w:kern w:val="0"/>
          <w:sz w:val="36"/>
          <w:szCs w:val="36"/>
          <w:highlight w:val="none"/>
          <w:lang w:val="en-US" w:eastAsia="zh-CN" w:bidi="ar"/>
        </w:rPr>
      </w:pPr>
    </w:p>
    <w:p w14:paraId="6272D800">
      <w:pPr>
        <w:keepNext w:val="0"/>
        <w:keepLines w:val="0"/>
        <w:widowControl/>
        <w:suppressLineNumbers w:val="0"/>
        <w:jc w:val="center"/>
        <w:rPr>
          <w:rFonts w:hint="eastAsia" w:ascii="方正小标宋_GBK" w:hAnsi="方正小标宋_GBK" w:eastAsia="方正小标宋_GBK" w:cs="方正小标宋_GBK"/>
          <w:color w:val="000000"/>
          <w:kern w:val="0"/>
          <w:sz w:val="36"/>
          <w:szCs w:val="36"/>
          <w:highlight w:val="none"/>
          <w:lang w:val="en-US" w:eastAsia="zh-CN" w:bidi="ar"/>
        </w:rPr>
      </w:pPr>
    </w:p>
    <w:p w14:paraId="320FEDE9">
      <w:pPr>
        <w:keepNext w:val="0"/>
        <w:keepLines w:val="0"/>
        <w:widowControl/>
        <w:suppressLineNumbers w:val="0"/>
        <w:jc w:val="center"/>
        <w:rPr>
          <w:highlight w:val="none"/>
        </w:rPr>
      </w:pPr>
      <w:r>
        <w:rPr>
          <w:rFonts w:hint="eastAsia" w:ascii="方正小标宋_GBK" w:hAnsi="方正小标宋_GBK" w:eastAsia="方正小标宋_GBK" w:cs="方正小标宋_GBK"/>
          <w:color w:val="000000"/>
          <w:kern w:val="0"/>
          <w:sz w:val="36"/>
          <w:szCs w:val="36"/>
          <w:highlight w:val="none"/>
          <w:lang w:val="en-US" w:eastAsia="zh-CN" w:bidi="ar"/>
        </w:rPr>
        <w:t>第一章总则</w:t>
      </w:r>
    </w:p>
    <w:p w14:paraId="229FB085">
      <w:pPr>
        <w:keepNext w:val="0"/>
        <w:keepLines w:val="0"/>
        <w:widowControl/>
        <w:suppressLineNumbers w:val="0"/>
        <w:ind w:firstLine="620" w:firstLineChars="200"/>
        <w:jc w:val="left"/>
        <w:rPr>
          <w:rFonts w:hint="eastAsia" w:ascii="黑体" w:hAnsi="宋体" w:eastAsia="黑体" w:cs="黑体"/>
          <w:color w:val="000000"/>
          <w:kern w:val="0"/>
          <w:sz w:val="31"/>
          <w:szCs w:val="31"/>
          <w:highlight w:val="none"/>
          <w:lang w:val="en-US" w:eastAsia="zh-CN" w:bidi="ar"/>
        </w:rPr>
      </w:pPr>
    </w:p>
    <w:p w14:paraId="67D0B783">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第一条制定目的</w:t>
      </w:r>
    </w:p>
    <w:p w14:paraId="77A83CD7">
      <w:pPr>
        <w:keepNext w:val="0"/>
        <w:keepLines w:val="0"/>
        <w:widowControl/>
        <w:suppressLineNumbers w:val="0"/>
        <w:ind w:firstLine="620" w:firstLineChars="200"/>
        <w:jc w:val="left"/>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为规范乡村规划管理、合理保障乡村区域建设需求，实现</w:t>
      </w:r>
    </w:p>
    <w:p w14:paraId="259D39B0">
      <w:pPr>
        <w:keepNext w:val="0"/>
        <w:keepLines w:val="0"/>
        <w:widowControl/>
        <w:suppressLineNumbers w:val="0"/>
        <w:jc w:val="left"/>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乡村规划管理全覆盖的目标，根据《自然资源部中央农村工作领导小组办公室关于学习运用</w:t>
      </w:r>
      <w:r>
        <w:rPr>
          <w:rFonts w:hint="default" w:ascii="仿宋_GB2312" w:hAnsi="宋体" w:eastAsia="仿宋_GB2312" w:cs="仿宋_GB2312"/>
          <w:color w:val="000000"/>
          <w:kern w:val="0"/>
          <w:sz w:val="31"/>
          <w:szCs w:val="31"/>
          <w:highlight w:val="none"/>
          <w:lang w:val="en-US" w:eastAsia="zh-CN" w:bidi="ar"/>
        </w:rPr>
        <w:t>“</w:t>
      </w:r>
      <w:r>
        <w:rPr>
          <w:rFonts w:hint="eastAsia" w:ascii="仿宋_GB2312" w:hAnsi="宋体" w:eastAsia="仿宋_GB2312" w:cs="仿宋_GB2312"/>
          <w:color w:val="000000"/>
          <w:kern w:val="0"/>
          <w:sz w:val="31"/>
          <w:szCs w:val="31"/>
          <w:highlight w:val="none"/>
          <w:lang w:val="en-US" w:eastAsia="zh-CN" w:bidi="ar"/>
        </w:rPr>
        <w:t>千万工程</w:t>
      </w:r>
      <w:r>
        <w:rPr>
          <w:rFonts w:hint="default" w:ascii="仿宋_GB2312" w:hAnsi="宋体" w:eastAsia="仿宋_GB2312" w:cs="仿宋_GB2312"/>
          <w:color w:val="000000"/>
          <w:kern w:val="0"/>
          <w:sz w:val="31"/>
          <w:szCs w:val="31"/>
          <w:highlight w:val="none"/>
          <w:lang w:val="en-US" w:eastAsia="zh-CN" w:bidi="ar"/>
        </w:rPr>
        <w:t>”</w:t>
      </w:r>
      <w:r>
        <w:rPr>
          <w:rFonts w:hint="eastAsia" w:ascii="仿宋_GB2312" w:hAnsi="宋体" w:eastAsia="仿宋_GB2312" w:cs="仿宋_GB2312"/>
          <w:color w:val="000000"/>
          <w:kern w:val="0"/>
          <w:sz w:val="31"/>
          <w:szCs w:val="31"/>
          <w:highlight w:val="none"/>
          <w:lang w:val="en-US" w:eastAsia="zh-CN" w:bidi="ar"/>
        </w:rPr>
        <w:t>经验提高村庄规划编制质量和实效的通知》（自然资发〔</w:t>
      </w:r>
      <w:r>
        <w:rPr>
          <w:rFonts w:hint="default" w:ascii="仿宋_GB2312" w:hAnsi="宋体" w:eastAsia="仿宋_GB2312" w:cs="仿宋_GB2312"/>
          <w:color w:val="000000"/>
          <w:kern w:val="0"/>
          <w:sz w:val="31"/>
          <w:szCs w:val="31"/>
          <w:highlight w:val="none"/>
          <w:lang w:val="en-US" w:eastAsia="zh-CN" w:bidi="ar"/>
        </w:rPr>
        <w:t>2024</w:t>
      </w:r>
      <w:r>
        <w:rPr>
          <w:rFonts w:hint="eastAsia" w:ascii="仿宋_GB2312" w:hAnsi="宋体" w:eastAsia="仿宋_GB2312" w:cs="仿宋_GB2312"/>
          <w:color w:val="000000"/>
          <w:kern w:val="0"/>
          <w:sz w:val="31"/>
          <w:szCs w:val="31"/>
          <w:highlight w:val="none"/>
          <w:lang w:val="en-US" w:eastAsia="zh-CN" w:bidi="ar"/>
        </w:rPr>
        <w:t>〕</w:t>
      </w:r>
      <w:r>
        <w:rPr>
          <w:rFonts w:hint="default" w:ascii="仿宋_GB2312" w:hAnsi="宋体" w:eastAsia="仿宋_GB2312" w:cs="仿宋_GB2312"/>
          <w:color w:val="000000"/>
          <w:kern w:val="0"/>
          <w:sz w:val="31"/>
          <w:szCs w:val="31"/>
          <w:highlight w:val="none"/>
          <w:lang w:val="en-US" w:eastAsia="zh-CN" w:bidi="ar"/>
        </w:rPr>
        <w:t>1</w:t>
      </w:r>
      <w:r>
        <w:rPr>
          <w:rFonts w:hint="eastAsia" w:ascii="仿宋_GB2312" w:hAnsi="宋体" w:eastAsia="仿宋_GB2312" w:cs="仿宋_GB2312"/>
          <w:color w:val="000000"/>
          <w:kern w:val="0"/>
          <w:sz w:val="31"/>
          <w:szCs w:val="31"/>
          <w:highlight w:val="none"/>
          <w:lang w:val="en-US" w:eastAsia="zh-CN" w:bidi="ar"/>
        </w:rPr>
        <w:t>号）、《乡村全面振兴规划（</w:t>
      </w:r>
      <w:r>
        <w:rPr>
          <w:rFonts w:hint="default" w:ascii="仿宋_GB2312" w:hAnsi="宋体" w:eastAsia="仿宋_GB2312" w:cs="仿宋_GB2312"/>
          <w:color w:val="000000"/>
          <w:kern w:val="0"/>
          <w:sz w:val="31"/>
          <w:szCs w:val="31"/>
          <w:highlight w:val="none"/>
          <w:lang w:val="en-US" w:eastAsia="zh-CN" w:bidi="ar"/>
        </w:rPr>
        <w:t>2024-2027</w:t>
      </w:r>
      <w:r>
        <w:rPr>
          <w:rFonts w:hint="eastAsia" w:ascii="仿宋_GB2312" w:hAnsi="宋体" w:eastAsia="仿宋_GB2312" w:cs="仿宋_GB2312"/>
          <w:color w:val="000000"/>
          <w:kern w:val="0"/>
          <w:sz w:val="31"/>
          <w:szCs w:val="31"/>
          <w:highlight w:val="none"/>
          <w:lang w:val="en-US" w:eastAsia="zh-CN" w:bidi="ar"/>
        </w:rPr>
        <w:t>年）》和《自然资源部办公厅关于乡村区域“通则式”规划技术管理规定编制要求的通知》（自然资办发〔2025〕13号）等相关政策文件要求，结合疏附县乡村区域发展实际，制定“通则式”规划管理规定（以下简称本规定）。</w:t>
      </w:r>
    </w:p>
    <w:p w14:paraId="73EF23D9">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第二条制定作用</w:t>
      </w:r>
    </w:p>
    <w:p w14:paraId="6864C912">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本规定是村庄规划的补充，作为未编制村庄规划的33个村和乡用地范围开展国土空间开发保护、实施国土空间用途管制，农用地转用，建设用地供应、核发乡村建设项目规划许可、开展各项建设活动的依据。</w:t>
      </w:r>
    </w:p>
    <w:p w14:paraId="22A1ED49">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第三条适用范围</w:t>
      </w:r>
    </w:p>
    <w:p w14:paraId="700235B2">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本规定适用于疏附县城镇开发边界（中心城区、镇区）</w:t>
      </w:r>
    </w:p>
    <w:p w14:paraId="64CC70EB">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外，村庄规划（详细规划）未覆盖的33个村范围建设用地的规划管理。疏附县行政区域范围内乡用地等特殊区域适用本规定。</w:t>
      </w:r>
    </w:p>
    <w:p w14:paraId="404756FF">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农民建房、农村社区服务设施、公共管理与公共服务设施、</w:t>
      </w:r>
    </w:p>
    <w:p w14:paraId="493C913A">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公用设施以及农村一二三产融合发展项目，可依据本规定办理</w:t>
      </w:r>
    </w:p>
    <w:p w14:paraId="36CFFBD4">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农用地转用，建设用地供应和规划许可手续。具体包括以下建设情形：</w:t>
      </w:r>
    </w:p>
    <w:p w14:paraId="2E87B37B">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（一）重点工程拆迁安置、疑难问题处置等政策或乡镇人</w:t>
      </w:r>
    </w:p>
    <w:p w14:paraId="0D7BFB46">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民政府支持的农民建房项目。</w:t>
      </w:r>
    </w:p>
    <w:p w14:paraId="1ACA2598">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（二）村级办公楼、服务站、农村卫生服务站、农村公园、</w:t>
      </w:r>
    </w:p>
    <w:p w14:paraId="29EFE63E">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休息亭、文化礼堂、体育健身点、居家养老等农村社区服务设</w:t>
      </w:r>
    </w:p>
    <w:p w14:paraId="3F553B16">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施及公共管理与公共服务设施项目。</w:t>
      </w:r>
    </w:p>
    <w:p w14:paraId="326280B2">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（三）道路、停车场、农村取水设施、污水处理池、配电</w:t>
      </w:r>
    </w:p>
    <w:p w14:paraId="3580CC83">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房、通信基站、垃圾收集点、公厕、村级水闸和水电机房等农</w:t>
      </w:r>
    </w:p>
    <w:p w14:paraId="299363E0">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村公用设施项目。</w:t>
      </w:r>
    </w:p>
    <w:p w14:paraId="0C205A66">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（四）直接服务种植养殖业的农产品加工、电子商务、仓</w:t>
      </w:r>
    </w:p>
    <w:p w14:paraId="2D02CA5C">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储保鲜冷链、产地低温直销配送等产业，利用乡村本地资源发</w:t>
      </w:r>
    </w:p>
    <w:p w14:paraId="03855865">
      <w:pPr>
        <w:keepNext w:val="0"/>
        <w:keepLines w:val="0"/>
        <w:widowControl/>
        <w:suppressLineNumbers w:val="0"/>
        <w:jc w:val="left"/>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展休闲观光旅游而必需的配套设施建设等经相关主管部门认定的农村一二三产融合发展项目。</w:t>
      </w:r>
    </w:p>
    <w:p w14:paraId="1F058C7D">
      <w:pPr>
        <w:keepNext w:val="0"/>
        <w:keepLines w:val="0"/>
        <w:widowControl/>
        <w:suppressLineNumbers w:val="0"/>
        <w:ind w:firstLine="620" w:firstLineChars="200"/>
        <w:jc w:val="left"/>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不属于以上情形的其他村庄建设项目（如城镇开发边界外单独选址的交通、能源、水利、矿山等建设项目，军事设施、文物古迹、风景名胜、监教场所等特殊用地建设项目，有邻避效应的污水垃圾处理等建设项目）原则上不适用于本规定，应依据疏附县人民政府批准的村庄规划作为管理依据。</w:t>
      </w:r>
    </w:p>
    <w:p w14:paraId="419520A9">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农民建房涉及的用地类型为农村宅基地（</w:t>
      </w:r>
      <w:r>
        <w:rPr>
          <w:rFonts w:hint="default" w:ascii="Times New Roman" w:hAnsi="Times New Roman" w:eastAsia="宋体" w:cs="Times New Roman"/>
          <w:color w:val="000000"/>
          <w:kern w:val="0"/>
          <w:sz w:val="31"/>
          <w:szCs w:val="31"/>
          <w:highlight w:val="none"/>
          <w:lang w:val="en-US" w:eastAsia="zh-CN" w:bidi="ar"/>
        </w:rPr>
        <w:t>0703</w:t>
      </w:r>
      <w:r>
        <w:rPr>
          <w:rFonts w:hint="eastAsia" w:ascii="仿宋_GB2312" w:hAnsi="宋体" w:eastAsia="仿宋_GB2312" w:cs="仿宋_GB2312"/>
          <w:color w:val="000000"/>
          <w:kern w:val="0"/>
          <w:sz w:val="31"/>
          <w:szCs w:val="31"/>
          <w:highlight w:val="none"/>
          <w:lang w:val="en-US" w:eastAsia="zh-CN" w:bidi="ar"/>
        </w:rPr>
        <w:t>地类）。乡村公共服务设施和公用设施建设涉及的用地类型包括农村社区服务设施用地（</w:t>
      </w:r>
      <w:r>
        <w:rPr>
          <w:rFonts w:hint="default" w:ascii="Times New Roman" w:hAnsi="Times New Roman" w:eastAsia="宋体" w:cs="Times New Roman"/>
          <w:color w:val="000000"/>
          <w:kern w:val="0"/>
          <w:sz w:val="31"/>
          <w:szCs w:val="31"/>
          <w:highlight w:val="none"/>
          <w:lang w:val="en-US" w:eastAsia="zh-CN" w:bidi="ar"/>
        </w:rPr>
        <w:t>0704</w:t>
      </w:r>
      <w:r>
        <w:rPr>
          <w:rFonts w:hint="eastAsia" w:ascii="仿宋_GB2312" w:hAnsi="宋体" w:eastAsia="仿宋_GB2312" w:cs="仿宋_GB2312"/>
          <w:color w:val="000000"/>
          <w:kern w:val="0"/>
          <w:sz w:val="31"/>
          <w:szCs w:val="31"/>
          <w:highlight w:val="none"/>
          <w:lang w:val="en-US" w:eastAsia="zh-CN" w:bidi="ar"/>
        </w:rPr>
        <w:t>地类）、公共管理与公共服务用地（</w:t>
      </w:r>
      <w:r>
        <w:rPr>
          <w:rFonts w:hint="default" w:ascii="Times New Roman" w:hAnsi="Times New Roman" w:eastAsia="宋体" w:cs="Times New Roman"/>
          <w:color w:val="000000"/>
          <w:kern w:val="0"/>
          <w:sz w:val="31"/>
          <w:szCs w:val="31"/>
          <w:highlight w:val="none"/>
          <w:lang w:val="en-US" w:eastAsia="zh-CN" w:bidi="ar"/>
        </w:rPr>
        <w:t>08</w:t>
      </w:r>
      <w:r>
        <w:rPr>
          <w:rFonts w:hint="eastAsia" w:ascii="仿宋_GB2312" w:hAnsi="宋体" w:eastAsia="仿宋_GB2312" w:cs="仿宋_GB2312"/>
          <w:color w:val="000000"/>
          <w:kern w:val="0"/>
          <w:sz w:val="31"/>
          <w:szCs w:val="31"/>
          <w:highlight w:val="none"/>
          <w:lang w:val="en-US" w:eastAsia="zh-CN" w:bidi="ar"/>
        </w:rPr>
        <w:t>地类）、公用设施用地（</w:t>
      </w:r>
      <w:r>
        <w:rPr>
          <w:rFonts w:hint="default" w:ascii="Times New Roman" w:hAnsi="Times New Roman" w:eastAsia="宋体" w:cs="Times New Roman"/>
          <w:color w:val="000000"/>
          <w:kern w:val="0"/>
          <w:sz w:val="31"/>
          <w:szCs w:val="31"/>
          <w:highlight w:val="none"/>
          <w:lang w:val="en-US" w:eastAsia="zh-CN" w:bidi="ar"/>
        </w:rPr>
        <w:t>13</w:t>
      </w:r>
      <w:r>
        <w:rPr>
          <w:rFonts w:hint="eastAsia" w:ascii="仿宋_GB2312" w:hAnsi="宋体" w:eastAsia="仿宋_GB2312" w:cs="仿宋_GB2312"/>
          <w:color w:val="000000"/>
          <w:kern w:val="0"/>
          <w:sz w:val="31"/>
          <w:szCs w:val="31"/>
          <w:highlight w:val="none"/>
          <w:lang w:val="en-US" w:eastAsia="zh-CN" w:bidi="ar"/>
        </w:rPr>
        <w:t>地类）、城镇村道路用地（</w:t>
      </w:r>
      <w:r>
        <w:rPr>
          <w:rFonts w:hint="default" w:ascii="Times New Roman" w:hAnsi="Times New Roman" w:eastAsia="宋体" w:cs="Times New Roman"/>
          <w:color w:val="000000"/>
          <w:kern w:val="0"/>
          <w:sz w:val="31"/>
          <w:szCs w:val="31"/>
          <w:highlight w:val="none"/>
          <w:lang w:val="en-US" w:eastAsia="zh-CN" w:bidi="ar"/>
        </w:rPr>
        <w:t>1207</w:t>
      </w:r>
      <w:r>
        <w:rPr>
          <w:rFonts w:hint="eastAsia" w:ascii="仿宋_GB2312" w:hAnsi="宋体" w:eastAsia="仿宋_GB2312" w:cs="仿宋_GB2312"/>
          <w:color w:val="000000"/>
          <w:kern w:val="0"/>
          <w:sz w:val="31"/>
          <w:szCs w:val="31"/>
          <w:highlight w:val="none"/>
          <w:lang w:val="en-US" w:eastAsia="zh-CN" w:bidi="ar"/>
        </w:rPr>
        <w:t>地类）、交通场站用地（</w:t>
      </w:r>
      <w:r>
        <w:rPr>
          <w:rFonts w:hint="default" w:ascii="Times New Roman" w:hAnsi="Times New Roman" w:eastAsia="宋体" w:cs="Times New Roman"/>
          <w:color w:val="000000"/>
          <w:kern w:val="0"/>
          <w:sz w:val="31"/>
          <w:szCs w:val="31"/>
          <w:highlight w:val="none"/>
          <w:lang w:val="en-US" w:eastAsia="zh-CN" w:bidi="ar"/>
        </w:rPr>
        <w:t>1208</w:t>
      </w:r>
      <w:r>
        <w:rPr>
          <w:rFonts w:hint="eastAsia" w:ascii="仿宋_GB2312" w:hAnsi="宋体" w:eastAsia="仿宋_GB2312" w:cs="仿宋_GB2312"/>
          <w:color w:val="000000"/>
          <w:kern w:val="0"/>
          <w:sz w:val="31"/>
          <w:szCs w:val="31"/>
          <w:highlight w:val="none"/>
          <w:lang w:val="en-US" w:eastAsia="zh-CN" w:bidi="ar"/>
        </w:rPr>
        <w:t>地类）、广场用地（</w:t>
      </w:r>
      <w:r>
        <w:rPr>
          <w:rFonts w:hint="default" w:ascii="Times New Roman" w:hAnsi="Times New Roman" w:eastAsia="宋体" w:cs="Times New Roman"/>
          <w:color w:val="000000"/>
          <w:kern w:val="0"/>
          <w:sz w:val="31"/>
          <w:szCs w:val="31"/>
          <w:highlight w:val="none"/>
          <w:lang w:val="en-US" w:eastAsia="zh-CN" w:bidi="ar"/>
        </w:rPr>
        <w:t>1403</w:t>
      </w:r>
      <w:r>
        <w:rPr>
          <w:rFonts w:hint="eastAsia" w:ascii="仿宋_GB2312" w:hAnsi="宋体" w:eastAsia="仿宋_GB2312" w:cs="仿宋_GB2312"/>
          <w:color w:val="000000"/>
          <w:kern w:val="0"/>
          <w:sz w:val="31"/>
          <w:szCs w:val="31"/>
          <w:highlight w:val="none"/>
          <w:lang w:val="en-US" w:eastAsia="zh-CN" w:bidi="ar"/>
        </w:rPr>
        <w:t>地类）、殡葬用地（</w:t>
      </w:r>
      <w:r>
        <w:rPr>
          <w:rFonts w:hint="default" w:ascii="Times New Roman" w:hAnsi="Times New Roman" w:eastAsia="宋体" w:cs="Times New Roman"/>
          <w:color w:val="000000"/>
          <w:kern w:val="0"/>
          <w:sz w:val="31"/>
          <w:szCs w:val="31"/>
          <w:highlight w:val="none"/>
          <w:lang w:val="en-US" w:eastAsia="zh-CN" w:bidi="ar"/>
        </w:rPr>
        <w:t>1506</w:t>
      </w:r>
      <w:r>
        <w:rPr>
          <w:rFonts w:hint="eastAsia" w:ascii="仿宋_GB2312" w:hAnsi="宋体" w:eastAsia="仿宋_GB2312" w:cs="仿宋_GB2312"/>
          <w:color w:val="000000"/>
          <w:kern w:val="0"/>
          <w:sz w:val="31"/>
          <w:szCs w:val="31"/>
          <w:highlight w:val="none"/>
          <w:lang w:val="en-US" w:eastAsia="zh-CN" w:bidi="ar"/>
        </w:rPr>
        <w:t>地类）等。乡村产业项目指经相关主管部门认定的农村一二三产业融合发展项目或乡村旅游项目，涉及的用地类型包括商业服务业用地（</w:t>
      </w:r>
      <w:r>
        <w:rPr>
          <w:rFonts w:hint="default" w:ascii="Times New Roman" w:hAnsi="Times New Roman" w:eastAsia="宋体" w:cs="Times New Roman"/>
          <w:color w:val="000000"/>
          <w:kern w:val="0"/>
          <w:sz w:val="31"/>
          <w:szCs w:val="31"/>
          <w:highlight w:val="none"/>
          <w:lang w:val="en-US" w:eastAsia="zh-CN" w:bidi="ar"/>
        </w:rPr>
        <w:t>09</w:t>
      </w:r>
      <w:r>
        <w:rPr>
          <w:rFonts w:hint="eastAsia" w:ascii="仿宋_GB2312" w:hAnsi="宋体" w:eastAsia="仿宋_GB2312" w:cs="仿宋_GB2312"/>
          <w:color w:val="000000"/>
          <w:kern w:val="0"/>
          <w:sz w:val="31"/>
          <w:szCs w:val="31"/>
          <w:highlight w:val="none"/>
          <w:lang w:val="en-US" w:eastAsia="zh-CN" w:bidi="ar"/>
        </w:rPr>
        <w:t>地类）、工业用地（</w:t>
      </w:r>
      <w:r>
        <w:rPr>
          <w:rFonts w:hint="default" w:ascii="Times New Roman" w:hAnsi="Times New Roman" w:eastAsia="宋体" w:cs="Times New Roman"/>
          <w:color w:val="000000"/>
          <w:kern w:val="0"/>
          <w:sz w:val="31"/>
          <w:szCs w:val="31"/>
          <w:highlight w:val="none"/>
          <w:lang w:val="en-US" w:eastAsia="zh-CN" w:bidi="ar"/>
        </w:rPr>
        <w:t>1001</w:t>
      </w:r>
      <w:r>
        <w:rPr>
          <w:rFonts w:hint="eastAsia" w:ascii="仿宋_GB2312" w:hAnsi="宋体" w:eastAsia="仿宋_GB2312" w:cs="仿宋_GB2312"/>
          <w:color w:val="000000"/>
          <w:kern w:val="0"/>
          <w:sz w:val="31"/>
          <w:szCs w:val="31"/>
          <w:highlight w:val="none"/>
          <w:lang w:val="en-US" w:eastAsia="zh-CN" w:bidi="ar"/>
        </w:rPr>
        <w:t>地类）、仓储用地（</w:t>
      </w:r>
      <w:r>
        <w:rPr>
          <w:rFonts w:hint="default" w:ascii="Times New Roman" w:hAnsi="Times New Roman" w:eastAsia="宋体" w:cs="Times New Roman"/>
          <w:color w:val="000000"/>
          <w:kern w:val="0"/>
          <w:sz w:val="31"/>
          <w:szCs w:val="31"/>
          <w:highlight w:val="none"/>
          <w:lang w:val="en-US" w:eastAsia="zh-CN" w:bidi="ar"/>
        </w:rPr>
        <w:t>11</w:t>
      </w:r>
      <w:r>
        <w:rPr>
          <w:rFonts w:hint="eastAsia" w:ascii="仿宋_GB2312" w:hAnsi="宋体" w:eastAsia="仿宋_GB2312" w:cs="仿宋_GB2312"/>
          <w:color w:val="000000"/>
          <w:kern w:val="0"/>
          <w:sz w:val="31"/>
          <w:szCs w:val="31"/>
          <w:highlight w:val="none"/>
          <w:lang w:val="en-US" w:eastAsia="zh-CN" w:bidi="ar"/>
        </w:rPr>
        <w:t>地类）等。</w:t>
      </w:r>
    </w:p>
    <w:p w14:paraId="0C2EB957">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第四条规划许可</w:t>
      </w:r>
    </w:p>
    <w:p w14:paraId="5253317A">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符合第三条的乡村建设项目应当编制报批地块图则，由疏附县自然资源局依据报批地块图则按规定程序办理乡村建设</w:t>
      </w:r>
    </w:p>
    <w:p w14:paraId="4C68F3FA">
      <w:pPr>
        <w:keepNext w:val="0"/>
        <w:keepLines w:val="0"/>
        <w:widowControl/>
        <w:suppressLineNumbers w:val="0"/>
        <w:jc w:val="left"/>
        <w:rPr>
          <w:rFonts w:hint="default"/>
          <w:highlight w:val="none"/>
          <w:lang w:val="en-US"/>
        </w:rPr>
      </w:pPr>
      <w:r>
        <w:rPr>
          <w:rFonts w:hint="eastAsia" w:ascii="仿宋_GB2312" w:hAnsi="宋体" w:eastAsia="仿宋_GB2312" w:cs="仿宋_GB2312"/>
          <w:color w:val="000000"/>
          <w:kern w:val="0"/>
          <w:sz w:val="31"/>
          <w:szCs w:val="31"/>
          <w:highlight w:val="none"/>
          <w:lang w:val="en-US" w:eastAsia="zh-CN" w:bidi="ar"/>
        </w:rPr>
        <w:t>规划许可证（图则范式参见附图）。涉及新增建设用地的依据本规定依法办理农用地转用审批和供地手续后依据报批地块图则按规定程序办理乡村建设规划许可证。</w:t>
      </w:r>
    </w:p>
    <w:p w14:paraId="0AD6669D">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其中不涉及新增农转用报批手续的单宗农村村民住房，可</w:t>
      </w:r>
    </w:p>
    <w:p w14:paraId="1CC983BB">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以不编制报批地块图则，按相关规定办理规划许可。</w:t>
      </w:r>
    </w:p>
    <w:p w14:paraId="200AF65F">
      <w:pPr>
        <w:keepNext w:val="0"/>
        <w:keepLines w:val="0"/>
        <w:widowControl/>
        <w:suppressLineNumbers w:val="0"/>
        <w:jc w:val="center"/>
        <w:rPr>
          <w:highlight w:val="none"/>
        </w:rPr>
      </w:pPr>
      <w:r>
        <w:rPr>
          <w:rFonts w:hint="eastAsia" w:ascii="方正小标宋_GBK" w:hAnsi="方正小标宋_GBK" w:eastAsia="方正小标宋_GBK" w:cs="方正小标宋_GBK"/>
          <w:color w:val="000000"/>
          <w:kern w:val="0"/>
          <w:sz w:val="36"/>
          <w:szCs w:val="36"/>
          <w:highlight w:val="none"/>
          <w:lang w:val="en-US" w:eastAsia="zh-CN" w:bidi="ar"/>
        </w:rPr>
        <w:t>第二章分区管制和约束传导</w:t>
      </w:r>
    </w:p>
    <w:p w14:paraId="7EFF759B">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第五条分区管控</w:t>
      </w:r>
    </w:p>
    <w:p w14:paraId="1D2212EB">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乡村建设项目应符合乡镇级国土空间总体规划划定的管制分区及相关要求，原则上不得占用下列区域，确需占用的，须依照法律法规规定办理审批手续。</w:t>
      </w:r>
    </w:p>
    <w:p w14:paraId="3C6ABA58">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（一）耕地保护区域</w:t>
      </w:r>
    </w:p>
    <w:p w14:paraId="03D0D297">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1</w:t>
      </w:r>
      <w:r>
        <w:rPr>
          <w:rFonts w:hint="eastAsia" w:ascii="仿宋_GB2312" w:hAnsi="宋体" w:eastAsia="仿宋_GB2312" w:cs="仿宋_GB2312"/>
          <w:color w:val="000000"/>
          <w:kern w:val="0"/>
          <w:sz w:val="31"/>
          <w:szCs w:val="31"/>
          <w:highlight w:val="none"/>
          <w:lang w:val="en-US" w:eastAsia="zh-CN" w:bidi="ar"/>
        </w:rPr>
        <w:t>．永久基本农田、永久基本农田储备区；</w:t>
      </w:r>
    </w:p>
    <w:p w14:paraId="4326A7B5">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2</w:t>
      </w:r>
      <w:r>
        <w:rPr>
          <w:rFonts w:hint="eastAsia" w:ascii="仿宋_GB2312" w:hAnsi="宋体" w:eastAsia="仿宋_GB2312" w:cs="仿宋_GB2312"/>
          <w:color w:val="000000"/>
          <w:kern w:val="0"/>
          <w:sz w:val="31"/>
          <w:szCs w:val="31"/>
          <w:highlight w:val="none"/>
          <w:lang w:val="en-US" w:eastAsia="zh-CN" w:bidi="ar"/>
        </w:rPr>
        <w:t>．经批复的城乡建设用地增减挂钩专项规划、土地综合整治年度计划、年度耕地恢复补充方案等明确的耕地拟增加区域。</w:t>
      </w:r>
    </w:p>
    <w:p w14:paraId="12500C23">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（二）生态保护区域</w:t>
      </w:r>
    </w:p>
    <w:p w14:paraId="76A6C5E9">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生态保护红线、自然保护地、生态空间管控区域、饮用水</w:t>
      </w:r>
    </w:p>
    <w:p w14:paraId="22AED1A9">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源一级保护区等。</w:t>
      </w:r>
    </w:p>
    <w:p w14:paraId="7181460D">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（三）资源保护区域</w:t>
      </w:r>
    </w:p>
    <w:p w14:paraId="3809D0E7">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1</w:t>
      </w:r>
      <w:r>
        <w:rPr>
          <w:rFonts w:hint="eastAsia" w:ascii="仿宋_GB2312" w:hAnsi="宋体" w:eastAsia="仿宋_GB2312" w:cs="仿宋_GB2312"/>
          <w:color w:val="000000"/>
          <w:kern w:val="0"/>
          <w:sz w:val="31"/>
          <w:szCs w:val="31"/>
          <w:highlight w:val="none"/>
          <w:lang w:val="en-US" w:eastAsia="zh-CN" w:bidi="ar"/>
        </w:rPr>
        <w:t>．国家级、自治区级公益林；</w:t>
      </w:r>
    </w:p>
    <w:p w14:paraId="53E4AEB1">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2</w:t>
      </w:r>
      <w:r>
        <w:rPr>
          <w:rFonts w:hint="eastAsia" w:ascii="仿宋_GB2312" w:hAnsi="宋体" w:eastAsia="仿宋_GB2312" w:cs="仿宋_GB2312"/>
          <w:color w:val="000000"/>
          <w:kern w:val="0"/>
          <w:sz w:val="31"/>
          <w:szCs w:val="31"/>
          <w:highlight w:val="none"/>
          <w:lang w:val="en-US" w:eastAsia="zh-CN" w:bidi="ar"/>
        </w:rPr>
        <w:t>．江河、湖泊、渠首、饮用水水源地、小型水源工程、水库以及纳入水库名录的塘坝等重要水域管理及保护范围；</w:t>
      </w:r>
    </w:p>
    <w:p w14:paraId="69E0A958">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3</w:t>
      </w:r>
      <w:r>
        <w:rPr>
          <w:rFonts w:hint="eastAsia" w:ascii="仿宋_GB2312" w:hAnsi="宋体" w:eastAsia="仿宋_GB2312" w:cs="仿宋_GB2312"/>
          <w:color w:val="000000"/>
          <w:kern w:val="0"/>
          <w:sz w:val="31"/>
          <w:szCs w:val="31"/>
          <w:highlight w:val="none"/>
          <w:lang w:val="en-US" w:eastAsia="zh-CN" w:bidi="ar"/>
        </w:rPr>
        <w:t>．相关专项规划确定的各级各类历史文化保护线。</w:t>
      </w:r>
    </w:p>
    <w:p w14:paraId="31AB4533">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（四）安全保障区域</w:t>
      </w:r>
    </w:p>
    <w:p w14:paraId="0B4CDA21">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涉及洪涝风险、地质灾害、矿产资源勘查开采的安全控制</w:t>
      </w:r>
    </w:p>
    <w:p w14:paraId="14E07EC8">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范围以及高电压等级电力线路、油气长输管道、高压燃气管道</w:t>
      </w:r>
    </w:p>
    <w:p w14:paraId="3B6C0360">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等重大基础设施廊道控制范围。</w:t>
      </w:r>
    </w:p>
    <w:p w14:paraId="7DCBBE4A">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（五）其他区域</w:t>
      </w:r>
    </w:p>
    <w:p w14:paraId="0F28A338">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按要求须退让铁路、公路、河湖、地下水位监测站点的区域以及法律法规禁止建设建（构）筑物的其他区域。</w:t>
      </w:r>
    </w:p>
    <w:p w14:paraId="24BBE589">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第六条约束指标</w:t>
      </w:r>
    </w:p>
    <w:p w14:paraId="06948303">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新增建设用地的项目，应当与已纳入村庄规划和已使用的</w:t>
      </w:r>
    </w:p>
    <w:p w14:paraId="7FF3DED9">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乡村新增建设用地规模统筹考虑，严格控制乡村地区建设用地</w:t>
      </w:r>
    </w:p>
    <w:p w14:paraId="3361E316">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总规模。到</w:t>
      </w:r>
      <w:r>
        <w:rPr>
          <w:rFonts w:hint="default" w:ascii="Times New Roman" w:hAnsi="Times New Roman" w:eastAsia="宋体" w:cs="Times New Roman"/>
          <w:color w:val="000000"/>
          <w:kern w:val="0"/>
          <w:sz w:val="31"/>
          <w:szCs w:val="31"/>
          <w:highlight w:val="none"/>
          <w:lang w:val="en-US" w:eastAsia="zh-CN" w:bidi="ar"/>
        </w:rPr>
        <w:t>2035</w:t>
      </w:r>
      <w:r>
        <w:rPr>
          <w:rFonts w:hint="eastAsia" w:ascii="仿宋_GB2312" w:hAnsi="宋体" w:eastAsia="仿宋_GB2312" w:cs="仿宋_GB2312"/>
          <w:color w:val="000000"/>
          <w:kern w:val="0"/>
          <w:sz w:val="31"/>
          <w:szCs w:val="31"/>
          <w:highlight w:val="none"/>
          <w:lang w:val="en-US" w:eastAsia="zh-CN" w:bidi="ar"/>
        </w:rPr>
        <w:t>年末本疏附县村庄建设用地规模不突破</w:t>
      </w:r>
      <w:r>
        <w:rPr>
          <w:rFonts w:hint="default" w:ascii="Times New Roman" w:hAnsi="Times New Roman" w:eastAsia="宋体" w:cs="Times New Roman"/>
          <w:color w:val="000000"/>
          <w:kern w:val="0"/>
          <w:sz w:val="31"/>
          <w:szCs w:val="31"/>
          <w:highlight w:val="none"/>
          <w:lang w:val="en-US" w:eastAsia="zh-CN" w:bidi="ar"/>
        </w:rPr>
        <w:t>2020</w:t>
      </w:r>
      <w:r>
        <w:rPr>
          <w:rFonts w:hint="eastAsia" w:ascii="仿宋_GB2312" w:hAnsi="宋体" w:eastAsia="仿宋_GB2312" w:cs="仿宋_GB2312"/>
          <w:color w:val="000000"/>
          <w:kern w:val="0"/>
          <w:sz w:val="31"/>
          <w:szCs w:val="31"/>
          <w:highlight w:val="none"/>
          <w:lang w:val="en-US" w:eastAsia="zh-CN" w:bidi="ar"/>
        </w:rPr>
        <w:t>年度国土变更调查村庄用地（</w:t>
      </w:r>
      <w:r>
        <w:rPr>
          <w:rFonts w:hint="default" w:ascii="Times New Roman" w:hAnsi="Times New Roman" w:eastAsia="宋体" w:cs="Times New Roman"/>
          <w:color w:val="000000"/>
          <w:kern w:val="0"/>
          <w:sz w:val="31"/>
          <w:szCs w:val="31"/>
          <w:highlight w:val="none"/>
          <w:lang w:val="en-US" w:eastAsia="zh-CN" w:bidi="ar"/>
        </w:rPr>
        <w:t>203</w:t>
      </w:r>
      <w:r>
        <w:rPr>
          <w:rFonts w:hint="eastAsia" w:ascii="仿宋_GB2312" w:hAnsi="宋体" w:eastAsia="仿宋_GB2312" w:cs="仿宋_GB2312"/>
          <w:color w:val="000000"/>
          <w:kern w:val="0"/>
          <w:sz w:val="31"/>
          <w:szCs w:val="31"/>
          <w:highlight w:val="none"/>
          <w:lang w:val="en-US" w:eastAsia="zh-CN" w:bidi="ar"/>
        </w:rPr>
        <w:t>）规模。传导上位规划划定的详细规划编制单元，落实国土空间开发保护等量化指标，明确各单元内生态保护红线面积、永久基本农田保护面积、耕地保有量、村庄建设用地总规模、村庄建设边界规模、河湖岸线保护范围等指标，确保各类约束性指标规模不减少。</w:t>
      </w:r>
    </w:p>
    <w:p w14:paraId="5723FDCA">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第七条村庄建设边界</w:t>
      </w:r>
    </w:p>
    <w:p w14:paraId="31D06794">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村庄建设边界是规划期内相对集中集聚开展村庄建设的空间，除满足农民基本生活需求或选址有特殊要求的设施项目，</w:t>
      </w:r>
    </w:p>
    <w:p w14:paraId="1113BD6C">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乡村建设项目原则上应限定在村庄建设边界内。传导落实乡镇</w:t>
      </w:r>
    </w:p>
    <w:p w14:paraId="5D53A048">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级国土空间总体规划划定的村庄建设边界，村庄规划可对其进</w:t>
      </w:r>
    </w:p>
    <w:p w14:paraId="77E4B781">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行优化调整，但不得突破上位规划确定的村庄建设边界规模。</w:t>
      </w:r>
    </w:p>
    <w:p w14:paraId="257FECF5">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经论证确需布局在村庄建设边界外的，可在不占用永久基本农田和生态保护红线、不突破国土空间规划建设用地指标等约束条件、不破坏生态环境和乡村风貌的前提下，在村庄建设边界外安排少量建设用地，并依法办理农用地转用审批和供地手续。</w:t>
      </w:r>
    </w:p>
    <w:p w14:paraId="06DC88D5">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第八条空间控制线传导</w:t>
      </w:r>
    </w:p>
    <w:p w14:paraId="0767BB52">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严格落实法律法规和国土空间规划确定的各类控制线及其管控要求。严格落实耕地和永久基本农田、生态保护红线保护任务，优先保障粮食安全、生态安全和国土安全，未经批准不得擅自调整、占用或改变用途。传导落实上位国土空间总体规划中划定的历史文化保护线、灾害防治控制线、基础设施控制线等其他各类空间控制线，按照规划控制要求规范开展乡村建设活动。</w:t>
      </w:r>
    </w:p>
    <w:p w14:paraId="0A4D61B8">
      <w:pPr>
        <w:keepNext w:val="0"/>
        <w:keepLines w:val="0"/>
        <w:widowControl/>
        <w:suppressLineNumbers w:val="0"/>
        <w:jc w:val="center"/>
        <w:rPr>
          <w:highlight w:val="none"/>
        </w:rPr>
      </w:pPr>
      <w:r>
        <w:rPr>
          <w:rFonts w:hint="eastAsia" w:ascii="方正小标宋_GBK" w:hAnsi="方正小标宋_GBK" w:eastAsia="方正小标宋_GBK" w:cs="方正小标宋_GBK"/>
          <w:color w:val="000000"/>
          <w:kern w:val="0"/>
          <w:sz w:val="36"/>
          <w:szCs w:val="36"/>
          <w:highlight w:val="none"/>
          <w:lang w:val="en-US" w:eastAsia="zh-CN" w:bidi="ar"/>
        </w:rPr>
        <w:t>第三章建设项目选址要求</w:t>
      </w:r>
    </w:p>
    <w:p w14:paraId="02F49BD0">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第九条选址要求</w:t>
      </w:r>
    </w:p>
    <w:p w14:paraId="65873173">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乡村建设项目的选址应当遵循下列规定：</w:t>
      </w:r>
    </w:p>
    <w:p w14:paraId="2D5E1864">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（一）农民建房</w:t>
      </w:r>
    </w:p>
    <w:p w14:paraId="0F5B6DDA">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应当符合《住房城乡建设部等</w:t>
      </w:r>
      <w:r>
        <w:rPr>
          <w:rFonts w:hint="default" w:ascii="Times New Roman" w:hAnsi="Times New Roman" w:eastAsia="宋体" w:cs="Times New Roman"/>
          <w:color w:val="000000"/>
          <w:kern w:val="0"/>
          <w:sz w:val="31"/>
          <w:szCs w:val="31"/>
          <w:highlight w:val="none"/>
          <w:lang w:val="en-US" w:eastAsia="zh-CN" w:bidi="ar"/>
        </w:rPr>
        <w:t>5</w:t>
      </w:r>
      <w:r>
        <w:rPr>
          <w:rFonts w:hint="eastAsia" w:ascii="仿宋_GB2312" w:hAnsi="宋体" w:eastAsia="仿宋_GB2312" w:cs="仿宋_GB2312"/>
          <w:color w:val="000000"/>
          <w:kern w:val="0"/>
          <w:sz w:val="31"/>
          <w:szCs w:val="31"/>
          <w:highlight w:val="none"/>
          <w:lang w:val="en-US" w:eastAsia="zh-CN" w:bidi="ar"/>
        </w:rPr>
        <w:t>部门关于加强农村房屋建设管理的指导意见》（建村规〔</w:t>
      </w:r>
      <w:r>
        <w:rPr>
          <w:rFonts w:hint="default" w:ascii="Times New Roman" w:hAnsi="Times New Roman" w:eastAsia="宋体" w:cs="Times New Roman"/>
          <w:color w:val="000000"/>
          <w:kern w:val="0"/>
          <w:sz w:val="31"/>
          <w:szCs w:val="31"/>
          <w:highlight w:val="none"/>
          <w:lang w:val="en-US" w:eastAsia="zh-CN" w:bidi="ar"/>
        </w:rPr>
        <w:t>2024</w:t>
      </w:r>
      <w:r>
        <w:rPr>
          <w:rFonts w:hint="eastAsia" w:ascii="仿宋_GB2312" w:hAnsi="宋体" w:eastAsia="仿宋_GB2312" w:cs="仿宋_GB2312"/>
          <w:color w:val="000000"/>
          <w:kern w:val="0"/>
          <w:sz w:val="31"/>
          <w:szCs w:val="31"/>
          <w:highlight w:val="none"/>
          <w:lang w:val="en-US" w:eastAsia="zh-CN" w:bidi="ar"/>
        </w:rPr>
        <w:t>〕</w:t>
      </w:r>
      <w:r>
        <w:rPr>
          <w:rFonts w:hint="default" w:ascii="Times New Roman" w:hAnsi="Times New Roman" w:eastAsia="宋体" w:cs="Times New Roman"/>
          <w:color w:val="000000"/>
          <w:kern w:val="0"/>
          <w:sz w:val="31"/>
          <w:szCs w:val="31"/>
          <w:highlight w:val="none"/>
          <w:lang w:val="en-US" w:eastAsia="zh-CN" w:bidi="ar"/>
        </w:rPr>
        <w:t>4</w:t>
      </w:r>
      <w:r>
        <w:rPr>
          <w:rFonts w:hint="eastAsia" w:ascii="仿宋_GB2312" w:hAnsi="宋体" w:eastAsia="仿宋_GB2312" w:cs="仿宋_GB2312"/>
          <w:color w:val="000000"/>
          <w:kern w:val="0"/>
          <w:sz w:val="31"/>
          <w:szCs w:val="31"/>
          <w:highlight w:val="none"/>
          <w:lang w:val="en-US" w:eastAsia="zh-CN" w:bidi="ar"/>
        </w:rPr>
        <w:t>号）相关要求，原则上应当优先利用存量建设用地，确需新增的应当紧邻现状居民点布局。集聚提升类村庄、城郊融合类村庄、特色保护类村庄允许新建、翻建农房，推进农村居民点集中或连片建设；稳步改善类村庄允许有条件翻建，确需在本村选址解决分户需求的，应优先利用存量建设用地；搬迁撤并类村庄严格限制新建、扩建活动。</w:t>
      </w:r>
    </w:p>
    <w:p w14:paraId="54EABD42">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（二）农村社区服务设施、公共管理与公共服务设施和公</w:t>
      </w:r>
    </w:p>
    <w:p w14:paraId="460C5F48">
      <w:pPr>
        <w:keepNext w:val="0"/>
        <w:keepLines w:val="0"/>
        <w:widowControl/>
        <w:suppressLineNumbers w:val="0"/>
        <w:jc w:val="left"/>
        <w:rPr>
          <w:highlight w:val="none"/>
        </w:rPr>
      </w:pPr>
      <w:r>
        <w:rPr>
          <w:rFonts w:hint="eastAsia" w:ascii="仿宋_GB2312" w:hAnsi="宋体" w:eastAsia="仿宋_GB2312" w:cs="仿宋_GB2312"/>
          <w:b/>
          <w:bCs/>
          <w:color w:val="000000"/>
          <w:kern w:val="0"/>
          <w:sz w:val="31"/>
          <w:szCs w:val="31"/>
          <w:highlight w:val="none"/>
          <w:lang w:val="en-US" w:eastAsia="zh-CN" w:bidi="ar"/>
        </w:rPr>
        <w:t>用设施</w:t>
      </w:r>
    </w:p>
    <w:p w14:paraId="049E08F2">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应适应村庄发展导向和公共利益需求，统筹考虑行政村范</w:t>
      </w:r>
    </w:p>
    <w:p w14:paraId="7C630422">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围、村庄分类、人口规模、设施服务能力和村民实际需求等因</w:t>
      </w:r>
    </w:p>
    <w:p w14:paraId="3F6530E8">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素，且对周边地区及村民无不利影响，合理确定设施配置与选</w:t>
      </w:r>
    </w:p>
    <w:p w14:paraId="2EA2F4CA">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址。</w:t>
      </w:r>
    </w:p>
    <w:p w14:paraId="0BDA5914">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农村社区服务设施、公共管理与公共服务设施应充分利用</w:t>
      </w:r>
    </w:p>
    <w:p w14:paraId="35608C3F">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现有空间，综合行政管理、治理服务、医疗卫生、文化体育等</w:t>
      </w:r>
    </w:p>
    <w:p w14:paraId="34C6BC9F">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功能复合设置，选址宜布置在位置适中、内外联系方便的地段，</w:t>
      </w:r>
    </w:p>
    <w:p w14:paraId="2BAB15E4">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方便村民使用。乡村公用设施应充分考虑地形地貌、防灾减灾、</w:t>
      </w:r>
    </w:p>
    <w:p w14:paraId="5BEE8A97">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邻避距离等要素，在满足功能需求的前提下减少对环境和生活</w:t>
      </w:r>
    </w:p>
    <w:p w14:paraId="6EE76C24">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的影响。各类设施用地应符合国家和地方相关行业标准的规定。</w:t>
      </w:r>
    </w:p>
    <w:p w14:paraId="30C4DB33">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（三）一二三产融合发展项目</w:t>
      </w:r>
    </w:p>
    <w:p w14:paraId="5FB84CAD">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应当综合考虑现状交通基础、基础设施接入条件、形态管</w:t>
      </w:r>
    </w:p>
    <w:p w14:paraId="49285408">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控等要求，因地制宜、统筹布局。</w:t>
      </w:r>
    </w:p>
    <w:p w14:paraId="37D23709">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1</w:t>
      </w:r>
      <w:r>
        <w:rPr>
          <w:rFonts w:hint="eastAsia" w:ascii="仿宋_GB2312" w:hAnsi="宋体" w:eastAsia="仿宋_GB2312" w:cs="仿宋_GB2312"/>
          <w:color w:val="000000"/>
          <w:kern w:val="0"/>
          <w:sz w:val="31"/>
          <w:szCs w:val="31"/>
          <w:highlight w:val="none"/>
          <w:lang w:val="en-US" w:eastAsia="zh-CN" w:bidi="ar"/>
        </w:rPr>
        <w:t>．规模较大、工业化程度高、分散布局配套设施成本高的产业项目宜在产业园区内布局。</w:t>
      </w:r>
    </w:p>
    <w:p w14:paraId="59791159">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2</w:t>
      </w:r>
      <w:r>
        <w:rPr>
          <w:rFonts w:hint="eastAsia" w:ascii="仿宋_GB2312" w:hAnsi="宋体" w:eastAsia="仿宋_GB2312" w:cs="仿宋_GB2312"/>
          <w:color w:val="000000"/>
          <w:kern w:val="0"/>
          <w:sz w:val="31"/>
          <w:szCs w:val="31"/>
          <w:highlight w:val="none"/>
          <w:lang w:val="en-US" w:eastAsia="zh-CN" w:bidi="ar"/>
        </w:rPr>
        <w:t>．直接服务种植养殖业的农产品加工、电子商务、仓储保鲜冷链、产地低温直销配送等产业，原则上应集中在村庄建设边界内。</w:t>
      </w:r>
    </w:p>
    <w:p w14:paraId="47615861">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3</w:t>
      </w:r>
      <w:r>
        <w:rPr>
          <w:rFonts w:hint="eastAsia" w:ascii="仿宋_GB2312" w:hAnsi="宋体" w:eastAsia="仿宋_GB2312" w:cs="仿宋_GB2312"/>
          <w:color w:val="000000"/>
          <w:kern w:val="0"/>
          <w:sz w:val="31"/>
          <w:szCs w:val="31"/>
          <w:highlight w:val="none"/>
          <w:lang w:val="en-US" w:eastAsia="zh-CN" w:bidi="ar"/>
        </w:rPr>
        <w:t>．对空间区位有特殊要求、确需在村庄建设边界外选址的零星文化旅游设施、农业设施、邻避设施项目等，可在不突破国土空间规划底线和指标约束、不破坏生态环境和乡村风貌、</w:t>
      </w:r>
    </w:p>
    <w:p w14:paraId="476E0994">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符合耕地保护等政策要求的前提下，在村庄建设边界外少量布</w:t>
      </w:r>
    </w:p>
    <w:p w14:paraId="58DEC9B0">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局，并依法办理农用地转用审批和供地手续。</w:t>
      </w:r>
    </w:p>
    <w:p w14:paraId="52CBB447">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第十条规模控制</w:t>
      </w:r>
    </w:p>
    <w:p w14:paraId="0B18CF73">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按照本规定管理的规划乡村建设项目用地应当按照国家、</w:t>
      </w:r>
    </w:p>
    <w:p w14:paraId="6BF412E0">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自治区相关规定严格控制建设规模。</w:t>
      </w:r>
    </w:p>
    <w:p w14:paraId="204FE63D">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（一）农民建房</w:t>
      </w:r>
    </w:p>
    <w:p w14:paraId="2844CE73">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其中农民建房坚持</w:t>
      </w:r>
      <w:r>
        <w:rPr>
          <w:rFonts w:hint="default" w:ascii="Times New Roman" w:hAnsi="Times New Roman" w:eastAsia="宋体" w:cs="Times New Roman"/>
          <w:color w:val="000000"/>
          <w:kern w:val="0"/>
          <w:sz w:val="31"/>
          <w:szCs w:val="31"/>
          <w:highlight w:val="none"/>
          <w:lang w:val="en-US" w:eastAsia="zh-CN" w:bidi="ar"/>
        </w:rPr>
        <w:t>“</w:t>
      </w:r>
      <w:r>
        <w:rPr>
          <w:rFonts w:hint="eastAsia" w:ascii="仿宋_GB2312" w:hAnsi="宋体" w:eastAsia="仿宋_GB2312" w:cs="仿宋_GB2312"/>
          <w:color w:val="000000"/>
          <w:kern w:val="0"/>
          <w:sz w:val="31"/>
          <w:szCs w:val="31"/>
          <w:highlight w:val="none"/>
          <w:lang w:val="en-US" w:eastAsia="zh-CN" w:bidi="ar"/>
        </w:rPr>
        <w:t>一户一宅</w:t>
      </w:r>
      <w:r>
        <w:rPr>
          <w:rFonts w:hint="default" w:ascii="Times New Roman" w:hAnsi="Times New Roman" w:eastAsia="宋体" w:cs="Times New Roman"/>
          <w:color w:val="000000"/>
          <w:kern w:val="0"/>
          <w:sz w:val="31"/>
          <w:szCs w:val="31"/>
          <w:highlight w:val="none"/>
          <w:lang w:val="en-US" w:eastAsia="zh-CN" w:bidi="ar"/>
        </w:rPr>
        <w:t>”</w:t>
      </w:r>
      <w:r>
        <w:rPr>
          <w:rFonts w:hint="eastAsia" w:ascii="仿宋_GB2312" w:hAnsi="宋体" w:eastAsia="仿宋_GB2312" w:cs="仿宋_GB2312"/>
          <w:color w:val="000000"/>
          <w:kern w:val="0"/>
          <w:sz w:val="31"/>
          <w:szCs w:val="31"/>
          <w:highlight w:val="none"/>
          <w:lang w:val="en-US" w:eastAsia="zh-CN" w:bidi="ar"/>
        </w:rPr>
        <w:t>原则，农村宅基地严格落实</w:t>
      </w:r>
    </w:p>
    <w:p w14:paraId="6512525F">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《新疆维吾尔自治区实施</w:t>
      </w:r>
      <w:r>
        <w:rPr>
          <w:rFonts w:hint="default" w:ascii="Times New Roman" w:hAnsi="Times New Roman" w:eastAsia="宋体" w:cs="Times New Roman"/>
          <w:color w:val="000000"/>
          <w:kern w:val="0"/>
          <w:sz w:val="31"/>
          <w:szCs w:val="31"/>
          <w:highlight w:val="none"/>
          <w:lang w:val="en-US" w:eastAsia="zh-CN" w:bidi="ar"/>
        </w:rPr>
        <w:t>&lt;</w:t>
      </w:r>
      <w:r>
        <w:rPr>
          <w:rFonts w:hint="eastAsia" w:ascii="仿宋_GB2312" w:hAnsi="宋体" w:eastAsia="仿宋_GB2312" w:cs="仿宋_GB2312"/>
          <w:color w:val="000000"/>
          <w:kern w:val="0"/>
          <w:sz w:val="31"/>
          <w:szCs w:val="31"/>
          <w:highlight w:val="none"/>
          <w:lang w:val="en-US" w:eastAsia="zh-CN" w:bidi="ar"/>
        </w:rPr>
        <w:t>中华人民共和国土地管理法</w:t>
      </w:r>
      <w:r>
        <w:rPr>
          <w:rFonts w:hint="default" w:ascii="Times New Roman" w:hAnsi="Times New Roman" w:eastAsia="宋体" w:cs="Times New Roman"/>
          <w:color w:val="000000"/>
          <w:kern w:val="0"/>
          <w:sz w:val="31"/>
          <w:szCs w:val="31"/>
          <w:highlight w:val="none"/>
          <w:lang w:val="en-US" w:eastAsia="zh-CN" w:bidi="ar"/>
        </w:rPr>
        <w:t>&gt;</w:t>
      </w:r>
      <w:r>
        <w:rPr>
          <w:rFonts w:hint="eastAsia" w:ascii="仿宋_GB2312" w:hAnsi="宋体" w:eastAsia="仿宋_GB2312" w:cs="仿宋_GB2312"/>
          <w:color w:val="000000"/>
          <w:kern w:val="0"/>
          <w:sz w:val="31"/>
          <w:szCs w:val="31"/>
          <w:highlight w:val="none"/>
          <w:lang w:val="en-US" w:eastAsia="zh-CN" w:bidi="ar"/>
        </w:rPr>
        <w:t>办法》</w:t>
      </w:r>
    </w:p>
    <w:p w14:paraId="10B45865">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宅基地面积标准。</w:t>
      </w:r>
    </w:p>
    <w:p w14:paraId="045D23FD">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（二）农村社区服务设施、公共管理与公共服务设施和公</w:t>
      </w:r>
    </w:p>
    <w:p w14:paraId="071AC10A">
      <w:pPr>
        <w:keepNext w:val="0"/>
        <w:keepLines w:val="0"/>
        <w:widowControl/>
        <w:suppressLineNumbers w:val="0"/>
        <w:jc w:val="left"/>
        <w:rPr>
          <w:highlight w:val="none"/>
        </w:rPr>
      </w:pPr>
      <w:r>
        <w:rPr>
          <w:rFonts w:hint="eastAsia" w:ascii="仿宋_GB2312" w:hAnsi="宋体" w:eastAsia="仿宋_GB2312" w:cs="仿宋_GB2312"/>
          <w:b/>
          <w:bCs/>
          <w:color w:val="000000"/>
          <w:kern w:val="0"/>
          <w:sz w:val="31"/>
          <w:szCs w:val="31"/>
          <w:highlight w:val="none"/>
          <w:lang w:val="en-US" w:eastAsia="zh-CN" w:bidi="ar"/>
        </w:rPr>
        <w:t>用设施</w:t>
      </w:r>
    </w:p>
    <w:p w14:paraId="1E03E398">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贯彻城乡基本公共服务均等化理念，鼓励各类服务设施在</w:t>
      </w:r>
    </w:p>
    <w:p w14:paraId="60AC4401">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地块内复合建设，共建共享，提高使用效率。落实上位规划对</w:t>
      </w:r>
    </w:p>
    <w:p w14:paraId="3903E99A">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村庄公共服务设施的配置要求和建设标准，农村社区服务设施、</w:t>
      </w:r>
    </w:p>
    <w:p w14:paraId="62EE4C57">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公共管理与公共服务设施、公用设施的用地和建设规模应符合</w:t>
      </w:r>
    </w:p>
    <w:p w14:paraId="21606EC8">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《新疆维吾尔自治区村庄规划编制技术规程（试行）》以及自</w:t>
      </w:r>
    </w:p>
    <w:p w14:paraId="7700D4B2">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治区、地区相关规定。</w:t>
      </w:r>
    </w:p>
    <w:p w14:paraId="5866517A">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（三）一二三产融合发展项目</w:t>
      </w:r>
    </w:p>
    <w:p w14:paraId="2149AA00">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应当符合节约集约用地要求，经相关主管部门同意，优先</w:t>
      </w:r>
    </w:p>
    <w:p w14:paraId="393BCB9C">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使用存量建设用地，提高土地利用效率。</w:t>
      </w:r>
    </w:p>
    <w:p w14:paraId="60961EDD">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（四）其他项目</w:t>
      </w:r>
    </w:p>
    <w:p w14:paraId="23333661">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有特定选址要求，区域性的市政、公共配套等项目，应符</w:t>
      </w:r>
    </w:p>
    <w:p w14:paraId="074C24D7">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合相关行业及专项规划的用地标准，符合集约利用土地的要求。</w:t>
      </w:r>
    </w:p>
    <w:p w14:paraId="6CB80D4A">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第十一条指标控制</w:t>
      </w:r>
    </w:p>
    <w:p w14:paraId="46B96EBF">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乡村建设项目原则上应满足以下相关指标控制要求：</w:t>
      </w:r>
    </w:p>
    <w:p w14:paraId="3EC28457">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（一）建筑高度</w:t>
      </w:r>
    </w:p>
    <w:p w14:paraId="4A1E952B">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1</w:t>
      </w:r>
      <w:r>
        <w:rPr>
          <w:rFonts w:hint="eastAsia" w:ascii="仿宋_GB2312" w:hAnsi="宋体" w:eastAsia="仿宋_GB2312" w:cs="仿宋_GB2312"/>
          <w:color w:val="000000"/>
          <w:kern w:val="0"/>
          <w:sz w:val="31"/>
          <w:szCs w:val="31"/>
          <w:highlight w:val="none"/>
          <w:lang w:val="en-US" w:eastAsia="zh-CN" w:bidi="ar"/>
        </w:rPr>
        <w:t>．农民建房的建筑层数原则上不超过2层，高度宜控制在</w:t>
      </w:r>
      <w:r>
        <w:rPr>
          <w:rFonts w:hint="eastAsia" w:ascii="Times New Roman" w:hAnsi="Times New Roman" w:eastAsia="宋体" w:cs="Times New Roman"/>
          <w:color w:val="000000"/>
          <w:kern w:val="0"/>
          <w:sz w:val="31"/>
          <w:szCs w:val="31"/>
          <w:highlight w:val="none"/>
          <w:lang w:val="en-US" w:eastAsia="zh-CN" w:bidi="ar"/>
        </w:rPr>
        <w:t>7.2</w:t>
      </w:r>
      <w:r>
        <w:rPr>
          <w:rFonts w:hint="eastAsia" w:ascii="仿宋_GB2312" w:hAnsi="宋体" w:eastAsia="仿宋_GB2312" w:cs="仿宋_GB2312"/>
          <w:color w:val="000000"/>
          <w:kern w:val="0"/>
          <w:sz w:val="31"/>
          <w:szCs w:val="31"/>
          <w:highlight w:val="none"/>
          <w:lang w:val="en-US" w:eastAsia="zh-CN" w:bidi="ar"/>
        </w:rPr>
        <w:t>米以下。</w:t>
      </w:r>
    </w:p>
    <w:p w14:paraId="4066EA73">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2</w:t>
      </w:r>
      <w:r>
        <w:rPr>
          <w:rFonts w:hint="eastAsia" w:ascii="仿宋_GB2312" w:hAnsi="宋体" w:eastAsia="仿宋_GB2312" w:cs="仿宋_GB2312"/>
          <w:color w:val="000000"/>
          <w:kern w:val="0"/>
          <w:sz w:val="31"/>
          <w:szCs w:val="31"/>
          <w:highlight w:val="none"/>
          <w:lang w:val="en-US" w:eastAsia="zh-CN" w:bidi="ar"/>
        </w:rPr>
        <w:t>．农村社区服务设施、公共管理与公共服务设施、公用设施建筑高度原则上宜控制在</w:t>
      </w:r>
      <w:r>
        <w:rPr>
          <w:rFonts w:hint="default" w:ascii="Times New Roman" w:hAnsi="Times New Roman" w:eastAsia="宋体" w:cs="Times New Roman"/>
          <w:color w:val="000000"/>
          <w:kern w:val="0"/>
          <w:sz w:val="31"/>
          <w:szCs w:val="31"/>
          <w:highlight w:val="none"/>
          <w:lang w:val="en-US" w:eastAsia="zh-CN" w:bidi="ar"/>
        </w:rPr>
        <w:t>18</w:t>
      </w:r>
      <w:r>
        <w:rPr>
          <w:rFonts w:hint="eastAsia" w:ascii="仿宋_GB2312" w:hAnsi="宋体" w:eastAsia="仿宋_GB2312" w:cs="仿宋_GB2312"/>
          <w:color w:val="000000"/>
          <w:kern w:val="0"/>
          <w:sz w:val="31"/>
          <w:szCs w:val="31"/>
          <w:highlight w:val="none"/>
          <w:lang w:val="en-US" w:eastAsia="zh-CN" w:bidi="ar"/>
        </w:rPr>
        <w:t>米以下。</w:t>
      </w:r>
    </w:p>
    <w:p w14:paraId="2C3CD9B6">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3</w:t>
      </w:r>
      <w:r>
        <w:rPr>
          <w:rFonts w:hint="eastAsia" w:ascii="仿宋_GB2312" w:hAnsi="宋体" w:eastAsia="仿宋_GB2312" w:cs="仿宋_GB2312"/>
          <w:color w:val="000000"/>
          <w:kern w:val="0"/>
          <w:sz w:val="31"/>
          <w:szCs w:val="31"/>
          <w:highlight w:val="none"/>
          <w:lang w:val="en-US" w:eastAsia="zh-CN" w:bidi="ar"/>
        </w:rPr>
        <w:t>．商业服务业项目建筑高度原则上应当控制在</w:t>
      </w:r>
      <w:r>
        <w:rPr>
          <w:rFonts w:hint="default" w:ascii="Times New Roman" w:hAnsi="Times New Roman" w:eastAsia="宋体" w:cs="Times New Roman"/>
          <w:color w:val="000000"/>
          <w:kern w:val="0"/>
          <w:sz w:val="31"/>
          <w:szCs w:val="31"/>
          <w:highlight w:val="none"/>
          <w:lang w:val="en-US" w:eastAsia="zh-CN" w:bidi="ar"/>
        </w:rPr>
        <w:t>18</w:t>
      </w:r>
      <w:r>
        <w:rPr>
          <w:rFonts w:hint="eastAsia" w:ascii="仿宋_GB2312" w:hAnsi="宋体" w:eastAsia="仿宋_GB2312" w:cs="仿宋_GB2312"/>
          <w:color w:val="000000"/>
          <w:kern w:val="0"/>
          <w:sz w:val="31"/>
          <w:szCs w:val="31"/>
          <w:highlight w:val="none"/>
          <w:lang w:val="en-US" w:eastAsia="zh-CN" w:bidi="ar"/>
        </w:rPr>
        <w:t>米以下。</w:t>
      </w:r>
    </w:p>
    <w:p w14:paraId="09A79F5A">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4</w:t>
      </w:r>
      <w:r>
        <w:rPr>
          <w:rFonts w:hint="eastAsia" w:ascii="仿宋_GB2312" w:hAnsi="宋体" w:eastAsia="仿宋_GB2312" w:cs="仿宋_GB2312"/>
          <w:color w:val="000000"/>
          <w:kern w:val="0"/>
          <w:sz w:val="31"/>
          <w:szCs w:val="31"/>
          <w:highlight w:val="none"/>
          <w:lang w:val="en-US" w:eastAsia="zh-CN" w:bidi="ar"/>
        </w:rPr>
        <w:t>．工业、仓储项目建筑高度原则上应当控制在</w:t>
      </w:r>
      <w:r>
        <w:rPr>
          <w:rFonts w:hint="default" w:ascii="Times New Roman" w:hAnsi="Times New Roman" w:eastAsia="宋体" w:cs="Times New Roman"/>
          <w:color w:val="000000"/>
          <w:kern w:val="0"/>
          <w:sz w:val="31"/>
          <w:szCs w:val="31"/>
          <w:highlight w:val="none"/>
          <w:lang w:val="en-US" w:eastAsia="zh-CN" w:bidi="ar"/>
        </w:rPr>
        <w:t>15</w:t>
      </w:r>
      <w:r>
        <w:rPr>
          <w:rFonts w:hint="eastAsia" w:ascii="仿宋_GB2312" w:hAnsi="宋体" w:eastAsia="仿宋_GB2312" w:cs="仿宋_GB2312"/>
          <w:color w:val="000000"/>
          <w:kern w:val="0"/>
          <w:sz w:val="31"/>
          <w:szCs w:val="31"/>
          <w:highlight w:val="none"/>
          <w:lang w:val="en-US" w:eastAsia="zh-CN" w:bidi="ar"/>
        </w:rPr>
        <w:t>米以下。</w:t>
      </w:r>
    </w:p>
    <w:p w14:paraId="1256D6D1">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5</w:t>
      </w:r>
      <w:r>
        <w:rPr>
          <w:rFonts w:hint="eastAsia" w:ascii="仿宋_GB2312" w:hAnsi="宋体" w:eastAsia="仿宋_GB2312" w:cs="仿宋_GB2312"/>
          <w:color w:val="000000"/>
          <w:kern w:val="0"/>
          <w:sz w:val="31"/>
          <w:szCs w:val="31"/>
          <w:highlight w:val="none"/>
          <w:lang w:val="en-US" w:eastAsia="zh-CN" w:bidi="ar"/>
        </w:rPr>
        <w:t>．确需提高建筑高度控制标准的应当进一步论证。</w:t>
      </w:r>
    </w:p>
    <w:p w14:paraId="09901836">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（二）地块容积率</w:t>
      </w:r>
    </w:p>
    <w:p w14:paraId="517D7725">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1</w:t>
      </w:r>
      <w:r>
        <w:rPr>
          <w:rFonts w:hint="eastAsia" w:ascii="仿宋_GB2312" w:hAnsi="宋体" w:eastAsia="仿宋_GB2312" w:cs="仿宋_GB2312"/>
          <w:color w:val="000000"/>
          <w:kern w:val="0"/>
          <w:sz w:val="31"/>
          <w:szCs w:val="31"/>
          <w:highlight w:val="none"/>
          <w:lang w:val="en-US" w:eastAsia="zh-CN" w:bidi="ar"/>
        </w:rPr>
        <w:t>．农村社区服务设施、公共管理与公共服务设施、公用设施的容积率宜控制在</w:t>
      </w:r>
      <w:r>
        <w:rPr>
          <w:rFonts w:hint="default" w:ascii="Times New Roman" w:hAnsi="Times New Roman" w:eastAsia="宋体" w:cs="Times New Roman"/>
          <w:color w:val="000000"/>
          <w:kern w:val="0"/>
          <w:sz w:val="31"/>
          <w:szCs w:val="31"/>
          <w:highlight w:val="none"/>
          <w:lang w:val="en-US" w:eastAsia="zh-CN" w:bidi="ar"/>
        </w:rPr>
        <w:t>1.5</w:t>
      </w:r>
      <w:r>
        <w:rPr>
          <w:rFonts w:hint="eastAsia" w:ascii="仿宋_GB2312" w:hAnsi="宋体" w:eastAsia="仿宋_GB2312" w:cs="仿宋_GB2312"/>
          <w:color w:val="000000"/>
          <w:kern w:val="0"/>
          <w:sz w:val="31"/>
          <w:szCs w:val="31"/>
          <w:highlight w:val="none"/>
          <w:lang w:val="en-US" w:eastAsia="zh-CN" w:bidi="ar"/>
        </w:rPr>
        <w:t>以下。</w:t>
      </w:r>
    </w:p>
    <w:p w14:paraId="4CA00FFD">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2</w:t>
      </w:r>
      <w:r>
        <w:rPr>
          <w:rFonts w:hint="eastAsia" w:ascii="仿宋_GB2312" w:hAnsi="宋体" w:eastAsia="仿宋_GB2312" w:cs="仿宋_GB2312"/>
          <w:color w:val="000000"/>
          <w:kern w:val="0"/>
          <w:sz w:val="31"/>
          <w:szCs w:val="31"/>
          <w:highlight w:val="none"/>
          <w:lang w:val="en-US" w:eastAsia="zh-CN" w:bidi="ar"/>
        </w:rPr>
        <w:t>．商业服务业项目容积率宜控制在</w:t>
      </w:r>
      <w:r>
        <w:rPr>
          <w:rFonts w:hint="default" w:ascii="Times New Roman" w:hAnsi="Times New Roman" w:eastAsia="宋体" w:cs="Times New Roman"/>
          <w:color w:val="000000"/>
          <w:kern w:val="0"/>
          <w:sz w:val="31"/>
          <w:szCs w:val="31"/>
          <w:highlight w:val="none"/>
          <w:lang w:val="en-US" w:eastAsia="zh-CN" w:bidi="ar"/>
        </w:rPr>
        <w:t>1.5</w:t>
      </w:r>
      <w:r>
        <w:rPr>
          <w:rFonts w:hint="eastAsia" w:ascii="仿宋_GB2312" w:hAnsi="宋体" w:eastAsia="仿宋_GB2312" w:cs="仿宋_GB2312"/>
          <w:color w:val="000000"/>
          <w:kern w:val="0"/>
          <w:sz w:val="31"/>
          <w:szCs w:val="31"/>
          <w:highlight w:val="none"/>
          <w:lang w:val="en-US" w:eastAsia="zh-CN" w:bidi="ar"/>
        </w:rPr>
        <w:t>以下。</w:t>
      </w:r>
    </w:p>
    <w:p w14:paraId="51F84856">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3</w:t>
      </w:r>
      <w:r>
        <w:rPr>
          <w:rFonts w:hint="eastAsia" w:ascii="仿宋_GB2312" w:hAnsi="宋体" w:eastAsia="仿宋_GB2312" w:cs="仿宋_GB2312"/>
          <w:color w:val="000000"/>
          <w:kern w:val="0"/>
          <w:sz w:val="31"/>
          <w:szCs w:val="31"/>
          <w:highlight w:val="none"/>
          <w:lang w:val="en-US" w:eastAsia="zh-CN" w:bidi="ar"/>
        </w:rPr>
        <w:t>．工业、仓储项目的容积率宜控制在</w:t>
      </w:r>
      <w:r>
        <w:rPr>
          <w:rFonts w:hint="default" w:ascii="Times New Roman" w:hAnsi="Times New Roman" w:eastAsia="宋体" w:cs="Times New Roman"/>
          <w:color w:val="000000"/>
          <w:kern w:val="0"/>
          <w:sz w:val="31"/>
          <w:szCs w:val="31"/>
          <w:highlight w:val="none"/>
          <w:lang w:val="en-US" w:eastAsia="zh-CN" w:bidi="ar"/>
        </w:rPr>
        <w:t>0.8</w:t>
      </w:r>
      <w:r>
        <w:rPr>
          <w:rFonts w:hint="eastAsia" w:ascii="仿宋_GB2312" w:hAnsi="宋体" w:eastAsia="仿宋_GB2312" w:cs="仿宋_GB2312"/>
          <w:color w:val="000000"/>
          <w:kern w:val="0"/>
          <w:sz w:val="31"/>
          <w:szCs w:val="31"/>
          <w:highlight w:val="none"/>
          <w:lang w:val="en-US" w:eastAsia="zh-CN" w:bidi="ar"/>
        </w:rPr>
        <w:t>以上。</w:t>
      </w:r>
    </w:p>
    <w:p w14:paraId="742A7AD3">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4</w:t>
      </w:r>
      <w:r>
        <w:rPr>
          <w:rFonts w:hint="eastAsia" w:ascii="仿宋_GB2312" w:hAnsi="宋体" w:eastAsia="仿宋_GB2312" w:cs="仿宋_GB2312"/>
          <w:color w:val="000000"/>
          <w:kern w:val="0"/>
          <w:sz w:val="31"/>
          <w:szCs w:val="31"/>
          <w:highlight w:val="none"/>
          <w:lang w:val="en-US" w:eastAsia="zh-CN" w:bidi="ar"/>
        </w:rPr>
        <w:t>．确需提高容积率控制标准的应当进一步论证。</w:t>
      </w:r>
    </w:p>
    <w:p w14:paraId="4AD21327">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（三）建筑密度</w:t>
      </w:r>
    </w:p>
    <w:p w14:paraId="548233C4">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1</w:t>
      </w:r>
      <w:r>
        <w:rPr>
          <w:rFonts w:hint="eastAsia" w:ascii="仿宋_GB2312" w:hAnsi="宋体" w:eastAsia="仿宋_GB2312" w:cs="仿宋_GB2312"/>
          <w:color w:val="000000"/>
          <w:kern w:val="0"/>
          <w:sz w:val="31"/>
          <w:szCs w:val="31"/>
          <w:highlight w:val="none"/>
          <w:lang w:val="en-US" w:eastAsia="zh-CN" w:bidi="ar"/>
        </w:rPr>
        <w:t>．工业项目建筑密度应控制在</w:t>
      </w:r>
      <w:r>
        <w:rPr>
          <w:rFonts w:hint="default" w:ascii="Times New Roman" w:hAnsi="Times New Roman" w:eastAsia="宋体" w:cs="Times New Roman"/>
          <w:color w:val="000000"/>
          <w:kern w:val="0"/>
          <w:sz w:val="31"/>
          <w:szCs w:val="31"/>
          <w:highlight w:val="none"/>
          <w:lang w:val="en-US" w:eastAsia="zh-CN" w:bidi="ar"/>
        </w:rPr>
        <w:t>40%</w:t>
      </w:r>
      <w:r>
        <w:rPr>
          <w:rFonts w:hint="eastAsia" w:ascii="仿宋_GB2312" w:hAnsi="宋体" w:eastAsia="仿宋_GB2312" w:cs="仿宋_GB2312"/>
          <w:color w:val="000000"/>
          <w:kern w:val="0"/>
          <w:sz w:val="31"/>
          <w:szCs w:val="31"/>
          <w:highlight w:val="none"/>
          <w:lang w:val="en-US" w:eastAsia="zh-CN" w:bidi="ar"/>
        </w:rPr>
        <w:t>以上。</w:t>
      </w:r>
    </w:p>
    <w:p w14:paraId="169D1CEC">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2</w:t>
      </w:r>
      <w:r>
        <w:rPr>
          <w:rFonts w:hint="eastAsia" w:ascii="仿宋_GB2312" w:hAnsi="宋体" w:eastAsia="仿宋_GB2312" w:cs="仿宋_GB2312"/>
          <w:color w:val="000000"/>
          <w:kern w:val="0"/>
          <w:sz w:val="31"/>
          <w:szCs w:val="31"/>
          <w:highlight w:val="none"/>
          <w:lang w:val="en-US" w:eastAsia="zh-CN" w:bidi="ar"/>
        </w:rPr>
        <w:t>．其他一二三产融合建设项目、公共管理与公共服务设施、农村社区服务设施的建筑密度一般应控制在</w:t>
      </w:r>
      <w:r>
        <w:rPr>
          <w:rFonts w:hint="default" w:ascii="Times New Roman" w:hAnsi="Times New Roman" w:eastAsia="宋体" w:cs="Times New Roman"/>
          <w:color w:val="000000"/>
          <w:kern w:val="0"/>
          <w:sz w:val="31"/>
          <w:szCs w:val="31"/>
          <w:highlight w:val="none"/>
          <w:lang w:val="en-US" w:eastAsia="zh-CN" w:bidi="ar"/>
        </w:rPr>
        <w:t>60%</w:t>
      </w:r>
      <w:r>
        <w:rPr>
          <w:rFonts w:hint="eastAsia" w:ascii="仿宋_GB2312" w:hAnsi="宋体" w:eastAsia="仿宋_GB2312" w:cs="仿宋_GB2312"/>
          <w:color w:val="000000"/>
          <w:kern w:val="0"/>
          <w:sz w:val="31"/>
          <w:szCs w:val="31"/>
          <w:highlight w:val="none"/>
          <w:lang w:val="en-US" w:eastAsia="zh-CN" w:bidi="ar"/>
        </w:rPr>
        <w:t>以内。</w:t>
      </w:r>
    </w:p>
    <w:p w14:paraId="340702F6">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（四）其他指标</w:t>
      </w:r>
    </w:p>
    <w:p w14:paraId="121AE992">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绿地率原则上不作要求，但应满足有关规定及相关规范要</w:t>
      </w:r>
    </w:p>
    <w:p w14:paraId="570C70E4">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求。</w:t>
      </w:r>
    </w:p>
    <w:p w14:paraId="6322D2E1">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第十二条建筑退让</w:t>
      </w:r>
    </w:p>
    <w:p w14:paraId="5AC554CF">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建筑后退铁路、公路、城市道路、河道、高电压等级电力</w:t>
      </w:r>
    </w:p>
    <w:p w14:paraId="60AF5233">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线路、油气长输管道、高压燃气管道等的距离为刚性控制内容，</w:t>
      </w:r>
    </w:p>
    <w:p w14:paraId="7F48E1F4">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应当符合消防、施工、安全等国家、自治区、地区相关规范。</w:t>
      </w:r>
    </w:p>
    <w:p w14:paraId="57B53B81">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建筑后退用地边界的距离为弹性控制内容，应符合消防、施工、</w:t>
      </w:r>
    </w:p>
    <w:p w14:paraId="09DADEC1">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安全以及各地农村宅基地和农村建房管理要求。</w:t>
      </w:r>
    </w:p>
    <w:p w14:paraId="44AB3255">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第十三条用地兼容</w:t>
      </w:r>
    </w:p>
    <w:p w14:paraId="5F7A9FBF">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在满足安全、环境等要求和相关标准、规范的前提下，提</w:t>
      </w:r>
    </w:p>
    <w:p w14:paraId="21A9508D">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倡同一地块内不同使用功能的混合，并在规划条件中具体明确</w:t>
      </w:r>
    </w:p>
    <w:p w14:paraId="283DA195">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允许建设、使用的功能比例。</w:t>
      </w:r>
    </w:p>
    <w:p w14:paraId="2941D488">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涉及保护公共利益、生态环境和保障城乡安全的用地应严</w:t>
      </w:r>
    </w:p>
    <w:p w14:paraId="41E36B0B">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格控制，保障其必需的用地规模，不得随意占用或变更。优先</w:t>
      </w:r>
    </w:p>
    <w:p w14:paraId="268F61CF">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兼容农村民生设施用地，相关兼容要求详见附件</w:t>
      </w:r>
      <w:r>
        <w:rPr>
          <w:rFonts w:hint="default" w:ascii="Times New Roman" w:hAnsi="Times New Roman" w:eastAsia="宋体" w:cs="Times New Roman"/>
          <w:color w:val="000000"/>
          <w:kern w:val="0"/>
          <w:sz w:val="31"/>
          <w:szCs w:val="31"/>
          <w:highlight w:val="none"/>
          <w:lang w:val="en-US" w:eastAsia="zh-CN" w:bidi="ar"/>
        </w:rPr>
        <w:t>1</w:t>
      </w:r>
      <w:r>
        <w:rPr>
          <w:rFonts w:hint="eastAsia" w:ascii="仿宋_GB2312" w:hAnsi="宋体" w:eastAsia="仿宋_GB2312" w:cs="仿宋_GB2312"/>
          <w:color w:val="000000"/>
          <w:kern w:val="0"/>
          <w:sz w:val="31"/>
          <w:szCs w:val="31"/>
          <w:highlight w:val="none"/>
          <w:lang w:val="en-US" w:eastAsia="zh-CN" w:bidi="ar"/>
        </w:rPr>
        <w:t>。存量或规</w:t>
      </w:r>
    </w:p>
    <w:p w14:paraId="517B3EAF">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划建设用地确需转变用途且符合用地兼容管理要求的，应编制</w:t>
      </w:r>
    </w:p>
    <w:p w14:paraId="235F19DA">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规划管控图则。</w:t>
      </w:r>
    </w:p>
    <w:p w14:paraId="39A86E03">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第十四条建筑风貌</w:t>
      </w:r>
    </w:p>
    <w:p w14:paraId="72BC3476">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加强风貌管控，强化整体协调，引导形成体现地域文化特</w:t>
      </w:r>
    </w:p>
    <w:p w14:paraId="17E44723">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色并与自然风貌相协调的乡村风貌整体意象，重点对以下三类</w:t>
      </w:r>
    </w:p>
    <w:p w14:paraId="7AE0F3BD">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建筑进行管控：</w:t>
      </w:r>
    </w:p>
    <w:p w14:paraId="0118FF2A">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（一）农房建筑</w:t>
      </w:r>
    </w:p>
    <w:p w14:paraId="1B5D18F8">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在符合现代农村生产、生活特点基础上传承地域文化特色</w:t>
      </w:r>
    </w:p>
    <w:p w14:paraId="0B29613D">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和乡土风貌，建筑形体尺度适当、平面布局相对规整，色彩与</w:t>
      </w:r>
    </w:p>
    <w:p w14:paraId="2C55FE9F">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周边整体环境和自然风光相协调。村内原址翻建和利用闲置用</w:t>
      </w:r>
    </w:p>
    <w:p w14:paraId="385C1E24">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地插建农村村民住房，应当充分尊重村落肌理，与相邻建筑尺</w:t>
      </w:r>
    </w:p>
    <w:p w14:paraId="29446155">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度、形态、色彩等相协调。</w:t>
      </w:r>
    </w:p>
    <w:p w14:paraId="3F773CCE">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根据村庄历史沿革、文化传统、地域风情和民族特色明确</w:t>
      </w:r>
    </w:p>
    <w:p w14:paraId="331E7C30">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农房建筑外观风格和基调。对于新建房屋，应严格控制体量和</w:t>
      </w:r>
    </w:p>
    <w:p w14:paraId="449CC43C">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风貌；对既有农房，提出在确保质量安全的前提下进行风貌提</w:t>
      </w:r>
    </w:p>
    <w:p w14:paraId="08CA6D56">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升改造的引导。</w:t>
      </w:r>
    </w:p>
    <w:p w14:paraId="669FFE97">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（二）公共建筑</w:t>
      </w:r>
    </w:p>
    <w:p w14:paraId="72044C69">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农村民生设施（含商业、民宿等乡村服务设施）应符合村</w:t>
      </w:r>
    </w:p>
    <w:p w14:paraId="0E85B267">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民实际需求，鼓励提炼地域性空间组织和元素符号，在建筑色</w:t>
      </w:r>
    </w:p>
    <w:p w14:paraId="1178BB7D">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彩、建筑体量等方面应加强设计，体现当地特色，打造村庄标</w:t>
      </w:r>
    </w:p>
    <w:p w14:paraId="416D9D78">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识性空间。</w:t>
      </w:r>
    </w:p>
    <w:p w14:paraId="40844B68">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（三）工业建筑</w:t>
      </w:r>
    </w:p>
    <w:p w14:paraId="4B4A22D6">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应以简洁、实用为优先，与当地自然环境风貌相协调，控</w:t>
      </w:r>
    </w:p>
    <w:p w14:paraId="76E947BF">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制建筑体量与建筑色彩，禁止采用与乡村整体风貌相冲突的材</w:t>
      </w:r>
    </w:p>
    <w:p w14:paraId="3906EBC3">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质与色彩。</w:t>
      </w:r>
    </w:p>
    <w:p w14:paraId="3CC254A6">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第十五条历史文化保护</w:t>
      </w:r>
    </w:p>
    <w:p w14:paraId="435FCEC1">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涉及古村落、历史地段、不可移动文物、历史建筑等重要</w:t>
      </w:r>
    </w:p>
    <w:p w14:paraId="6123A063">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历史文化资源，另有管控要求的，从其规定。</w:t>
      </w:r>
    </w:p>
    <w:p w14:paraId="2D5C8A24">
      <w:pPr>
        <w:keepNext w:val="0"/>
        <w:keepLines w:val="0"/>
        <w:widowControl/>
        <w:suppressLineNumbers w:val="0"/>
        <w:ind w:firstLine="720" w:firstLineChars="200"/>
        <w:jc w:val="left"/>
        <w:rPr>
          <w:highlight w:val="none"/>
        </w:rPr>
      </w:pPr>
      <w:r>
        <w:rPr>
          <w:rFonts w:hint="eastAsia" w:ascii="方正小标宋_GBK" w:hAnsi="方正小标宋_GBK" w:eastAsia="方正小标宋_GBK" w:cs="方正小标宋_GBK"/>
          <w:color w:val="000000"/>
          <w:kern w:val="0"/>
          <w:sz w:val="36"/>
          <w:szCs w:val="36"/>
          <w:highlight w:val="none"/>
          <w:lang w:val="en-US" w:eastAsia="zh-CN" w:bidi="ar"/>
        </w:rPr>
        <w:t>第四章实施管理</w:t>
      </w:r>
    </w:p>
    <w:p w14:paraId="3A654A4E">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第十六条图则编制</w:t>
      </w:r>
    </w:p>
    <w:p w14:paraId="277CFA44">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报批地块图则由乡镇人民政府（街道办事处）组织编制，</w:t>
      </w:r>
    </w:p>
    <w:p w14:paraId="1C32EAA3">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经村（居）民委员会审议并经村（居）民会议或经村（居）民</w:t>
      </w:r>
    </w:p>
    <w:p w14:paraId="2F5762DC">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代表会议讨论通过，提交疏附县自然资源主管部门审查通过</w:t>
      </w:r>
    </w:p>
    <w:p w14:paraId="629B07B9">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后，在村（居）内公示栏和相关政府、部门官方网站公示，公</w:t>
      </w:r>
    </w:p>
    <w:p w14:paraId="469C3DD1">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示时间不得少于</w:t>
      </w:r>
      <w:r>
        <w:rPr>
          <w:rFonts w:hint="default" w:ascii="Times New Roman" w:hAnsi="Times New Roman" w:eastAsia="宋体" w:cs="Times New Roman"/>
          <w:color w:val="000000"/>
          <w:kern w:val="0"/>
          <w:sz w:val="31"/>
          <w:szCs w:val="31"/>
          <w:highlight w:val="none"/>
          <w:lang w:val="en-US" w:eastAsia="zh-CN" w:bidi="ar"/>
        </w:rPr>
        <w:t>30</w:t>
      </w:r>
      <w:r>
        <w:rPr>
          <w:rFonts w:hint="eastAsia" w:ascii="仿宋_GB2312" w:hAnsi="宋体" w:eastAsia="仿宋_GB2312" w:cs="仿宋_GB2312"/>
          <w:color w:val="000000"/>
          <w:kern w:val="0"/>
          <w:sz w:val="31"/>
          <w:szCs w:val="31"/>
          <w:highlight w:val="none"/>
          <w:lang w:val="en-US" w:eastAsia="zh-CN" w:bidi="ar"/>
        </w:rPr>
        <w:t>日，公示期满无异议后，报疏附县人民政府批准，并按规定程序进行公布，并将成果报地区自然资源局汇交，纳入国土空间规划</w:t>
      </w:r>
      <w:r>
        <w:rPr>
          <w:rFonts w:hint="default" w:ascii="Times New Roman" w:hAnsi="Times New Roman" w:eastAsia="宋体" w:cs="Times New Roman"/>
          <w:color w:val="000000"/>
          <w:kern w:val="0"/>
          <w:sz w:val="31"/>
          <w:szCs w:val="31"/>
          <w:highlight w:val="none"/>
          <w:lang w:val="en-US" w:eastAsia="zh-CN" w:bidi="ar"/>
        </w:rPr>
        <w:t>“</w:t>
      </w:r>
      <w:r>
        <w:rPr>
          <w:rFonts w:hint="eastAsia" w:ascii="仿宋_GB2312" w:hAnsi="宋体" w:eastAsia="仿宋_GB2312" w:cs="仿宋_GB2312"/>
          <w:color w:val="000000"/>
          <w:kern w:val="0"/>
          <w:sz w:val="31"/>
          <w:szCs w:val="31"/>
          <w:highlight w:val="none"/>
          <w:lang w:val="en-US" w:eastAsia="zh-CN" w:bidi="ar"/>
        </w:rPr>
        <w:t>一张图</w:t>
      </w:r>
      <w:r>
        <w:rPr>
          <w:rFonts w:hint="default" w:ascii="Times New Roman" w:hAnsi="Times New Roman" w:eastAsia="宋体" w:cs="Times New Roman"/>
          <w:color w:val="000000"/>
          <w:kern w:val="0"/>
          <w:sz w:val="31"/>
          <w:szCs w:val="31"/>
          <w:highlight w:val="none"/>
          <w:lang w:val="en-US" w:eastAsia="zh-CN" w:bidi="ar"/>
        </w:rPr>
        <w:t>”</w:t>
      </w:r>
      <w:r>
        <w:rPr>
          <w:rFonts w:hint="eastAsia" w:ascii="仿宋_GB2312" w:hAnsi="宋体" w:eastAsia="仿宋_GB2312" w:cs="仿宋_GB2312"/>
          <w:color w:val="000000"/>
          <w:kern w:val="0"/>
          <w:sz w:val="31"/>
          <w:szCs w:val="31"/>
          <w:highlight w:val="none"/>
          <w:lang w:val="en-US" w:eastAsia="zh-CN" w:bidi="ar"/>
        </w:rPr>
        <w:t>实施监督信息系统。</w:t>
      </w:r>
    </w:p>
    <w:p w14:paraId="59B6040B">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第十七条成果形式</w:t>
      </w:r>
    </w:p>
    <w:p w14:paraId="47FE8FE3">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规划报批成果包括“四图、一库、一清单”（成果要求及</w:t>
      </w:r>
    </w:p>
    <w:p w14:paraId="49547215">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制图版式参考附件</w:t>
      </w:r>
      <w:r>
        <w:rPr>
          <w:rFonts w:hint="default" w:ascii="Times New Roman" w:hAnsi="Times New Roman" w:eastAsia="宋体" w:cs="Times New Roman"/>
          <w:color w:val="000000"/>
          <w:kern w:val="0"/>
          <w:sz w:val="31"/>
          <w:szCs w:val="31"/>
          <w:highlight w:val="none"/>
          <w:lang w:val="en-US" w:eastAsia="zh-CN" w:bidi="ar"/>
        </w:rPr>
        <w:t>2</w:t>
      </w:r>
      <w:r>
        <w:rPr>
          <w:rFonts w:hint="eastAsia" w:ascii="仿宋_GB2312" w:hAnsi="宋体" w:eastAsia="仿宋_GB2312" w:cs="仿宋_GB2312"/>
          <w:color w:val="000000"/>
          <w:kern w:val="0"/>
          <w:sz w:val="31"/>
          <w:szCs w:val="31"/>
          <w:highlight w:val="none"/>
          <w:lang w:val="en-US" w:eastAsia="zh-CN" w:bidi="ar"/>
        </w:rPr>
        <w:t>和附件</w:t>
      </w:r>
      <w:r>
        <w:rPr>
          <w:rFonts w:hint="default" w:ascii="Times New Roman" w:hAnsi="Times New Roman" w:eastAsia="宋体" w:cs="Times New Roman"/>
          <w:color w:val="000000"/>
          <w:kern w:val="0"/>
          <w:sz w:val="31"/>
          <w:szCs w:val="31"/>
          <w:highlight w:val="none"/>
          <w:lang w:val="en-US" w:eastAsia="zh-CN" w:bidi="ar"/>
        </w:rPr>
        <w:t>3</w:t>
      </w:r>
      <w:r>
        <w:rPr>
          <w:rFonts w:hint="eastAsia" w:ascii="仿宋_GB2312" w:hAnsi="宋体" w:eastAsia="仿宋_GB2312" w:cs="仿宋_GB2312"/>
          <w:color w:val="000000"/>
          <w:kern w:val="0"/>
          <w:sz w:val="31"/>
          <w:szCs w:val="31"/>
          <w:highlight w:val="none"/>
          <w:lang w:val="en-US" w:eastAsia="zh-CN" w:bidi="ar"/>
        </w:rPr>
        <w:t>）。</w:t>
      </w:r>
    </w:p>
    <w:p w14:paraId="39D90808">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第十八条成果汇交</w:t>
      </w:r>
    </w:p>
    <w:p w14:paraId="7CF708A7">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报批地块图则参照村庄规划成果汇交程序，纳入自治区、</w:t>
      </w:r>
    </w:p>
    <w:p w14:paraId="757E5196">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地区国土空间规划</w:t>
      </w:r>
      <w:r>
        <w:rPr>
          <w:rFonts w:hint="default" w:ascii="Times New Roman" w:hAnsi="Times New Roman" w:eastAsia="宋体" w:cs="Times New Roman"/>
          <w:color w:val="000000"/>
          <w:kern w:val="0"/>
          <w:sz w:val="31"/>
          <w:szCs w:val="31"/>
          <w:highlight w:val="none"/>
          <w:lang w:val="en-US" w:eastAsia="zh-CN" w:bidi="ar"/>
        </w:rPr>
        <w:t>“</w:t>
      </w:r>
      <w:r>
        <w:rPr>
          <w:rFonts w:hint="eastAsia" w:ascii="仿宋_GB2312" w:hAnsi="宋体" w:eastAsia="仿宋_GB2312" w:cs="仿宋_GB2312"/>
          <w:color w:val="000000"/>
          <w:kern w:val="0"/>
          <w:sz w:val="31"/>
          <w:szCs w:val="31"/>
          <w:highlight w:val="none"/>
          <w:lang w:val="en-US" w:eastAsia="zh-CN" w:bidi="ar"/>
        </w:rPr>
        <w:t>一张图</w:t>
      </w:r>
      <w:r>
        <w:rPr>
          <w:rFonts w:hint="default" w:ascii="Times New Roman" w:hAnsi="Times New Roman" w:eastAsia="宋体" w:cs="Times New Roman"/>
          <w:color w:val="000000"/>
          <w:kern w:val="0"/>
          <w:sz w:val="31"/>
          <w:szCs w:val="31"/>
          <w:highlight w:val="none"/>
          <w:lang w:val="en-US" w:eastAsia="zh-CN" w:bidi="ar"/>
        </w:rPr>
        <w:t>”</w:t>
      </w:r>
      <w:r>
        <w:rPr>
          <w:rFonts w:hint="eastAsia" w:ascii="仿宋_GB2312" w:hAnsi="宋体" w:eastAsia="仿宋_GB2312" w:cs="仿宋_GB2312"/>
          <w:color w:val="000000"/>
          <w:kern w:val="0"/>
          <w:sz w:val="31"/>
          <w:szCs w:val="31"/>
          <w:highlight w:val="none"/>
          <w:lang w:val="en-US" w:eastAsia="zh-CN" w:bidi="ar"/>
        </w:rPr>
        <w:t>实施监督信息系统后，办理农转用</w:t>
      </w:r>
    </w:p>
    <w:p w14:paraId="0003A3B3">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报批手续及后续相关规划许可。涉及生态保护红线、生态空间</w:t>
      </w:r>
    </w:p>
    <w:p w14:paraId="107E9E09">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管控区域的，应当先进行有限人为活动论证，论证通过后方可</w:t>
      </w:r>
    </w:p>
    <w:p w14:paraId="48022358">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办理农转用报批手续及后续相关规划许可。涉及占用林地、湿</w:t>
      </w:r>
    </w:p>
    <w:p w14:paraId="2B954FCB">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地等情况的，应当按照相关法律法规办理使用手续。</w:t>
      </w:r>
    </w:p>
    <w:p w14:paraId="1FDBA029">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第十九条资源保障</w:t>
      </w:r>
    </w:p>
    <w:p w14:paraId="42F38C09">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对于土地要素有整治需求、整治条件、整治能力，不涉及</w:t>
      </w:r>
    </w:p>
    <w:p w14:paraId="32ED4008">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负面清单的乡村地区，建议单独编制全域土地综合整治实施方</w:t>
      </w:r>
    </w:p>
    <w:p w14:paraId="6720F0E7">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案，进一步高效落实乡村地区的空间资源配置和项目落地任务。</w:t>
      </w:r>
    </w:p>
    <w:p w14:paraId="0DD5732D">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第二十条过程监督</w:t>
      </w:r>
    </w:p>
    <w:p w14:paraId="7179E613">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强化日常监督管理，自然资源局、农业农村局和乡镇人民</w:t>
      </w:r>
    </w:p>
    <w:p w14:paraId="37BBCA5C">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政府、街道办事处应按本规定明确的管控要求，严格规范各类</w:t>
      </w:r>
    </w:p>
    <w:p w14:paraId="443D704E">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乡村用地建设行为，依托国土空间规划</w:t>
      </w:r>
      <w:r>
        <w:rPr>
          <w:rFonts w:hint="default" w:ascii="Times New Roman" w:hAnsi="Times New Roman" w:eastAsia="宋体" w:cs="Times New Roman"/>
          <w:color w:val="000000"/>
          <w:kern w:val="0"/>
          <w:sz w:val="31"/>
          <w:szCs w:val="31"/>
          <w:highlight w:val="none"/>
          <w:lang w:val="en-US" w:eastAsia="zh-CN" w:bidi="ar"/>
        </w:rPr>
        <w:t>“</w:t>
      </w:r>
      <w:r>
        <w:rPr>
          <w:rFonts w:hint="eastAsia" w:ascii="仿宋_GB2312" w:hAnsi="宋体" w:eastAsia="仿宋_GB2312" w:cs="仿宋_GB2312"/>
          <w:color w:val="000000"/>
          <w:kern w:val="0"/>
          <w:sz w:val="31"/>
          <w:szCs w:val="31"/>
          <w:highlight w:val="none"/>
          <w:lang w:val="en-US" w:eastAsia="zh-CN" w:bidi="ar"/>
        </w:rPr>
        <w:t>一张图</w:t>
      </w:r>
      <w:r>
        <w:rPr>
          <w:rFonts w:hint="default" w:ascii="Times New Roman" w:hAnsi="Times New Roman" w:eastAsia="宋体" w:cs="Times New Roman"/>
          <w:color w:val="000000"/>
          <w:kern w:val="0"/>
          <w:sz w:val="31"/>
          <w:szCs w:val="31"/>
          <w:highlight w:val="none"/>
          <w:lang w:val="en-US" w:eastAsia="zh-CN" w:bidi="ar"/>
        </w:rPr>
        <w:t>”</w:t>
      </w:r>
      <w:r>
        <w:rPr>
          <w:rFonts w:hint="eastAsia" w:ascii="仿宋_GB2312" w:hAnsi="宋体" w:eastAsia="仿宋_GB2312" w:cs="仿宋_GB2312"/>
          <w:color w:val="000000"/>
          <w:kern w:val="0"/>
          <w:sz w:val="31"/>
          <w:szCs w:val="31"/>
          <w:highlight w:val="none"/>
          <w:lang w:val="en-US" w:eastAsia="zh-CN" w:bidi="ar"/>
        </w:rPr>
        <w:t>实施监督系统，</w:t>
      </w:r>
    </w:p>
    <w:p w14:paraId="620CB65F">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强化跟踪管理、开展监督评估。</w:t>
      </w:r>
    </w:p>
    <w:p w14:paraId="2417CB16">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第二十一条评估调整</w:t>
      </w:r>
    </w:p>
    <w:p w14:paraId="03AE1C0D">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根据实施情况适时开展对本规定的评估调整。因乡村地区</w:t>
      </w:r>
    </w:p>
    <w:p w14:paraId="1D3F7C03">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开发保护利用需要，以及疏附县人民政府确定的其他情形确</w:t>
      </w:r>
    </w:p>
    <w:p w14:paraId="0301ACBC">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需修改本规定的，应当由组织编制机关按照原审批程序组织修改、报批。本规定的修改原则上不能突破国土空间总体规划确定的强制性内容、约束性指标。确需调整的，必须按照法定程序先修改相应层级的国土空间总体规划。</w:t>
      </w:r>
    </w:p>
    <w:p w14:paraId="0A81E253">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本规定实施后新编制村庄规划（详细规划）的区域，应做</w:t>
      </w:r>
    </w:p>
    <w:p w14:paraId="02B52732">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好村庄规划（详细规划）与本规定实施情况的衔接工作。</w:t>
      </w:r>
    </w:p>
    <w:p w14:paraId="7DED7182">
      <w:pPr>
        <w:keepNext w:val="0"/>
        <w:keepLines w:val="0"/>
        <w:widowControl/>
        <w:suppressLineNumbers w:val="0"/>
        <w:ind w:firstLine="620" w:firstLineChars="200"/>
        <w:jc w:val="left"/>
        <w:rPr>
          <w:highlight w:val="none"/>
        </w:rPr>
      </w:pPr>
      <w:r>
        <w:rPr>
          <w:rFonts w:hint="eastAsia" w:ascii="黑体" w:hAnsi="宋体" w:eastAsia="黑体" w:cs="黑体"/>
          <w:color w:val="000000"/>
          <w:kern w:val="0"/>
          <w:sz w:val="31"/>
          <w:szCs w:val="31"/>
          <w:highlight w:val="none"/>
          <w:lang w:val="en-US" w:eastAsia="zh-CN" w:bidi="ar"/>
        </w:rPr>
        <w:t>第二十二条适用期限</w:t>
      </w:r>
    </w:p>
    <w:p w14:paraId="181D8876">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本规定自</w:t>
      </w:r>
      <w:r>
        <w:rPr>
          <w:rFonts w:hint="default" w:ascii="Times New Roman" w:hAnsi="Times New Roman" w:eastAsia="宋体" w:cs="Times New Roman"/>
          <w:color w:val="000000"/>
          <w:kern w:val="0"/>
          <w:sz w:val="31"/>
          <w:szCs w:val="31"/>
          <w:highlight w:val="none"/>
          <w:lang w:val="en-US" w:eastAsia="zh-CN" w:bidi="ar"/>
        </w:rPr>
        <w:t>XX</w:t>
      </w:r>
      <w:r>
        <w:rPr>
          <w:rFonts w:hint="eastAsia" w:ascii="仿宋_GB2312" w:hAnsi="宋体" w:eastAsia="仿宋_GB2312" w:cs="仿宋_GB2312"/>
          <w:color w:val="000000"/>
          <w:kern w:val="0"/>
          <w:sz w:val="31"/>
          <w:szCs w:val="31"/>
          <w:highlight w:val="none"/>
          <w:lang w:val="en-US" w:eastAsia="zh-CN" w:bidi="ar"/>
        </w:rPr>
        <w:t>年</w:t>
      </w:r>
      <w:r>
        <w:rPr>
          <w:rFonts w:hint="default" w:ascii="Times New Roman" w:hAnsi="Times New Roman" w:eastAsia="宋体" w:cs="Times New Roman"/>
          <w:color w:val="000000"/>
          <w:kern w:val="0"/>
          <w:sz w:val="31"/>
          <w:szCs w:val="31"/>
          <w:highlight w:val="none"/>
          <w:lang w:val="en-US" w:eastAsia="zh-CN" w:bidi="ar"/>
        </w:rPr>
        <w:t>X</w:t>
      </w:r>
      <w:r>
        <w:rPr>
          <w:rFonts w:hint="eastAsia" w:ascii="仿宋_GB2312" w:hAnsi="宋体" w:eastAsia="仿宋_GB2312" w:cs="仿宋_GB2312"/>
          <w:color w:val="000000"/>
          <w:kern w:val="0"/>
          <w:sz w:val="31"/>
          <w:szCs w:val="31"/>
          <w:highlight w:val="none"/>
          <w:lang w:val="en-US" w:eastAsia="zh-CN" w:bidi="ar"/>
        </w:rPr>
        <w:t>月</w:t>
      </w:r>
      <w:r>
        <w:rPr>
          <w:rFonts w:hint="default" w:ascii="Times New Roman" w:hAnsi="Times New Roman" w:eastAsia="宋体" w:cs="Times New Roman"/>
          <w:color w:val="000000"/>
          <w:kern w:val="0"/>
          <w:sz w:val="31"/>
          <w:szCs w:val="31"/>
          <w:highlight w:val="none"/>
          <w:lang w:val="en-US" w:eastAsia="zh-CN" w:bidi="ar"/>
        </w:rPr>
        <w:t>X</w:t>
      </w:r>
      <w:r>
        <w:rPr>
          <w:rFonts w:hint="eastAsia" w:ascii="仿宋_GB2312" w:hAnsi="宋体" w:eastAsia="仿宋_GB2312" w:cs="仿宋_GB2312"/>
          <w:color w:val="000000"/>
          <w:kern w:val="0"/>
          <w:sz w:val="31"/>
          <w:szCs w:val="31"/>
          <w:highlight w:val="none"/>
          <w:lang w:val="en-US" w:eastAsia="zh-CN" w:bidi="ar"/>
        </w:rPr>
        <w:t>日起施行，有效期</w:t>
      </w:r>
      <w:r>
        <w:rPr>
          <w:rFonts w:hint="default" w:ascii="Times New Roman" w:hAnsi="Times New Roman" w:eastAsia="宋体" w:cs="Times New Roman"/>
          <w:color w:val="000000"/>
          <w:kern w:val="0"/>
          <w:sz w:val="31"/>
          <w:szCs w:val="31"/>
          <w:highlight w:val="none"/>
          <w:lang w:val="en-US" w:eastAsia="zh-CN" w:bidi="ar"/>
        </w:rPr>
        <w:t>2</w:t>
      </w:r>
      <w:r>
        <w:rPr>
          <w:rFonts w:hint="eastAsia" w:ascii="仿宋_GB2312" w:hAnsi="宋体" w:eastAsia="仿宋_GB2312" w:cs="仿宋_GB2312"/>
          <w:color w:val="000000"/>
          <w:kern w:val="0"/>
          <w:sz w:val="31"/>
          <w:szCs w:val="31"/>
          <w:highlight w:val="none"/>
          <w:lang w:val="en-US" w:eastAsia="zh-CN" w:bidi="ar"/>
        </w:rPr>
        <w:t>年。</w:t>
      </w:r>
    </w:p>
    <w:p w14:paraId="3D66C7AC">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本规定施行前已批准的建设项目按原政策执行。新出台法</w:t>
      </w:r>
    </w:p>
    <w:p w14:paraId="10356223">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律、法规和政策文件另有新规定的，从其规定。</w:t>
      </w:r>
    </w:p>
    <w:p w14:paraId="6A0C4B9F">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附件：</w:t>
      </w:r>
    </w:p>
    <w:p w14:paraId="35DD9C2F">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1</w:t>
      </w:r>
      <w:r>
        <w:rPr>
          <w:rFonts w:hint="eastAsia" w:ascii="仿宋_GB2312" w:hAnsi="宋体" w:eastAsia="仿宋_GB2312" w:cs="仿宋_GB2312"/>
          <w:color w:val="000000"/>
          <w:kern w:val="0"/>
          <w:sz w:val="31"/>
          <w:szCs w:val="31"/>
          <w:highlight w:val="none"/>
          <w:lang w:val="en-US" w:eastAsia="zh-CN" w:bidi="ar"/>
        </w:rPr>
        <w:t>．用地兼容性控制一览表</w:t>
      </w:r>
    </w:p>
    <w:p w14:paraId="5A612767">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2</w:t>
      </w:r>
      <w:r>
        <w:rPr>
          <w:rFonts w:hint="eastAsia" w:ascii="仿宋_GB2312" w:hAnsi="宋体" w:eastAsia="仿宋_GB2312" w:cs="仿宋_GB2312"/>
          <w:color w:val="000000"/>
          <w:kern w:val="0"/>
          <w:sz w:val="31"/>
          <w:szCs w:val="31"/>
          <w:highlight w:val="none"/>
          <w:lang w:val="en-US" w:eastAsia="zh-CN" w:bidi="ar"/>
        </w:rPr>
        <w:t>．规划管控图则范式</w:t>
      </w:r>
    </w:p>
    <w:p w14:paraId="681A039C">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3</w:t>
      </w:r>
      <w:r>
        <w:rPr>
          <w:rFonts w:hint="eastAsia" w:ascii="仿宋_GB2312" w:hAnsi="宋体" w:eastAsia="仿宋_GB2312" w:cs="仿宋_GB2312"/>
          <w:color w:val="000000"/>
          <w:kern w:val="0"/>
          <w:sz w:val="31"/>
          <w:szCs w:val="31"/>
          <w:highlight w:val="none"/>
          <w:lang w:val="en-US" w:eastAsia="zh-CN" w:bidi="ar"/>
        </w:rPr>
        <w:t>．规划管控图则成果要求</w:t>
      </w:r>
    </w:p>
    <w:p w14:paraId="4F4D8693">
      <w:pPr>
        <w:keepNext w:val="0"/>
        <w:keepLines w:val="0"/>
        <w:widowControl/>
        <w:suppressLineNumbers w:val="0"/>
        <w:ind w:firstLine="622" w:firstLineChars="200"/>
        <w:jc w:val="left"/>
        <w:rPr>
          <w:rFonts w:hint="eastAsia" w:ascii="仿宋_GB2312" w:hAnsi="宋体" w:eastAsia="仿宋_GB2312" w:cs="仿宋_GB2312"/>
          <w:b/>
          <w:bCs/>
          <w:color w:val="000000"/>
          <w:kern w:val="0"/>
          <w:sz w:val="31"/>
          <w:szCs w:val="31"/>
          <w:highlight w:val="none"/>
          <w:lang w:val="en-US" w:eastAsia="zh-CN" w:bidi="ar"/>
        </w:rPr>
      </w:pPr>
      <w:r>
        <w:rPr>
          <w:rFonts w:hint="eastAsia" w:ascii="仿宋_GB2312" w:hAnsi="宋体" w:eastAsia="仿宋_GB2312" w:cs="仿宋_GB2312"/>
          <w:b/>
          <w:bCs/>
          <w:color w:val="000000"/>
          <w:kern w:val="0"/>
          <w:sz w:val="31"/>
          <w:szCs w:val="31"/>
          <w:highlight w:val="none"/>
          <w:lang w:val="en-US" w:eastAsia="zh-CN" w:bidi="ar"/>
        </w:rPr>
        <w:t>附件</w:t>
      </w:r>
      <w:r>
        <w:rPr>
          <w:rFonts w:hint="default" w:ascii="Times New Roman" w:hAnsi="Times New Roman" w:eastAsia="宋体" w:cs="Times New Roman"/>
          <w:b/>
          <w:bCs/>
          <w:color w:val="000000"/>
          <w:kern w:val="0"/>
          <w:sz w:val="31"/>
          <w:szCs w:val="31"/>
          <w:highlight w:val="none"/>
          <w:lang w:val="en-US" w:eastAsia="zh-CN" w:bidi="ar"/>
        </w:rPr>
        <w:t>1</w:t>
      </w:r>
      <w:r>
        <w:rPr>
          <w:rFonts w:hint="eastAsia" w:ascii="仿宋_GB2312" w:hAnsi="宋体" w:eastAsia="仿宋_GB2312" w:cs="仿宋_GB2312"/>
          <w:b/>
          <w:bCs/>
          <w:color w:val="000000"/>
          <w:kern w:val="0"/>
          <w:sz w:val="31"/>
          <w:szCs w:val="31"/>
          <w:highlight w:val="none"/>
          <w:lang w:val="en-US" w:eastAsia="zh-CN" w:bidi="ar"/>
        </w:rPr>
        <w:t>：用地兼容性控制一览表</w:t>
      </w:r>
    </w:p>
    <w:p w14:paraId="488DD0DB">
      <w:pPr>
        <w:keepNext w:val="0"/>
        <w:keepLines w:val="0"/>
        <w:widowControl/>
        <w:suppressLineNumbers w:val="0"/>
        <w:jc w:val="left"/>
        <w:rPr>
          <w:highlight w:val="none"/>
        </w:rPr>
      </w:pPr>
      <w:r>
        <w:rPr>
          <w:rFonts w:hint="eastAsia" w:ascii="仿宋_GB2312" w:hAnsi="宋体" w:eastAsia="仿宋_GB2312" w:cs="仿宋_GB2312"/>
          <w:b/>
          <w:bCs/>
          <w:color w:val="000000"/>
          <w:kern w:val="0"/>
          <w:sz w:val="31"/>
          <w:szCs w:val="31"/>
          <w:highlight w:val="none"/>
          <w:lang w:val="en-US" w:eastAsia="zh-CN" w:bidi="ar"/>
        </w:rPr>
        <w:drawing>
          <wp:inline distT="0" distB="0" distL="114300" distR="114300">
            <wp:extent cx="5746750" cy="3437255"/>
            <wp:effectExtent l="0" t="0" r="13970" b="6985"/>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4"/>
                    <a:stretch>
                      <a:fillRect/>
                    </a:stretch>
                  </pic:blipFill>
                  <pic:spPr>
                    <a:xfrm>
                      <a:off x="0" y="0"/>
                      <a:ext cx="5746750" cy="3437255"/>
                    </a:xfrm>
                    <a:prstGeom prst="rect">
                      <a:avLst/>
                    </a:prstGeom>
                  </pic:spPr>
                </pic:pic>
              </a:graphicData>
            </a:graphic>
          </wp:inline>
        </w:drawing>
      </w:r>
    </w:p>
    <w:p w14:paraId="61BB8C72">
      <w:pPr>
        <w:keepNext w:val="0"/>
        <w:keepLines w:val="0"/>
        <w:widowControl/>
        <w:suppressLineNumbers w:val="0"/>
        <w:ind w:firstLine="400" w:firstLineChars="200"/>
        <w:jc w:val="left"/>
        <w:rPr>
          <w:rFonts w:hint="eastAsia" w:ascii="仿宋_GB2312" w:hAnsi="宋体" w:eastAsia="仿宋_GB2312" w:cs="仿宋_GB2312"/>
          <w:color w:val="000000"/>
          <w:kern w:val="0"/>
          <w:sz w:val="20"/>
          <w:szCs w:val="20"/>
          <w:highlight w:val="none"/>
          <w:lang w:val="en-US" w:eastAsia="zh-CN" w:bidi="ar"/>
        </w:rPr>
      </w:pPr>
    </w:p>
    <w:p w14:paraId="6B73C8E2">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附件</w:t>
      </w:r>
      <w:r>
        <w:rPr>
          <w:rFonts w:hint="default" w:ascii="Times New Roman" w:hAnsi="Times New Roman" w:eastAsia="宋体" w:cs="Times New Roman"/>
          <w:b/>
          <w:bCs/>
          <w:color w:val="000000"/>
          <w:kern w:val="0"/>
          <w:sz w:val="31"/>
          <w:szCs w:val="31"/>
          <w:highlight w:val="none"/>
          <w:lang w:val="en-US" w:eastAsia="zh-CN" w:bidi="ar"/>
        </w:rPr>
        <w:t>2</w:t>
      </w:r>
      <w:r>
        <w:rPr>
          <w:rFonts w:hint="eastAsia" w:ascii="仿宋_GB2312" w:hAnsi="宋体" w:eastAsia="仿宋_GB2312" w:cs="仿宋_GB2312"/>
          <w:b/>
          <w:bCs/>
          <w:color w:val="000000"/>
          <w:kern w:val="0"/>
          <w:sz w:val="31"/>
          <w:szCs w:val="31"/>
          <w:highlight w:val="none"/>
          <w:lang w:val="en-US" w:eastAsia="zh-CN" w:bidi="ar"/>
        </w:rPr>
        <w:t>：规划管控图则范式</w:t>
      </w:r>
      <w:r>
        <w:rPr>
          <w:rFonts w:hint="eastAsia" w:ascii="仿宋_GB2312" w:hAnsi="宋体" w:eastAsia="仿宋_GB2312" w:cs="仿宋_GB2312"/>
          <w:b/>
          <w:bCs/>
          <w:color w:val="000000"/>
          <w:kern w:val="0"/>
          <w:sz w:val="31"/>
          <w:szCs w:val="31"/>
          <w:highlight w:val="none"/>
          <w:lang w:val="en-US" w:eastAsia="zh-CN" w:bidi="ar"/>
        </w:rPr>
        <w:drawing>
          <wp:inline distT="0" distB="0" distL="114300" distR="114300">
            <wp:extent cx="5634355" cy="4044315"/>
            <wp:effectExtent l="0" t="0" r="4445" b="9525"/>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5"/>
                    <a:stretch>
                      <a:fillRect/>
                    </a:stretch>
                  </pic:blipFill>
                  <pic:spPr>
                    <a:xfrm>
                      <a:off x="0" y="0"/>
                      <a:ext cx="5634355" cy="4044315"/>
                    </a:xfrm>
                    <a:prstGeom prst="rect">
                      <a:avLst/>
                    </a:prstGeom>
                  </pic:spPr>
                </pic:pic>
              </a:graphicData>
            </a:graphic>
          </wp:inline>
        </w:drawing>
      </w:r>
      <w:r>
        <w:rPr>
          <w:highlight w:val="none"/>
        </w:rPr>
        <w:drawing>
          <wp:inline distT="0" distB="0" distL="114300" distR="114300">
            <wp:extent cx="5684520" cy="4093845"/>
            <wp:effectExtent l="0" t="0" r="0" b="5715"/>
            <wp:docPr id="7"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
                    <pic:cNvPicPr>
                      <a:picLocks noChangeAspect="1"/>
                    </pic:cNvPicPr>
                  </pic:nvPicPr>
                  <pic:blipFill>
                    <a:blip r:embed="rId6"/>
                    <a:stretch>
                      <a:fillRect/>
                    </a:stretch>
                  </pic:blipFill>
                  <pic:spPr>
                    <a:xfrm>
                      <a:off x="0" y="0"/>
                      <a:ext cx="5684520" cy="4093845"/>
                    </a:xfrm>
                    <a:prstGeom prst="rect">
                      <a:avLst/>
                    </a:prstGeom>
                  </pic:spPr>
                </pic:pic>
              </a:graphicData>
            </a:graphic>
          </wp:inline>
        </w:drawing>
      </w:r>
      <w:r>
        <w:rPr>
          <w:highlight w:val="none"/>
        </w:rPr>
        <w:drawing>
          <wp:inline distT="0" distB="0" distL="114300" distR="114300">
            <wp:extent cx="5753100" cy="4166235"/>
            <wp:effectExtent l="0" t="0" r="7620" b="952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7"/>
                    <a:stretch>
                      <a:fillRect/>
                    </a:stretch>
                  </pic:blipFill>
                  <pic:spPr>
                    <a:xfrm>
                      <a:off x="0" y="0"/>
                      <a:ext cx="5753100" cy="4166235"/>
                    </a:xfrm>
                    <a:prstGeom prst="rect">
                      <a:avLst/>
                    </a:prstGeom>
                  </pic:spPr>
                </pic:pic>
              </a:graphicData>
            </a:graphic>
          </wp:inline>
        </w:drawing>
      </w:r>
      <w:r>
        <w:rPr>
          <w:highlight w:val="none"/>
        </w:rPr>
        <w:drawing>
          <wp:inline distT="0" distB="0" distL="114300" distR="114300">
            <wp:extent cx="5640705" cy="4143375"/>
            <wp:effectExtent l="0" t="0" r="13335" b="1905"/>
            <wp:docPr id="5" name="图片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
                    <pic:cNvPicPr>
                      <a:picLocks noChangeAspect="1"/>
                    </pic:cNvPicPr>
                  </pic:nvPicPr>
                  <pic:blipFill>
                    <a:blip r:embed="rId8"/>
                    <a:stretch>
                      <a:fillRect/>
                    </a:stretch>
                  </pic:blipFill>
                  <pic:spPr>
                    <a:xfrm>
                      <a:off x="0" y="0"/>
                      <a:ext cx="5640705" cy="4143375"/>
                    </a:xfrm>
                    <a:prstGeom prst="rect">
                      <a:avLst/>
                    </a:prstGeom>
                  </pic:spPr>
                </pic:pic>
              </a:graphicData>
            </a:graphic>
          </wp:inline>
        </w:drawing>
      </w:r>
    </w:p>
    <w:p w14:paraId="34A0841F">
      <w:pPr>
        <w:keepNext w:val="0"/>
        <w:keepLines w:val="0"/>
        <w:widowControl/>
        <w:suppressLineNumbers w:val="0"/>
        <w:ind w:firstLine="622" w:firstLineChars="200"/>
        <w:jc w:val="left"/>
        <w:rPr>
          <w:highlight w:val="none"/>
        </w:rPr>
      </w:pPr>
      <w:r>
        <w:rPr>
          <w:rFonts w:hint="eastAsia" w:ascii="仿宋_GB2312" w:hAnsi="宋体" w:eastAsia="仿宋_GB2312" w:cs="仿宋_GB2312"/>
          <w:b/>
          <w:bCs/>
          <w:color w:val="000000"/>
          <w:kern w:val="0"/>
          <w:sz w:val="31"/>
          <w:szCs w:val="31"/>
          <w:highlight w:val="none"/>
          <w:lang w:val="en-US" w:eastAsia="zh-CN" w:bidi="ar"/>
        </w:rPr>
        <w:t>附件</w:t>
      </w:r>
      <w:r>
        <w:rPr>
          <w:rFonts w:hint="default" w:ascii="Times New Roman" w:hAnsi="Times New Roman" w:eastAsia="宋体" w:cs="Times New Roman"/>
          <w:b/>
          <w:bCs/>
          <w:color w:val="000000"/>
          <w:kern w:val="0"/>
          <w:sz w:val="31"/>
          <w:szCs w:val="31"/>
          <w:highlight w:val="none"/>
          <w:lang w:val="en-US" w:eastAsia="zh-CN" w:bidi="ar"/>
        </w:rPr>
        <w:t>3</w:t>
      </w:r>
      <w:r>
        <w:rPr>
          <w:rFonts w:hint="eastAsia" w:ascii="仿宋_GB2312" w:hAnsi="宋体" w:eastAsia="仿宋_GB2312" w:cs="仿宋_GB2312"/>
          <w:b/>
          <w:bCs/>
          <w:color w:val="000000"/>
          <w:kern w:val="0"/>
          <w:sz w:val="31"/>
          <w:szCs w:val="31"/>
          <w:highlight w:val="none"/>
          <w:lang w:val="en-US" w:eastAsia="zh-CN" w:bidi="ar"/>
        </w:rPr>
        <w:t>：规划管控图则成果要求</w:t>
      </w:r>
    </w:p>
    <w:p w14:paraId="6549D4C9">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一、制图要求。规划管控图则应表达地块编码、地块位置、</w:t>
      </w:r>
    </w:p>
    <w:p w14:paraId="33A3015D">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用地面积、用地性质、容积率、建筑高度、建筑密度、建筑退</w:t>
      </w:r>
    </w:p>
    <w:p w14:paraId="630CD0F8">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让等控制内容，可包括建筑风貌、设施配套等控制内容，制图</w:t>
      </w:r>
    </w:p>
    <w:p w14:paraId="230EA8CD">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版式可参考附件</w:t>
      </w:r>
      <w:r>
        <w:rPr>
          <w:rFonts w:hint="default" w:ascii="Times New Roman" w:hAnsi="Times New Roman" w:eastAsia="宋体" w:cs="Times New Roman"/>
          <w:color w:val="000000"/>
          <w:kern w:val="0"/>
          <w:sz w:val="31"/>
          <w:szCs w:val="31"/>
          <w:highlight w:val="none"/>
          <w:lang w:val="en-US" w:eastAsia="zh-CN" w:bidi="ar"/>
        </w:rPr>
        <w:t>2</w:t>
      </w:r>
      <w:r>
        <w:rPr>
          <w:rFonts w:hint="eastAsia" w:ascii="仿宋_GB2312" w:hAnsi="宋体" w:eastAsia="仿宋_GB2312" w:cs="仿宋_GB2312"/>
          <w:color w:val="000000"/>
          <w:kern w:val="0"/>
          <w:sz w:val="31"/>
          <w:szCs w:val="31"/>
          <w:highlight w:val="none"/>
          <w:lang w:val="en-US" w:eastAsia="zh-CN" w:bidi="ar"/>
        </w:rPr>
        <w:t>。</w:t>
      </w:r>
    </w:p>
    <w:p w14:paraId="12DCD7B5">
      <w:pPr>
        <w:keepNext w:val="0"/>
        <w:keepLines w:val="0"/>
        <w:widowControl/>
        <w:suppressLineNumbers w:val="0"/>
        <w:ind w:firstLine="620" w:firstLineChars="200"/>
        <w:jc w:val="left"/>
        <w:rPr>
          <w:highlight w:val="none"/>
        </w:rPr>
      </w:pPr>
      <w:r>
        <w:rPr>
          <w:rFonts w:hint="eastAsia" w:ascii="仿宋_GB2312" w:hAnsi="宋体" w:eastAsia="仿宋_GB2312" w:cs="仿宋_GB2312"/>
          <w:color w:val="000000"/>
          <w:kern w:val="0"/>
          <w:sz w:val="31"/>
          <w:szCs w:val="31"/>
          <w:highlight w:val="none"/>
          <w:lang w:val="en-US" w:eastAsia="zh-CN" w:bidi="ar"/>
        </w:rPr>
        <w:t>二、成果汇交。汇交材料包括以下内容（含纸质文件和电</w:t>
      </w:r>
    </w:p>
    <w:p w14:paraId="71098476">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子文件，内容应保持一致）：</w:t>
      </w:r>
    </w:p>
    <w:p w14:paraId="7731583E">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1</w:t>
      </w:r>
      <w:r>
        <w:rPr>
          <w:rFonts w:hint="eastAsia" w:ascii="仿宋_GB2312" w:hAnsi="宋体" w:eastAsia="仿宋_GB2312" w:cs="仿宋_GB2312"/>
          <w:color w:val="000000"/>
          <w:kern w:val="0"/>
          <w:sz w:val="31"/>
          <w:szCs w:val="31"/>
          <w:highlight w:val="none"/>
          <w:lang w:val="en-US" w:eastAsia="zh-CN" w:bidi="ar"/>
        </w:rPr>
        <w:t>．规划成果。包括“四图、一库、一清单”。其中，“四</w:t>
      </w:r>
    </w:p>
    <w:p w14:paraId="11E782A9">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图”包括实施地块土地利用现状图、实施地块土地规划图、实</w:t>
      </w:r>
    </w:p>
    <w:p w14:paraId="557B46FD">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施地块重要控制线分布图和实施地块规划管控图则，应为</w:t>
      </w:r>
      <w:r>
        <w:rPr>
          <w:rFonts w:hint="default" w:ascii="Times New Roman" w:hAnsi="Times New Roman" w:eastAsia="宋体" w:cs="Times New Roman"/>
          <w:color w:val="000000"/>
          <w:kern w:val="0"/>
          <w:sz w:val="31"/>
          <w:szCs w:val="31"/>
          <w:highlight w:val="none"/>
          <w:lang w:val="en-US" w:eastAsia="zh-CN" w:bidi="ar"/>
        </w:rPr>
        <w:t>JPG</w:t>
      </w:r>
    </w:p>
    <w:p w14:paraId="3455D88F">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格式，</w:t>
      </w:r>
      <w:r>
        <w:rPr>
          <w:rFonts w:hint="default" w:ascii="Times New Roman" w:hAnsi="Times New Roman" w:eastAsia="宋体" w:cs="Times New Roman"/>
          <w:color w:val="000000"/>
          <w:kern w:val="0"/>
          <w:sz w:val="31"/>
          <w:szCs w:val="31"/>
          <w:highlight w:val="none"/>
          <w:lang w:val="en-US" w:eastAsia="zh-CN" w:bidi="ar"/>
        </w:rPr>
        <w:t>A3</w:t>
      </w:r>
      <w:r>
        <w:rPr>
          <w:rFonts w:hint="eastAsia" w:ascii="仿宋_GB2312" w:hAnsi="宋体" w:eastAsia="仿宋_GB2312" w:cs="仿宋_GB2312"/>
          <w:color w:val="000000"/>
          <w:kern w:val="0"/>
          <w:sz w:val="31"/>
          <w:szCs w:val="31"/>
          <w:highlight w:val="none"/>
          <w:lang w:val="en-US" w:eastAsia="zh-CN" w:bidi="ar"/>
        </w:rPr>
        <w:t>大小，分辨率不低于</w:t>
      </w:r>
      <w:r>
        <w:rPr>
          <w:rFonts w:hint="default" w:ascii="Times New Roman" w:hAnsi="Times New Roman" w:eastAsia="宋体" w:cs="Times New Roman"/>
          <w:color w:val="000000"/>
          <w:kern w:val="0"/>
          <w:sz w:val="31"/>
          <w:szCs w:val="31"/>
          <w:highlight w:val="none"/>
          <w:lang w:val="en-US" w:eastAsia="zh-CN" w:bidi="ar"/>
        </w:rPr>
        <w:t>300dpi</w:t>
      </w:r>
      <w:r>
        <w:rPr>
          <w:rFonts w:hint="eastAsia" w:ascii="仿宋_GB2312" w:hAnsi="宋体" w:eastAsia="仿宋_GB2312" w:cs="仿宋_GB2312"/>
          <w:color w:val="000000"/>
          <w:kern w:val="0"/>
          <w:sz w:val="31"/>
          <w:szCs w:val="31"/>
          <w:highlight w:val="none"/>
          <w:lang w:val="en-US" w:eastAsia="zh-CN" w:bidi="ar"/>
        </w:rPr>
        <w:t>；“一库”指规划数据库；“一清单”指规划项目清单。</w:t>
      </w:r>
    </w:p>
    <w:p w14:paraId="5248F326">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2</w:t>
      </w:r>
      <w:r>
        <w:rPr>
          <w:rFonts w:hint="eastAsia" w:ascii="仿宋_GB2312" w:hAnsi="宋体" w:eastAsia="仿宋_GB2312" w:cs="仿宋_GB2312"/>
          <w:color w:val="000000"/>
          <w:kern w:val="0"/>
          <w:sz w:val="31"/>
          <w:szCs w:val="31"/>
          <w:highlight w:val="none"/>
          <w:lang w:val="en-US" w:eastAsia="zh-CN" w:bidi="ar"/>
        </w:rPr>
        <w:t>．规划批准文件；</w:t>
      </w:r>
    </w:p>
    <w:p w14:paraId="32504D08">
      <w:pPr>
        <w:keepNext w:val="0"/>
        <w:keepLines w:val="0"/>
        <w:widowControl/>
        <w:suppressLineNumbers w:val="0"/>
        <w:ind w:firstLine="620" w:firstLineChars="200"/>
        <w:jc w:val="left"/>
        <w:rPr>
          <w:highlight w:val="none"/>
        </w:rPr>
      </w:pPr>
      <w:r>
        <w:rPr>
          <w:rFonts w:hint="default" w:ascii="Times New Roman" w:hAnsi="Times New Roman" w:eastAsia="宋体" w:cs="Times New Roman"/>
          <w:color w:val="000000"/>
          <w:kern w:val="0"/>
          <w:sz w:val="31"/>
          <w:szCs w:val="31"/>
          <w:highlight w:val="none"/>
          <w:lang w:val="en-US" w:eastAsia="zh-CN" w:bidi="ar"/>
        </w:rPr>
        <w:t>3</w:t>
      </w:r>
      <w:r>
        <w:rPr>
          <w:rFonts w:hint="eastAsia" w:ascii="仿宋_GB2312" w:hAnsi="宋体" w:eastAsia="仿宋_GB2312" w:cs="仿宋_GB2312"/>
          <w:color w:val="000000"/>
          <w:kern w:val="0"/>
          <w:sz w:val="31"/>
          <w:szCs w:val="31"/>
          <w:highlight w:val="none"/>
          <w:lang w:val="en-US" w:eastAsia="zh-CN" w:bidi="ar"/>
        </w:rPr>
        <w:t>．乡镇人民政府汇交申请文件。</w:t>
      </w:r>
    </w:p>
    <w:p w14:paraId="51D0D2FF">
      <w:pPr>
        <w:keepNext w:val="0"/>
        <w:keepLines w:val="0"/>
        <w:widowControl/>
        <w:suppressLineNumbers w:val="0"/>
        <w:jc w:val="left"/>
        <w:rPr>
          <w:highlight w:val="none"/>
        </w:rPr>
      </w:pPr>
      <w:r>
        <w:rPr>
          <w:rFonts w:hint="eastAsia" w:ascii="仿宋_GB2312" w:hAnsi="宋体" w:eastAsia="仿宋_GB2312" w:cs="仿宋_GB2312"/>
          <w:color w:val="000000"/>
          <w:kern w:val="0"/>
          <w:sz w:val="31"/>
          <w:szCs w:val="31"/>
          <w:highlight w:val="none"/>
          <w:lang w:val="en-US" w:eastAsia="zh-CN" w:bidi="ar"/>
        </w:rPr>
        <w:t>其他规划成果和审批过程性文件应留存备查，无需提交。</w:t>
      </w:r>
    </w:p>
    <w:p w14:paraId="41D5E2D6">
      <w:pPr>
        <w:rPr>
          <w:highlight w:val="none"/>
        </w:rPr>
      </w:pPr>
    </w:p>
    <w:p w14:paraId="41A2BF85">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265A2"/>
    <w:rsid w:val="03655BEF"/>
    <w:rsid w:val="039B254B"/>
    <w:rsid w:val="04C80BE4"/>
    <w:rsid w:val="050634BB"/>
    <w:rsid w:val="05432019"/>
    <w:rsid w:val="06B62CBE"/>
    <w:rsid w:val="07203AC8"/>
    <w:rsid w:val="073C6EA7"/>
    <w:rsid w:val="085D7896"/>
    <w:rsid w:val="0A4A5BF8"/>
    <w:rsid w:val="0AD23ADB"/>
    <w:rsid w:val="0BCA5242"/>
    <w:rsid w:val="0CE20369"/>
    <w:rsid w:val="0D3A63F7"/>
    <w:rsid w:val="0DE606BF"/>
    <w:rsid w:val="0DE93979"/>
    <w:rsid w:val="0E4F5ED2"/>
    <w:rsid w:val="106B5274"/>
    <w:rsid w:val="116A4DD1"/>
    <w:rsid w:val="11F272A1"/>
    <w:rsid w:val="12D20E80"/>
    <w:rsid w:val="12E82452"/>
    <w:rsid w:val="13F76DF0"/>
    <w:rsid w:val="16782D42"/>
    <w:rsid w:val="17797B1C"/>
    <w:rsid w:val="1A444411"/>
    <w:rsid w:val="1B300E3A"/>
    <w:rsid w:val="1D9236E6"/>
    <w:rsid w:val="20564E9E"/>
    <w:rsid w:val="20E879BE"/>
    <w:rsid w:val="2100305C"/>
    <w:rsid w:val="21136ABC"/>
    <w:rsid w:val="2355143D"/>
    <w:rsid w:val="259F4BF2"/>
    <w:rsid w:val="25AD37B3"/>
    <w:rsid w:val="261F5D33"/>
    <w:rsid w:val="278D11E6"/>
    <w:rsid w:val="27FC457D"/>
    <w:rsid w:val="29F80D74"/>
    <w:rsid w:val="2A092F82"/>
    <w:rsid w:val="2AC91D50"/>
    <w:rsid w:val="2B381D70"/>
    <w:rsid w:val="2BC76C50"/>
    <w:rsid w:val="2BEC4909"/>
    <w:rsid w:val="2CC15D95"/>
    <w:rsid w:val="2DBE5AC1"/>
    <w:rsid w:val="2E5F13C2"/>
    <w:rsid w:val="2F25085E"/>
    <w:rsid w:val="2F57653D"/>
    <w:rsid w:val="30622AAC"/>
    <w:rsid w:val="30696528"/>
    <w:rsid w:val="329B2BE5"/>
    <w:rsid w:val="33244988"/>
    <w:rsid w:val="337F42B4"/>
    <w:rsid w:val="33AB6E58"/>
    <w:rsid w:val="3402116D"/>
    <w:rsid w:val="34125129"/>
    <w:rsid w:val="345B262C"/>
    <w:rsid w:val="34F93CFB"/>
    <w:rsid w:val="35264CB6"/>
    <w:rsid w:val="37EF7C5B"/>
    <w:rsid w:val="39C80763"/>
    <w:rsid w:val="3A683CF4"/>
    <w:rsid w:val="3AF70BD4"/>
    <w:rsid w:val="3B255741"/>
    <w:rsid w:val="3BF21AC7"/>
    <w:rsid w:val="3D3E5366"/>
    <w:rsid w:val="3D95517D"/>
    <w:rsid w:val="3F3E6538"/>
    <w:rsid w:val="409F0A9C"/>
    <w:rsid w:val="41AA66E7"/>
    <w:rsid w:val="42A67168"/>
    <w:rsid w:val="437454B8"/>
    <w:rsid w:val="44DA1028"/>
    <w:rsid w:val="46FF32EA"/>
    <w:rsid w:val="47184374"/>
    <w:rsid w:val="48FB5D34"/>
    <w:rsid w:val="497955D6"/>
    <w:rsid w:val="4A527BD5"/>
    <w:rsid w:val="4A802994"/>
    <w:rsid w:val="4AD11442"/>
    <w:rsid w:val="4ADD1B95"/>
    <w:rsid w:val="4C0513A3"/>
    <w:rsid w:val="4C7B61E8"/>
    <w:rsid w:val="4D553C64"/>
    <w:rsid w:val="4DA4699A"/>
    <w:rsid w:val="501E605A"/>
    <w:rsid w:val="503404A9"/>
    <w:rsid w:val="518C330E"/>
    <w:rsid w:val="52D90E94"/>
    <w:rsid w:val="55524F2D"/>
    <w:rsid w:val="556C4241"/>
    <w:rsid w:val="571445A4"/>
    <w:rsid w:val="57DE0CFA"/>
    <w:rsid w:val="5B022F52"/>
    <w:rsid w:val="5B3550D5"/>
    <w:rsid w:val="5B5437AD"/>
    <w:rsid w:val="5C2F5FC8"/>
    <w:rsid w:val="5D7C6FEB"/>
    <w:rsid w:val="5EBA6C8D"/>
    <w:rsid w:val="5F557AF4"/>
    <w:rsid w:val="5FD749AD"/>
    <w:rsid w:val="5FE84E0C"/>
    <w:rsid w:val="616B35FF"/>
    <w:rsid w:val="61CC439F"/>
    <w:rsid w:val="61ED04B8"/>
    <w:rsid w:val="62742987"/>
    <w:rsid w:val="62A212A2"/>
    <w:rsid w:val="637C5F97"/>
    <w:rsid w:val="641E0DFC"/>
    <w:rsid w:val="64EE6A20"/>
    <w:rsid w:val="663012BB"/>
    <w:rsid w:val="68AA5354"/>
    <w:rsid w:val="6A7774B8"/>
    <w:rsid w:val="6B9D4CFC"/>
    <w:rsid w:val="6CA9467F"/>
    <w:rsid w:val="6DC76061"/>
    <w:rsid w:val="6EB74327"/>
    <w:rsid w:val="6F321C00"/>
    <w:rsid w:val="6F773AB6"/>
    <w:rsid w:val="6FEA072C"/>
    <w:rsid w:val="71014508"/>
    <w:rsid w:val="721D26F3"/>
    <w:rsid w:val="723D4B43"/>
    <w:rsid w:val="72872262"/>
    <w:rsid w:val="72BA6194"/>
    <w:rsid w:val="72DC62A3"/>
    <w:rsid w:val="72FD0776"/>
    <w:rsid w:val="737C4621"/>
    <w:rsid w:val="74FB10CC"/>
    <w:rsid w:val="75436915"/>
    <w:rsid w:val="75AD543F"/>
    <w:rsid w:val="76085468"/>
    <w:rsid w:val="78130A19"/>
    <w:rsid w:val="78CD26BE"/>
    <w:rsid w:val="78E0091E"/>
    <w:rsid w:val="790E0FE8"/>
    <w:rsid w:val="7A3C42B7"/>
    <w:rsid w:val="7A4529AD"/>
    <w:rsid w:val="7BC2255D"/>
    <w:rsid w:val="7C965F55"/>
    <w:rsid w:val="7DA22646"/>
    <w:rsid w:val="7E8E6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6125</Words>
  <Characters>6420</Characters>
  <Lines>0</Lines>
  <Paragraphs>0</Paragraphs>
  <TotalTime>0</TotalTime>
  <ScaleCrop>false</ScaleCrop>
  <LinksUpToDate>false</LinksUpToDate>
  <CharactersWithSpaces>6420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2026-06-25T12:20:00Z</dcterms:created>
  <dc:creator>Administrator</dc:creator>
  <cp:lastModifiedBy>WPS_1732164228</cp:lastModifiedBy>
  <cp:lastPrinted>2026-08-11T05:07:30Z</cp:lastPrinted>
  <dcterms:modified xsi:type="dcterms:W3CDTF">2026-08-11T05:21:57Z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eyJoZGlkIjoiMmI3YzVjNjExNmIyMzMxYTFmYzhkOThkY2NjOTE1NmEiLCJ1c2VySWQiOiIxNjU5NTM2NTQ2In0=</vt:lpwstr>
  </property>
  <property fmtid="{D5CDD505-2E9C-101B-9397-08002B2CF9AE}" pid="4" name="ICV">
    <vt:lpwstr>642AFACFD9EA4334B7ED73663B52FB4D_12</vt:lpwstr>
  </property>
</Properties>
</file>