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tabs>
          <w:tab w:val="left" w:pos="105"/>
          <w:tab w:val="center" w:pos="4153"/>
        </w:tabs>
        <w:spacing w:before="0" w:beforeLines="0" w:line="240" w:lineRule="auto"/>
        <w:jc w:val="both"/>
      </w:pPr>
      <w:r>
        <w:rPr>
          <w:rFonts w:hint="eastAsia"/>
        </w:rPr>
        <w:t>《疏附县国土空间规划（2021-2035年）（公示版）》</w:t>
      </w:r>
    </w:p>
    <w:p>
      <w:pPr>
        <w:pStyle w:val="11"/>
        <w:tabs>
          <w:tab w:val="left" w:pos="105"/>
          <w:tab w:val="center" w:pos="4153"/>
        </w:tabs>
        <w:spacing w:before="0" w:beforeLines="0" w:line="240" w:lineRule="auto"/>
        <w:rPr>
          <w:rFonts w:hint="eastAsia"/>
        </w:rPr>
      </w:pPr>
      <w:r>
        <w:rPr>
          <w:rFonts w:hint="eastAsia"/>
        </w:rPr>
        <w:t>起草说明</w:t>
      </w:r>
    </w:p>
    <w:p>
      <w:pPr>
        <w:widowControl/>
        <w:overflowPunct w:val="0"/>
        <w:snapToGrid w:val="0"/>
        <w:spacing w:line="560" w:lineRule="exact"/>
        <w:ind w:firstLine="600" w:firstLineChars="200"/>
        <w:rPr>
          <w:rFonts w:ascii="黑体" w:eastAsia="黑体" w:cs="黑体"/>
          <w:kern w:val="0"/>
          <w:sz w:val="30"/>
          <w:szCs w:val="30"/>
        </w:rPr>
      </w:pPr>
      <w:r>
        <w:rPr>
          <w:rFonts w:hint="eastAsia" w:ascii="黑体" w:eastAsia="黑体" w:cs="黑体"/>
          <w:kern w:val="0"/>
          <w:sz w:val="30"/>
          <w:szCs w:val="30"/>
        </w:rPr>
        <w:t>一、起草背景</w:t>
      </w:r>
    </w:p>
    <w:p>
      <w:pPr>
        <w:widowControl/>
        <w:overflowPunct w:val="0"/>
        <w:snapToGrid w:val="0"/>
        <w:spacing w:line="560" w:lineRule="exact"/>
        <w:ind w:firstLine="640" w:firstLineChars="200"/>
        <w:rPr>
          <w:rFonts w:ascii="Times New Roman" w:hAnsi="Times New Roman" w:eastAsia="仿宋_GB2312" w:cs="Times New Roman"/>
          <w:sz w:val="32"/>
          <w:szCs w:val="21"/>
          <w:lang w:val="zh-CN"/>
        </w:rPr>
      </w:pPr>
      <w:r>
        <w:rPr>
          <w:rFonts w:hint="eastAsia" w:ascii="Times New Roman" w:hAnsi="Times New Roman" w:eastAsia="仿宋_GB2312" w:cs="Times New Roman"/>
          <w:sz w:val="32"/>
          <w:szCs w:val="21"/>
          <w:lang w:val="zh-CN"/>
        </w:rPr>
        <w:t>当前，我国迈入全面建设社会主义现代化国家新征程、向第二个百年奋斗目标进军的新阶段。面对百年未有之大变局时代，既要应对国际经济政治格局深刻变化以及国内外矛盾转变的挑战，也要解决加快生态文明建设、转变发展方式、优化经济结构、转换增长动力的难题。党的二十大提出到</w:t>
      </w:r>
      <w:r>
        <w:rPr>
          <w:rFonts w:ascii="Times New Roman" w:hAnsi="Times New Roman" w:eastAsia="仿宋_GB2312" w:cs="Times New Roman"/>
          <w:sz w:val="32"/>
          <w:szCs w:val="21"/>
          <w:lang w:val="zh-CN"/>
        </w:rPr>
        <w:t>2035年基本实现社会</w:t>
      </w:r>
      <w:r>
        <w:rPr>
          <w:rFonts w:hint="eastAsia" w:ascii="Times New Roman" w:hAnsi="Times New Roman" w:eastAsia="仿宋_GB2312" w:cs="Times New Roman"/>
          <w:sz w:val="32"/>
          <w:szCs w:val="21"/>
          <w:lang w:val="zh-CN"/>
        </w:rPr>
        <w:t>主义现代化</w:t>
      </w:r>
      <w:r>
        <w:rPr>
          <w:rFonts w:ascii="Times New Roman" w:hAnsi="Times New Roman" w:eastAsia="仿宋_GB2312" w:cs="Times New Roman"/>
          <w:sz w:val="32"/>
          <w:szCs w:val="21"/>
          <w:lang w:val="zh-CN"/>
        </w:rPr>
        <w:t>;到世纪中叶建成富强民主文明和谐美丽的社会主义</w:t>
      </w:r>
      <w:r>
        <w:rPr>
          <w:rFonts w:hint="eastAsia" w:ascii="Times New Roman" w:hAnsi="Times New Roman" w:eastAsia="仿宋_GB2312" w:cs="Times New Roman"/>
          <w:sz w:val="32"/>
          <w:szCs w:val="21"/>
          <w:lang w:val="zh-CN"/>
        </w:rPr>
        <w:t>现代化强国。加快构建新发展格局，着力推动高质量发展，建立全国统一、责权清晰、科学高效的国土空间规划体系，整体谋划新时代国土空间开发保护格局，综合考虑人口分布、经济布局、国土利用、生态环境保护等因素，科学布局生产空间、生活空间、生态空间，是加快形成绿色生产方式和生活方式、推进生态文明建设、建设美丽中国的关键举措，是坚持以人民为中心、实现高质量发展和高品质生活、建设美好家园的重要手段，是保障国家战略有效实施、促进国家治理体系和治理能力现代化、实现“两个一百年”奋斗目标和中华民族伟大复兴中国梦的必然要求。</w:t>
      </w:r>
    </w:p>
    <w:p>
      <w:pPr>
        <w:widowControl/>
        <w:overflowPunct w:val="0"/>
        <w:snapToGrid w:val="0"/>
        <w:spacing w:line="560" w:lineRule="exact"/>
        <w:ind w:firstLine="640" w:firstLineChars="200"/>
        <w:rPr>
          <w:rFonts w:hint="eastAsia" w:ascii="Times New Roman" w:hAnsi="Times New Roman" w:eastAsia="仿宋_GB2312" w:cs="Times New Roman"/>
          <w:sz w:val="32"/>
          <w:szCs w:val="21"/>
          <w:lang w:val="zh-CN"/>
        </w:rPr>
      </w:pPr>
      <w:r>
        <w:rPr>
          <w:rFonts w:hint="eastAsia" w:ascii="Times New Roman" w:hAnsi="Times New Roman" w:eastAsia="仿宋_GB2312" w:cs="Times New Roman"/>
          <w:sz w:val="32"/>
          <w:szCs w:val="21"/>
          <w:lang w:val="zh-CN"/>
        </w:rPr>
        <w:t>按照《中共中央国务院关于建立国土空间规划体系并监督实施的若干意见》</w:t>
      </w:r>
      <w:r>
        <w:rPr>
          <w:rFonts w:ascii="Times New Roman" w:hAnsi="Times New Roman" w:eastAsia="仿宋_GB2312" w:cs="Times New Roman"/>
          <w:sz w:val="32"/>
          <w:szCs w:val="21"/>
          <w:lang w:val="zh-CN"/>
        </w:rPr>
        <w:t>(中发(2019318 号)、《自然资源部关于全面开</w:t>
      </w:r>
      <w:r>
        <w:rPr>
          <w:rFonts w:hint="eastAsia" w:ascii="Times New Roman" w:hAnsi="Times New Roman" w:eastAsia="仿宋_GB2312" w:cs="Times New Roman"/>
          <w:sz w:val="32"/>
          <w:szCs w:val="21"/>
          <w:lang w:val="zh-CN"/>
        </w:rPr>
        <w:t>展国土空间规划工作的通知》</w:t>
      </w:r>
      <w:r>
        <w:rPr>
          <w:rFonts w:ascii="Times New Roman" w:hAnsi="Times New Roman" w:eastAsia="仿宋_GB2312" w:cs="Times New Roman"/>
          <w:sz w:val="32"/>
          <w:szCs w:val="21"/>
          <w:lang w:val="zh-CN"/>
        </w:rPr>
        <w:t>(自然资发</w:t>
      </w:r>
      <w:r>
        <w:rPr>
          <w:rFonts w:hint="eastAsia" w:ascii="宋体" w:hAnsi="宋体" w:eastAsia="宋体" w:cs="宋体"/>
          <w:sz w:val="32"/>
          <w:szCs w:val="21"/>
          <w:lang w:val="zh-CN"/>
        </w:rPr>
        <w:t>∶</w:t>
      </w:r>
      <w:r>
        <w:rPr>
          <w:rFonts w:ascii="Times New Roman" w:hAnsi="Times New Roman" w:eastAsia="仿宋_GB2312" w:cs="Times New Roman"/>
          <w:sz w:val="32"/>
          <w:szCs w:val="21"/>
          <w:lang w:val="zh-CN"/>
        </w:rPr>
        <w:t>2019187 号)，2019 年9 月，为在全疆建立以国土空间规划为基础、以用途管制为手段</w:t>
      </w:r>
      <w:r>
        <w:rPr>
          <w:rFonts w:hint="eastAsia" w:ascii="Times New Roman" w:hAnsi="Times New Roman" w:eastAsia="仿宋_GB2312" w:cs="Times New Roman"/>
          <w:sz w:val="32"/>
          <w:szCs w:val="21"/>
          <w:lang w:val="zh-CN"/>
        </w:rPr>
        <w:t>的国土空间开发保护制度，自治区人民政府印发了《新疆全面开展国土空间规划编制工作方案》，明确了各级国土空间规划编制的工作目标和编制任务，要求在全疆层面加快推进国土空间规划编制工作。按照国家和自治区统一部署要求，疏附县人民政府于</w:t>
      </w:r>
      <w:r>
        <w:rPr>
          <w:rFonts w:ascii="Times New Roman" w:hAnsi="Times New Roman" w:eastAsia="仿宋_GB2312" w:cs="Times New Roman"/>
          <w:sz w:val="32"/>
          <w:szCs w:val="21"/>
          <w:lang w:val="zh-CN"/>
        </w:rPr>
        <w:t>2020 年9 月全面启动了《</w:t>
      </w:r>
      <w:r>
        <w:rPr>
          <w:rFonts w:hint="eastAsia" w:ascii="Times New Roman" w:hAnsi="Times New Roman" w:eastAsia="仿宋_GB2312" w:cs="Times New Roman"/>
          <w:sz w:val="32"/>
          <w:szCs w:val="21"/>
          <w:lang w:val="zh-CN"/>
        </w:rPr>
        <w:t>疏附</w:t>
      </w:r>
      <w:r>
        <w:rPr>
          <w:rFonts w:ascii="Times New Roman" w:hAnsi="Times New Roman" w:eastAsia="仿宋_GB2312" w:cs="Times New Roman"/>
          <w:sz w:val="32"/>
          <w:szCs w:val="21"/>
          <w:lang w:val="zh-CN"/>
        </w:rPr>
        <w:t>县国土空间总体规划（2021-2035</w:t>
      </w:r>
      <w:r>
        <w:rPr>
          <w:rFonts w:hint="eastAsia" w:ascii="Times New Roman" w:hAnsi="Times New Roman" w:eastAsia="仿宋_GB2312" w:cs="Times New Roman"/>
          <w:sz w:val="32"/>
          <w:szCs w:val="21"/>
          <w:lang w:val="zh-CN"/>
        </w:rPr>
        <w:t>年）》的编制工作。</w:t>
      </w:r>
    </w:p>
    <w:p>
      <w:pPr>
        <w:widowControl/>
        <w:overflowPunct w:val="0"/>
        <w:snapToGrid w:val="0"/>
        <w:spacing w:line="560" w:lineRule="exact"/>
        <w:ind w:firstLine="600" w:firstLineChars="200"/>
        <w:rPr>
          <w:rFonts w:ascii="黑体" w:eastAsia="黑体" w:cs="黑体"/>
          <w:kern w:val="0"/>
          <w:sz w:val="30"/>
          <w:szCs w:val="30"/>
        </w:rPr>
      </w:pPr>
      <w:r>
        <w:rPr>
          <w:rFonts w:hint="eastAsia" w:ascii="黑体" w:eastAsia="黑体" w:cs="黑体"/>
          <w:kern w:val="0"/>
          <w:sz w:val="30"/>
          <w:szCs w:val="30"/>
        </w:rPr>
        <w:t>二、起草过程</w:t>
      </w:r>
    </w:p>
    <w:p>
      <w:pPr>
        <w:widowControl/>
        <w:overflowPunct w:val="0"/>
        <w:snapToGrid w:val="0"/>
        <w:spacing w:line="560" w:lineRule="exact"/>
        <w:ind w:firstLine="640" w:firstLineChars="200"/>
        <w:rPr>
          <w:rFonts w:ascii="Times New Roman" w:hAnsi="Times New Roman" w:eastAsia="仿宋_GB2312" w:cs="Times New Roman"/>
          <w:sz w:val="32"/>
          <w:szCs w:val="21"/>
          <w:lang w:val="zh-CN"/>
        </w:rPr>
      </w:pPr>
      <w:r>
        <w:rPr>
          <w:rFonts w:ascii="Times New Roman" w:hAnsi="Times New Roman" w:eastAsia="仿宋_GB2312" w:cs="Times New Roman"/>
          <w:sz w:val="32"/>
          <w:szCs w:val="21"/>
          <w:lang w:val="zh-CN"/>
        </w:rPr>
        <w:t>2021年3月22日，喀什地区自然资源局对喀什地区本级和十二县市国土空间规划编制项目（三标段）进行了招投标，中标单位为深圳市城市规划设计研究院有限公司（联合体牵头单位，以下简称深规院）和新疆大学（联合体成员单位），疏附县国土空间总体规划为喀什地区本级和十二县市国土空间规划编制项目（三标段）内容之一，深规院和新疆大学受县自然资源局委托，开展了疏附县国土空间总体规划工作</w:t>
      </w:r>
      <w:r>
        <w:rPr>
          <w:rFonts w:hint="eastAsia" w:ascii="Times New Roman" w:hAnsi="Times New Roman" w:eastAsia="仿宋_GB2312" w:cs="Times New Roman"/>
          <w:sz w:val="32"/>
          <w:szCs w:val="21"/>
          <w:lang w:val="zh-CN"/>
        </w:rPr>
        <w:t>。</w:t>
      </w:r>
    </w:p>
    <w:p>
      <w:pPr>
        <w:widowControl/>
        <w:overflowPunct w:val="0"/>
        <w:snapToGrid w:val="0"/>
        <w:spacing w:line="560" w:lineRule="exact"/>
        <w:ind w:firstLine="643" w:firstLineChars="200"/>
        <w:rPr>
          <w:rFonts w:ascii="Times New Roman" w:hAnsi="Times New Roman" w:eastAsia="仿宋_GB2312" w:cs="Times New Roman"/>
          <w:sz w:val="32"/>
          <w:szCs w:val="21"/>
          <w:lang w:val="zh-CN"/>
        </w:rPr>
      </w:pPr>
      <w:r>
        <w:rPr>
          <w:rFonts w:ascii="Times New Roman" w:hAnsi="Times New Roman" w:eastAsia="仿宋_GB2312" w:cs="Times New Roman"/>
          <w:b/>
          <w:bCs/>
          <w:sz w:val="32"/>
          <w:szCs w:val="21"/>
          <w:lang w:val="zh-CN"/>
        </w:rPr>
        <w:t>1、完成多轮实地踏勘与部门调研。</w:t>
      </w:r>
      <w:r>
        <w:rPr>
          <w:rFonts w:ascii="Times New Roman" w:hAnsi="Times New Roman" w:eastAsia="仿宋_GB2312" w:cs="Times New Roman"/>
          <w:sz w:val="32"/>
          <w:szCs w:val="21"/>
          <w:lang w:val="zh-CN"/>
        </w:rPr>
        <w:t>疏附县自然资源局及各乡镇、部门与规划编制团队调研小组，共同组建规划联合团队，先后两次开展现场集中调研工作，走访相关部门、单位近30个，并与之对接相关工作内容和收集资料。多次开展实地补充调研和线上会议交流，实地驻场推进补充资料、梳理底数等相关工作。</w:t>
      </w:r>
    </w:p>
    <w:p>
      <w:pPr>
        <w:widowControl/>
        <w:overflowPunct w:val="0"/>
        <w:snapToGrid w:val="0"/>
        <w:spacing w:line="560" w:lineRule="exact"/>
        <w:ind w:firstLine="643" w:firstLineChars="200"/>
        <w:rPr>
          <w:rFonts w:ascii="Times New Roman" w:hAnsi="Times New Roman" w:eastAsia="仿宋_GB2312" w:cs="Times New Roman"/>
          <w:sz w:val="32"/>
          <w:szCs w:val="21"/>
          <w:lang w:val="zh-CN"/>
        </w:rPr>
      </w:pPr>
      <w:r>
        <w:rPr>
          <w:rFonts w:ascii="Times New Roman" w:hAnsi="Times New Roman" w:eastAsia="仿宋_GB2312" w:cs="Times New Roman"/>
          <w:b/>
          <w:bCs/>
          <w:sz w:val="32"/>
          <w:szCs w:val="21"/>
          <w:lang w:val="zh-CN"/>
        </w:rPr>
        <w:t>2、基数转换。</w:t>
      </w:r>
      <w:r>
        <w:rPr>
          <w:rFonts w:ascii="Times New Roman" w:hAnsi="Times New Roman" w:eastAsia="仿宋_GB2312" w:cs="Times New Roman"/>
          <w:sz w:val="32"/>
          <w:szCs w:val="21"/>
          <w:lang w:val="zh-CN"/>
        </w:rPr>
        <w:t>至2021年6月，依据历次基数转换办法，</w:t>
      </w:r>
    </w:p>
    <w:p>
      <w:pPr>
        <w:widowControl/>
        <w:overflowPunct w:val="0"/>
        <w:snapToGrid w:val="0"/>
        <w:spacing w:line="560" w:lineRule="exact"/>
        <w:rPr>
          <w:rFonts w:ascii="Times New Roman" w:hAnsi="Times New Roman" w:eastAsia="仿宋_GB2312" w:cs="Times New Roman"/>
          <w:sz w:val="32"/>
          <w:szCs w:val="21"/>
          <w:lang w:val="zh-CN"/>
        </w:rPr>
      </w:pPr>
      <w:r>
        <w:rPr>
          <w:rFonts w:ascii="Times New Roman" w:hAnsi="Times New Roman" w:eastAsia="仿宋_GB2312" w:cs="Times New Roman"/>
          <w:sz w:val="32"/>
          <w:szCs w:val="21"/>
          <w:lang w:val="zh-CN"/>
        </w:rPr>
        <w:t>已对三调成果及2020年变更数据库进行多轮基数转换工作并上报。目前已完成三调分类与规划用地分类衔接内业工作，基本完成三调分类向规划用地分类转换。</w:t>
      </w:r>
    </w:p>
    <w:p>
      <w:pPr>
        <w:widowControl/>
        <w:overflowPunct w:val="0"/>
        <w:snapToGrid w:val="0"/>
        <w:spacing w:line="560" w:lineRule="exact"/>
        <w:ind w:firstLine="643" w:firstLineChars="200"/>
        <w:rPr>
          <w:rFonts w:ascii="Times New Roman" w:hAnsi="Times New Roman" w:eastAsia="仿宋_GB2312" w:cs="Times New Roman"/>
          <w:sz w:val="32"/>
          <w:szCs w:val="21"/>
          <w:lang w:val="zh-CN"/>
        </w:rPr>
      </w:pPr>
      <w:r>
        <w:rPr>
          <w:rFonts w:ascii="Times New Roman" w:hAnsi="Times New Roman" w:eastAsia="仿宋_GB2312" w:cs="Times New Roman"/>
          <w:b/>
          <w:bCs/>
          <w:sz w:val="32"/>
          <w:szCs w:val="21"/>
          <w:lang w:val="zh-CN"/>
        </w:rPr>
        <w:t>3、三线初步划定。</w:t>
      </w:r>
      <w:r>
        <w:rPr>
          <w:rFonts w:ascii="Times New Roman" w:hAnsi="Times New Roman" w:eastAsia="仿宋_GB2312" w:cs="Times New Roman"/>
          <w:sz w:val="32"/>
          <w:szCs w:val="21"/>
          <w:lang w:val="zh-CN"/>
        </w:rPr>
        <w:t>落实下发的生态保护红线。至2022年9月，分析疏附县现行空间类规划的指标完成情况，耕地、永久基本农田保护情况和近十年的变化趋势，及基于人口、产业等方面的空间需求，根据历版指南、部视频会等关于城镇开发边界划定的要求，多次与县领导、自然资源局、各乡镇领导沟通，初步划定疏附县城镇开发边界，成果已上报。</w:t>
      </w:r>
    </w:p>
    <w:p>
      <w:pPr>
        <w:widowControl/>
        <w:overflowPunct w:val="0"/>
        <w:snapToGrid w:val="0"/>
        <w:spacing w:line="560" w:lineRule="exact"/>
        <w:ind w:firstLine="640" w:firstLineChars="200"/>
        <w:rPr>
          <w:rFonts w:ascii="Times New Roman" w:hAnsi="Times New Roman" w:eastAsia="仿宋_GB2312" w:cs="Times New Roman"/>
          <w:sz w:val="32"/>
          <w:szCs w:val="21"/>
          <w:lang w:val="zh-CN"/>
        </w:rPr>
      </w:pPr>
      <w:r>
        <w:rPr>
          <w:rFonts w:hint="eastAsia" w:ascii="Times New Roman" w:hAnsi="Times New Roman" w:eastAsia="仿宋_GB2312" w:cs="Times New Roman"/>
          <w:sz w:val="32"/>
          <w:szCs w:val="21"/>
          <w:lang w:val="zh-CN"/>
        </w:rPr>
        <w:t>结合自然资源部和省厅最新工作要求，在</w:t>
      </w:r>
      <w:r>
        <w:rPr>
          <w:rFonts w:ascii="Times New Roman" w:hAnsi="Times New Roman" w:eastAsia="仿宋_GB2312" w:cs="Times New Roman"/>
          <w:sz w:val="32"/>
          <w:szCs w:val="21"/>
          <w:lang w:val="zh-CN"/>
        </w:rPr>
        <w:t>2023年2月到省规划院集中办公，修改了永久基本农田方案并上报。</w:t>
      </w:r>
    </w:p>
    <w:p>
      <w:pPr>
        <w:widowControl/>
        <w:overflowPunct w:val="0"/>
        <w:snapToGrid w:val="0"/>
        <w:spacing w:line="560" w:lineRule="exact"/>
        <w:ind w:firstLine="643" w:firstLineChars="200"/>
        <w:rPr>
          <w:rFonts w:ascii="Times New Roman" w:hAnsi="Times New Roman" w:eastAsia="仿宋_GB2312" w:cs="Times New Roman"/>
          <w:sz w:val="32"/>
          <w:szCs w:val="21"/>
          <w:lang w:val="zh-CN"/>
        </w:rPr>
      </w:pPr>
      <w:r>
        <w:rPr>
          <w:rFonts w:ascii="Times New Roman" w:hAnsi="Times New Roman" w:eastAsia="仿宋_GB2312" w:cs="Times New Roman"/>
          <w:b/>
          <w:bCs/>
          <w:sz w:val="32"/>
          <w:szCs w:val="21"/>
          <w:lang w:val="zh-CN"/>
        </w:rPr>
        <w:t>4、中心城区空间方案。</w:t>
      </w:r>
      <w:r>
        <w:rPr>
          <w:rFonts w:ascii="Times New Roman" w:hAnsi="Times New Roman" w:eastAsia="仿宋_GB2312" w:cs="Times New Roman"/>
          <w:sz w:val="32"/>
          <w:szCs w:val="21"/>
          <w:lang w:val="zh-CN"/>
        </w:rPr>
        <w:t>至2023年2月，已完成多轮中心城区发展方向与空间结构、功能分区、规划分区、道路网络、蓝绿空间系统、空间发展策略、空间规模需求、公共服务设施规模与体系等。已梳理疏附县十四五规划重点建设项目，同步更新国土空间规划相关数据，正在结合近期重点项目与成片开发方案，优化用地布局，深化综合交通网络，开展生活圈规划等内容。</w:t>
      </w:r>
    </w:p>
    <w:p>
      <w:pPr>
        <w:widowControl/>
        <w:overflowPunct w:val="0"/>
        <w:snapToGrid w:val="0"/>
        <w:spacing w:line="560" w:lineRule="exact"/>
        <w:ind w:firstLine="643" w:firstLineChars="200"/>
        <w:rPr>
          <w:rFonts w:ascii="Times New Roman" w:hAnsi="Times New Roman" w:eastAsia="仿宋_GB2312" w:cs="Times New Roman"/>
          <w:sz w:val="32"/>
          <w:szCs w:val="21"/>
          <w:lang w:val="zh-CN"/>
        </w:rPr>
      </w:pPr>
      <w:r>
        <w:rPr>
          <w:rFonts w:ascii="Times New Roman" w:hAnsi="Times New Roman" w:eastAsia="仿宋_GB2312" w:cs="Times New Roman"/>
          <w:b/>
          <w:bCs/>
          <w:sz w:val="32"/>
          <w:szCs w:val="21"/>
          <w:lang w:val="zh-CN"/>
        </w:rPr>
        <w:t>5、支撑系统。</w:t>
      </w:r>
      <w:r>
        <w:rPr>
          <w:rFonts w:ascii="Times New Roman" w:hAnsi="Times New Roman" w:eastAsia="仿宋_GB2312" w:cs="Times New Roman"/>
          <w:sz w:val="32"/>
          <w:szCs w:val="21"/>
          <w:lang w:val="zh-CN"/>
        </w:rPr>
        <w:t>完成电力、通信、燃气方面的设施布点规划，进行城市综合防灾及减灾方面的评估，梳理环卫及综合防灾设施及配置要求，进行供水设施和排水设施方面的规划布局</w:t>
      </w:r>
      <w:r>
        <w:rPr>
          <w:rFonts w:hint="eastAsia" w:ascii="Times New Roman" w:hAnsi="Times New Roman" w:eastAsia="仿宋_GB2312" w:cs="Times New Roman"/>
          <w:sz w:val="32"/>
          <w:szCs w:val="21"/>
          <w:lang w:val="zh-CN"/>
        </w:rPr>
        <w:t>。</w:t>
      </w:r>
    </w:p>
    <w:p>
      <w:pPr>
        <w:overflowPunct w:val="0"/>
        <w:snapToGrid w:val="0"/>
        <w:spacing w:line="560" w:lineRule="exact"/>
        <w:ind w:firstLine="643" w:firstLineChars="200"/>
        <w:rPr>
          <w:rFonts w:ascii="Times New Roman" w:hAnsi="Times New Roman" w:eastAsia="仿宋_GB2312" w:cs="Times New Roman"/>
          <w:sz w:val="32"/>
          <w:szCs w:val="21"/>
          <w:lang w:val="zh-CN"/>
        </w:rPr>
      </w:pPr>
      <w:r>
        <w:rPr>
          <w:rFonts w:hint="eastAsia" w:ascii="Times New Roman" w:hAnsi="Times New Roman" w:eastAsia="仿宋_GB2312" w:cs="Times New Roman"/>
          <w:b/>
          <w:bCs/>
          <w:sz w:val="32"/>
          <w:szCs w:val="21"/>
          <w:lang w:val="zh-CN"/>
        </w:rPr>
        <w:t>6、县常务会方案汇报。</w:t>
      </w:r>
      <w:r>
        <w:rPr>
          <w:rFonts w:hint="eastAsia" w:ascii="Times New Roman" w:hAnsi="Times New Roman" w:eastAsia="仿宋_GB2312" w:cs="Times New Roman"/>
          <w:sz w:val="32"/>
          <w:szCs w:val="21"/>
          <w:lang w:val="zh-CN"/>
        </w:rPr>
        <w:t>截至2022年8月，就疏附</w:t>
      </w:r>
      <w:bookmarkStart w:id="0" w:name="_GoBack"/>
      <w:bookmarkEnd w:id="0"/>
      <w:r>
        <w:rPr>
          <w:rFonts w:hint="eastAsia" w:ascii="Times New Roman" w:hAnsi="Times New Roman" w:eastAsia="仿宋_GB2312" w:cs="Times New Roman"/>
          <w:sz w:val="32"/>
          <w:szCs w:val="21"/>
          <w:lang w:val="zh-CN"/>
        </w:rPr>
        <w:t>情况向县委、地区常委进行多次专题汇报。2022年9月，就疏附三区三线划定情况和国土空间总体规划初步方案在先常委会进行汇报，会后收集各部门书面反馈意见。</w:t>
      </w:r>
    </w:p>
    <w:p>
      <w:pPr>
        <w:overflowPunct w:val="0"/>
        <w:snapToGrid w:val="0"/>
        <w:spacing w:line="560" w:lineRule="exact"/>
        <w:ind w:firstLine="643" w:firstLineChars="200"/>
        <w:rPr>
          <w:rFonts w:ascii="Times New Roman" w:hAnsi="Times New Roman" w:eastAsia="仿宋_GB2312" w:cs="Times New Roman"/>
          <w:sz w:val="32"/>
          <w:szCs w:val="21"/>
          <w:lang w:val="zh-CN"/>
        </w:rPr>
      </w:pPr>
      <w:r>
        <w:rPr>
          <w:rFonts w:hint="eastAsia" w:ascii="Times New Roman" w:hAnsi="Times New Roman" w:eastAsia="仿宋_GB2312" w:cs="Times New Roman"/>
          <w:b/>
          <w:bCs/>
          <w:sz w:val="32"/>
          <w:szCs w:val="21"/>
          <w:lang w:val="zh-CN"/>
        </w:rPr>
        <w:t>7、公示征求意见与地区专家评审。</w:t>
      </w:r>
      <w:r>
        <w:rPr>
          <w:rFonts w:hint="eastAsia" w:ascii="Times New Roman" w:hAnsi="Times New Roman" w:eastAsia="仿宋_GB2312" w:cs="Times New Roman"/>
          <w:sz w:val="32"/>
          <w:szCs w:val="21"/>
          <w:lang w:val="zh-CN"/>
        </w:rPr>
        <w:t>依据喀什地区自然资源局要求，完成三次成果报送。</w:t>
      </w:r>
      <w:r>
        <w:rPr>
          <w:rFonts w:ascii="Times New Roman" w:hAnsi="Times New Roman" w:eastAsia="仿宋_GB2312" w:cs="Times New Roman"/>
          <w:sz w:val="32"/>
          <w:szCs w:val="21"/>
          <w:lang w:val="zh-CN"/>
        </w:rPr>
        <w:t>2023年4月25日参与喀什地区自然资源局组织的专家评审会。</w:t>
      </w:r>
      <w:r>
        <w:rPr>
          <w:rFonts w:hint="eastAsia" w:ascii="Times New Roman" w:hAnsi="Times New Roman" w:eastAsia="仿宋_GB2312" w:cs="Times New Roman"/>
          <w:sz w:val="32"/>
          <w:szCs w:val="21"/>
          <w:lang w:val="zh-CN"/>
        </w:rPr>
        <w:t>完成总体规划公示稿编制，并在官方网站上面向社会各界公开征询意见建议。</w:t>
      </w:r>
    </w:p>
    <w:p>
      <w:pPr>
        <w:widowControl/>
        <w:overflowPunct w:val="0"/>
        <w:snapToGrid w:val="0"/>
        <w:spacing w:line="560" w:lineRule="exact"/>
        <w:ind w:firstLine="600" w:firstLineChars="200"/>
        <w:rPr>
          <w:rFonts w:ascii="Times New Roman" w:hAnsi="Times New Roman" w:eastAsia="仿宋_GB2312" w:cs="Times New Roman"/>
          <w:sz w:val="32"/>
          <w:szCs w:val="21"/>
          <w:lang w:val="zh-CN"/>
        </w:rPr>
      </w:pPr>
      <w:r>
        <w:rPr>
          <w:rFonts w:hint="eastAsia" w:ascii="黑体" w:eastAsia="黑体" w:cs="黑体"/>
          <w:kern w:val="0"/>
          <w:sz w:val="30"/>
          <w:szCs w:val="30"/>
        </w:rPr>
        <w:t>三、制定的意义和总体考虑</w:t>
      </w:r>
    </w:p>
    <w:p>
      <w:pPr>
        <w:widowControl/>
        <w:overflowPunct w:val="0"/>
        <w:snapToGrid w:val="0"/>
        <w:spacing w:line="560" w:lineRule="exact"/>
        <w:ind w:firstLine="640" w:firstLineChars="200"/>
        <w:rPr>
          <w:rFonts w:ascii="Times New Roman" w:hAnsi="Times New Roman" w:eastAsia="仿宋_GB2312" w:cs="Times New Roman"/>
          <w:sz w:val="32"/>
          <w:szCs w:val="21"/>
          <w:lang w:val="zh-CN"/>
        </w:rPr>
      </w:pPr>
      <w:r>
        <w:rPr>
          <w:rFonts w:hint="eastAsia" w:ascii="Times New Roman" w:hAnsi="Times New Roman" w:eastAsia="仿宋_GB2312" w:cs="Times New Roman"/>
          <w:sz w:val="32"/>
          <w:szCs w:val="21"/>
          <w:lang w:val="zh-CN"/>
        </w:rPr>
        <w:t>《疏附县国土空间总体规划(2021-2035年)》(公示稿）是疏附县面向</w:t>
      </w:r>
      <w:r>
        <w:rPr>
          <w:rFonts w:ascii="Times New Roman" w:hAnsi="Times New Roman" w:eastAsia="仿宋_GB2312" w:cs="Times New Roman"/>
          <w:sz w:val="32"/>
          <w:szCs w:val="21"/>
          <w:lang w:val="zh-CN"/>
        </w:rPr>
        <w:t xml:space="preserve">2035 </w:t>
      </w:r>
      <w:r>
        <w:rPr>
          <w:rFonts w:hint="eastAsia" w:ascii="Times New Roman" w:hAnsi="Times New Roman" w:eastAsia="仿宋_GB2312" w:cs="Times New Roman"/>
          <w:sz w:val="32"/>
          <w:szCs w:val="21"/>
          <w:lang w:val="zh-CN"/>
        </w:rPr>
        <w:t>年可持续发展的空间蓝图，是编制镇级国土空间总体规划、详细规划、相关专项规划和开展各类开发保护建设活动的基本依据。县域范围内各类自然资源利用、涉及国土空间的各项政策、各类规划以及开发建设活动，须符合本规划。不得在本规划明确的规划体系外另设其他空间规划。</w:t>
      </w:r>
    </w:p>
    <w:p>
      <w:pPr>
        <w:widowControl/>
        <w:overflowPunct w:val="0"/>
        <w:snapToGrid w:val="0"/>
        <w:spacing w:line="560" w:lineRule="exact"/>
        <w:ind w:firstLine="640" w:firstLineChars="200"/>
        <w:rPr>
          <w:rFonts w:ascii="Times New Roman" w:hAnsi="Times New Roman" w:eastAsia="仿宋_GB2312" w:cs="Times New Roman"/>
          <w:sz w:val="32"/>
          <w:szCs w:val="21"/>
          <w:lang w:val="zh-CN"/>
        </w:rPr>
      </w:pPr>
      <w:r>
        <w:rPr>
          <w:rFonts w:hint="eastAsia" w:ascii="Times New Roman" w:hAnsi="Times New Roman" w:eastAsia="仿宋_GB2312" w:cs="Times New Roman"/>
          <w:sz w:val="32"/>
          <w:szCs w:val="21"/>
          <w:lang w:val="zh-CN"/>
        </w:rPr>
        <w:t>《疏附县国土空间总体规划</w:t>
      </w:r>
      <w:r>
        <w:rPr>
          <w:rFonts w:ascii="Times New Roman" w:hAnsi="Times New Roman" w:eastAsia="仿宋_GB2312" w:cs="Times New Roman"/>
          <w:sz w:val="32"/>
          <w:szCs w:val="21"/>
          <w:lang w:val="zh-CN"/>
        </w:rPr>
        <w:t>(2021-2035</w:t>
      </w:r>
      <w:r>
        <w:rPr>
          <w:rFonts w:hint="eastAsia" w:ascii="Times New Roman" w:hAnsi="Times New Roman" w:eastAsia="仿宋_GB2312" w:cs="Times New Roman"/>
          <w:sz w:val="32"/>
          <w:szCs w:val="21"/>
          <w:lang w:val="zh-CN"/>
        </w:rPr>
        <w:t>年</w:t>
      </w:r>
      <w:r>
        <w:rPr>
          <w:rFonts w:ascii="Times New Roman" w:hAnsi="Times New Roman" w:eastAsia="仿宋_GB2312" w:cs="Times New Roman"/>
          <w:sz w:val="32"/>
          <w:szCs w:val="21"/>
          <w:lang w:val="zh-CN"/>
        </w:rPr>
        <w:t>)</w:t>
      </w:r>
      <w:r>
        <w:rPr>
          <w:rFonts w:hint="eastAsia" w:ascii="Times New Roman" w:hAnsi="Times New Roman" w:eastAsia="仿宋_GB2312" w:cs="Times New Roman"/>
          <w:sz w:val="32"/>
          <w:szCs w:val="21"/>
          <w:lang w:val="zh-CN"/>
        </w:rPr>
        <w:t>》</w:t>
      </w:r>
      <w:r>
        <w:rPr>
          <w:rFonts w:ascii="Times New Roman" w:hAnsi="Times New Roman" w:eastAsia="仿宋_GB2312" w:cs="Times New Roman"/>
          <w:sz w:val="32"/>
          <w:szCs w:val="21"/>
          <w:lang w:val="zh-CN"/>
        </w:rPr>
        <w:t>(</w:t>
      </w:r>
      <w:r>
        <w:rPr>
          <w:rFonts w:hint="eastAsia" w:ascii="Times New Roman" w:hAnsi="Times New Roman" w:eastAsia="仿宋_GB2312" w:cs="Times New Roman"/>
          <w:sz w:val="32"/>
          <w:szCs w:val="21"/>
          <w:lang w:val="zh-CN"/>
        </w:rPr>
        <w:t>公示稿</w:t>
      </w:r>
      <w:r>
        <w:rPr>
          <w:rFonts w:ascii="Times New Roman" w:hAnsi="Times New Roman" w:eastAsia="仿宋_GB2312" w:cs="Times New Roman"/>
          <w:sz w:val="32"/>
          <w:szCs w:val="21"/>
          <w:lang w:val="zh-CN"/>
        </w:rPr>
        <w:t>)</w:t>
      </w:r>
      <w:r>
        <w:rPr>
          <w:rFonts w:hint="eastAsia" w:ascii="Times New Roman" w:hAnsi="Times New Roman" w:eastAsia="仿宋_GB2312" w:cs="Times New Roman"/>
          <w:sz w:val="32"/>
          <w:szCs w:val="21"/>
          <w:lang w:val="zh-CN"/>
        </w:rPr>
        <w:t>以习近平新时代中国特色社会主义思想为指导，全面贯彻党的二十大精神，紧紧围绕统筹推进“五位一体”总体布局和协调推进“四个全面”战略布局，坚持新发展理念，坚持以人民为中心，坚持一切从实际出发，牢固树立创新、协调、绿色、开放、共享的发展</w:t>
      </w:r>
      <w:r>
        <w:rPr>
          <w:rFonts w:hint="eastAsia" w:ascii="仿宋_GB2312" w:eastAsia="仿宋_GB2312" w:cs="仿宋_GB2312"/>
          <w:kern w:val="0"/>
          <w:sz w:val="30"/>
          <w:szCs w:val="30"/>
        </w:rPr>
        <w:t>理念，深化落实“南疆城市群”城市发展战略以及喀什河流域经济带，发挥疏附县区位交通优势和资源禀赋特点，主动服务和融入新发展格局，落实主体功能区战略、协同发展战略、新型城镇化战略，以“三区三线”为基础，统筹安排全县国土空间开发与保护，推动疏附县实现高水平保护与高效能空间治理，引领高质量发展与高品质生活，努力构建高质量、高效率、更公平、可持续的国土空间新格局，促进疏附县健康、可持续发展。</w:t>
      </w:r>
    </w:p>
    <w:p>
      <w:pPr>
        <w:widowControl/>
        <w:overflowPunct w:val="0"/>
        <w:snapToGrid w:val="0"/>
        <w:spacing w:line="560" w:lineRule="exact"/>
        <w:ind w:firstLine="600" w:firstLineChars="200"/>
        <w:rPr>
          <w:rFonts w:ascii="黑体" w:eastAsia="黑体" w:cs="黑体"/>
          <w:kern w:val="0"/>
          <w:sz w:val="30"/>
          <w:szCs w:val="30"/>
        </w:rPr>
      </w:pPr>
      <w:r>
        <w:rPr>
          <w:rFonts w:hint="eastAsia" w:ascii="黑体" w:eastAsia="黑体" w:cs="黑体"/>
          <w:kern w:val="0"/>
          <w:sz w:val="30"/>
          <w:szCs w:val="30"/>
        </w:rPr>
        <w:t>四、政策创新举措</w:t>
      </w:r>
    </w:p>
    <w:p>
      <w:pPr>
        <w:widowControl/>
        <w:overflowPunct w:val="0"/>
        <w:snapToGrid w:val="0"/>
        <w:spacing w:line="560" w:lineRule="exact"/>
        <w:ind w:firstLine="640" w:firstLineChars="200"/>
        <w:rPr>
          <w:rFonts w:ascii="Times New Roman" w:hAnsi="Times New Roman" w:eastAsia="仿宋_GB2312" w:cs="Times New Roman"/>
          <w:sz w:val="32"/>
          <w:szCs w:val="21"/>
          <w:lang w:val="zh-CN"/>
        </w:rPr>
      </w:pPr>
      <w:r>
        <w:rPr>
          <w:rFonts w:hint="eastAsia" w:ascii="Times New Roman" w:hAnsi="Times New Roman" w:eastAsia="仿宋_GB2312" w:cs="Times New Roman"/>
          <w:sz w:val="32"/>
          <w:szCs w:val="21"/>
          <w:lang w:val="zh-CN"/>
        </w:rPr>
        <w:t>建立国土空间规划体系并监督实施，将主体功能区规划、土地利用规划、城乡规划等空间规划融合为统一的国土空间规划，实现“多规合一”，强化国土空间规划对各专项规划的指导约束作用，是党中央、国务院作出的重大部署。</w:t>
      </w:r>
    </w:p>
    <w:p>
      <w:pPr>
        <w:widowControl/>
        <w:overflowPunct w:val="0"/>
        <w:snapToGrid w:val="0"/>
        <w:spacing w:line="560" w:lineRule="exact"/>
        <w:ind w:firstLine="640" w:firstLineChars="200"/>
        <w:rPr>
          <w:rFonts w:ascii="Times New Roman" w:hAnsi="Times New Roman" w:eastAsia="仿宋_GB2312" w:cs="Times New Roman"/>
          <w:sz w:val="32"/>
          <w:szCs w:val="21"/>
          <w:lang w:val="zh-CN"/>
        </w:rPr>
      </w:pPr>
      <w:r>
        <w:rPr>
          <w:rFonts w:hint="eastAsia" w:ascii="Times New Roman" w:hAnsi="Times New Roman" w:eastAsia="仿宋_GB2312" w:cs="Times New Roman"/>
          <w:sz w:val="32"/>
          <w:szCs w:val="21"/>
          <w:lang w:val="zh-CN"/>
        </w:rPr>
        <w:t>与原有的主体功能区规划、土地利用规划和城乡规划等空间类规划相比，新的空间规划体系首先是更加注重落实新发展理念，促进高质量发展，更加注重坚持以人民为中心，满足人民对高质量美好生活的愿望，更加致力于提高国土空间治理体系和治理能力现代化。</w:t>
      </w:r>
    </w:p>
    <w:p>
      <w:pPr>
        <w:widowControl/>
        <w:overflowPunct w:val="0"/>
        <w:snapToGrid w:val="0"/>
        <w:spacing w:line="560" w:lineRule="exact"/>
        <w:ind w:firstLine="600" w:firstLineChars="200"/>
        <w:rPr>
          <w:rFonts w:ascii="黑体" w:eastAsia="黑体" w:cs="黑体"/>
          <w:kern w:val="0"/>
          <w:sz w:val="30"/>
          <w:szCs w:val="30"/>
        </w:rPr>
      </w:pPr>
      <w:r>
        <w:rPr>
          <w:rFonts w:hint="eastAsia" w:ascii="黑体" w:eastAsia="黑体" w:cs="黑体"/>
          <w:kern w:val="0"/>
          <w:sz w:val="30"/>
          <w:szCs w:val="30"/>
        </w:rPr>
        <w:t>五、工作目标</w:t>
      </w:r>
    </w:p>
    <w:p>
      <w:pPr>
        <w:widowControl/>
        <w:overflowPunct w:val="0"/>
        <w:snapToGrid w:val="0"/>
        <w:spacing w:line="560" w:lineRule="exact"/>
        <w:ind w:firstLine="640" w:firstLineChars="200"/>
        <w:rPr>
          <w:rFonts w:ascii="Times New Roman" w:hAnsi="Times New Roman" w:eastAsia="仿宋_GB2312" w:cs="Times New Roman"/>
          <w:sz w:val="32"/>
          <w:szCs w:val="21"/>
          <w:lang w:val="zh-CN"/>
        </w:rPr>
      </w:pPr>
      <w:r>
        <w:rPr>
          <w:rFonts w:hint="eastAsia" w:ascii="Times New Roman" w:hAnsi="Times New Roman" w:eastAsia="仿宋_GB2312" w:cs="Times New Roman"/>
          <w:sz w:val="32"/>
          <w:szCs w:val="21"/>
          <w:lang w:val="zh-CN"/>
        </w:rPr>
        <w:t>统筹协调各类空间管控手段，将主体功能区规划、土地利用规划、城乡规划等空间规划融合为统一的国土空间规划，实现“多规合一”，强化国土空间规划对各专项规划的指导约束作用。综合考虑人口分布、经济布局、国土利用、生态环境保护等因素，科学评价资源环境承载能力和国土空间开发适宜性，深入分析问题挑战和发展机遇，明确空间发展目标，确定空间发展策略，优化城镇发展格局、农业生产格局和生态保护格局，转变国土空间开发保护方式，提升国土空间开发保护质量和效率。</w:t>
      </w:r>
    </w:p>
    <w:p>
      <w:pPr>
        <w:widowControl/>
        <w:overflowPunct w:val="0"/>
        <w:snapToGrid w:val="0"/>
        <w:spacing w:line="560" w:lineRule="exact"/>
        <w:ind w:firstLine="640" w:firstLineChars="200"/>
        <w:rPr>
          <w:rFonts w:ascii="Times New Roman" w:hAnsi="Times New Roman" w:eastAsia="仿宋_GB2312" w:cs="Times New Roman"/>
          <w:sz w:val="32"/>
          <w:szCs w:val="21"/>
          <w:lang w:val="zh-CN"/>
        </w:rPr>
      </w:pPr>
    </w:p>
    <w:p>
      <w:pPr>
        <w:widowControl/>
        <w:overflowPunct w:val="0"/>
        <w:snapToGrid w:val="0"/>
        <w:spacing w:line="560" w:lineRule="exact"/>
        <w:ind w:firstLine="600" w:firstLineChars="200"/>
        <w:rPr>
          <w:rFonts w:ascii="黑体" w:eastAsia="黑体" w:cs="黑体"/>
          <w:kern w:val="0"/>
          <w:sz w:val="30"/>
          <w:szCs w:val="30"/>
        </w:rPr>
      </w:pPr>
      <w:r>
        <w:rPr>
          <w:rFonts w:hint="eastAsia" w:ascii="黑体" w:eastAsia="黑体" w:cs="黑体"/>
          <w:kern w:val="0"/>
          <w:sz w:val="30"/>
          <w:szCs w:val="30"/>
        </w:rPr>
        <w:t>六、主要内容</w:t>
      </w:r>
    </w:p>
    <w:p>
      <w:pPr>
        <w:widowControl/>
        <w:overflowPunct w:val="0"/>
        <w:snapToGrid w:val="0"/>
        <w:spacing w:line="560" w:lineRule="exact"/>
        <w:ind w:firstLine="640" w:firstLineChars="200"/>
        <w:rPr>
          <w:rFonts w:ascii="Times New Roman" w:hAnsi="Times New Roman" w:eastAsia="仿宋_GB2312" w:cs="Times New Roman"/>
          <w:sz w:val="32"/>
          <w:szCs w:val="21"/>
          <w:lang w:val="zh-CN"/>
        </w:rPr>
      </w:pPr>
      <w:r>
        <w:rPr>
          <w:rFonts w:hint="eastAsia" w:ascii="Times New Roman" w:hAnsi="Times New Roman" w:eastAsia="仿宋_GB2312" w:cs="Times New Roman"/>
          <w:sz w:val="32"/>
          <w:szCs w:val="21"/>
          <w:lang w:val="zh-CN"/>
        </w:rPr>
        <w:t>结合《新疆维吾尔自治区县（市）级国土空间总体规划编制技术指南》，本次规划共分为十个部分：</w:t>
      </w:r>
    </w:p>
    <w:p>
      <w:pPr>
        <w:widowControl/>
        <w:overflowPunct w:val="0"/>
        <w:snapToGrid w:val="0"/>
        <w:spacing w:line="560" w:lineRule="exact"/>
        <w:ind w:firstLine="640" w:firstLineChars="200"/>
        <w:rPr>
          <w:rFonts w:ascii="Times New Roman" w:hAnsi="Times New Roman" w:eastAsia="仿宋_GB2312" w:cs="Times New Roman"/>
          <w:sz w:val="32"/>
          <w:szCs w:val="21"/>
          <w:lang w:val="zh-CN"/>
        </w:rPr>
      </w:pPr>
      <w:r>
        <w:rPr>
          <w:rFonts w:hint="eastAsia" w:ascii="Times New Roman" w:hAnsi="Times New Roman" w:eastAsia="仿宋_GB2312" w:cs="Times New Roman"/>
          <w:sz w:val="32"/>
          <w:szCs w:val="21"/>
          <w:lang w:val="zh-CN"/>
        </w:rPr>
        <w:t>第一部分“规划总则”确定了本次规划的指导思想，遵循的规划原则，并确定了规划范围以及期限。</w:t>
      </w:r>
    </w:p>
    <w:p>
      <w:pPr>
        <w:widowControl/>
        <w:overflowPunct w:val="0"/>
        <w:snapToGrid w:val="0"/>
        <w:spacing w:line="560" w:lineRule="exact"/>
        <w:ind w:firstLine="640" w:firstLineChars="200"/>
        <w:rPr>
          <w:rFonts w:ascii="Times New Roman" w:hAnsi="Times New Roman" w:eastAsia="仿宋_GB2312" w:cs="Times New Roman"/>
          <w:sz w:val="32"/>
          <w:szCs w:val="21"/>
          <w:lang w:val="zh-CN"/>
        </w:rPr>
      </w:pPr>
      <w:r>
        <w:rPr>
          <w:rFonts w:hint="eastAsia" w:ascii="Times New Roman" w:hAnsi="Times New Roman" w:eastAsia="仿宋_GB2312" w:cs="Times New Roman"/>
          <w:sz w:val="32"/>
          <w:szCs w:val="21"/>
          <w:lang w:val="zh-CN"/>
        </w:rPr>
        <w:t>第二部分“目标与战略定位”确定了本规划的目标定位，包括城市职能、规划目标、国土空间开发保护策略。</w:t>
      </w:r>
    </w:p>
    <w:p>
      <w:pPr>
        <w:widowControl/>
        <w:overflowPunct w:val="0"/>
        <w:snapToGrid w:val="0"/>
        <w:spacing w:line="560" w:lineRule="exact"/>
        <w:ind w:firstLine="640" w:firstLineChars="200"/>
        <w:rPr>
          <w:rFonts w:ascii="Times New Roman" w:hAnsi="Times New Roman" w:eastAsia="仿宋_GB2312" w:cs="Times New Roman"/>
          <w:sz w:val="32"/>
          <w:szCs w:val="21"/>
          <w:lang w:val="zh-CN"/>
        </w:rPr>
      </w:pPr>
      <w:r>
        <w:rPr>
          <w:rFonts w:hint="eastAsia" w:ascii="Times New Roman" w:hAnsi="Times New Roman" w:eastAsia="仿宋_GB2312" w:cs="Times New Roman"/>
          <w:sz w:val="32"/>
          <w:szCs w:val="21"/>
          <w:lang w:val="zh-CN"/>
        </w:rPr>
        <w:t>第三部分“国土空间总体格局”是在划定三条控制线的基础上确定国土空间总体发展格局，包括细化落实主体功能区，构建国土空间总体格局，确定规划分区、完善国土空间功能结构优化等内容。</w:t>
      </w:r>
    </w:p>
    <w:p>
      <w:pPr>
        <w:widowControl/>
        <w:overflowPunct w:val="0"/>
        <w:snapToGrid w:val="0"/>
        <w:spacing w:line="560" w:lineRule="exact"/>
        <w:ind w:firstLine="640" w:firstLineChars="200"/>
        <w:rPr>
          <w:rFonts w:ascii="Times New Roman" w:hAnsi="Times New Roman" w:eastAsia="仿宋_GB2312" w:cs="Times New Roman"/>
          <w:sz w:val="32"/>
          <w:szCs w:val="21"/>
          <w:lang w:val="zh-CN"/>
        </w:rPr>
      </w:pPr>
      <w:r>
        <w:rPr>
          <w:rFonts w:hint="eastAsia" w:ascii="Times New Roman" w:hAnsi="Times New Roman" w:eastAsia="仿宋_GB2312" w:cs="Times New Roman"/>
          <w:sz w:val="32"/>
          <w:szCs w:val="21"/>
          <w:lang w:val="zh-CN"/>
        </w:rPr>
        <w:t>第四部分“乡村空间”是面向农业空间的内容，包括构建农业空间格局、耕地资源保护与利用、全面推进乡村振兴、开展国土综合整治等内容。</w:t>
      </w:r>
    </w:p>
    <w:p>
      <w:pPr>
        <w:widowControl/>
        <w:overflowPunct w:val="0"/>
        <w:snapToGrid w:val="0"/>
        <w:spacing w:line="560" w:lineRule="exact"/>
        <w:ind w:firstLine="640" w:firstLineChars="200"/>
        <w:rPr>
          <w:rFonts w:ascii="Times New Roman" w:hAnsi="Times New Roman" w:eastAsia="仿宋_GB2312" w:cs="Times New Roman"/>
          <w:sz w:val="32"/>
          <w:szCs w:val="21"/>
          <w:lang w:val="zh-CN"/>
        </w:rPr>
      </w:pPr>
      <w:r>
        <w:rPr>
          <w:rFonts w:hint="eastAsia" w:ascii="Times New Roman" w:hAnsi="Times New Roman" w:eastAsia="仿宋_GB2312" w:cs="Times New Roman"/>
          <w:sz w:val="32"/>
          <w:szCs w:val="21"/>
          <w:lang w:val="zh-CN"/>
        </w:rPr>
        <w:t>第五部分“生态空间”是面向生态空间的内容，包括构建生态安全格局，加强水资源、林草资源、矿产资源保护与利用以及生态修复等内容。</w:t>
      </w:r>
    </w:p>
    <w:p>
      <w:pPr>
        <w:widowControl/>
        <w:overflowPunct w:val="0"/>
        <w:snapToGrid w:val="0"/>
        <w:spacing w:line="560" w:lineRule="exact"/>
        <w:ind w:firstLine="640" w:firstLineChars="200"/>
        <w:rPr>
          <w:rFonts w:ascii="Times New Roman" w:hAnsi="Times New Roman" w:eastAsia="仿宋_GB2312" w:cs="Times New Roman"/>
          <w:sz w:val="32"/>
          <w:szCs w:val="21"/>
          <w:lang w:val="zh-CN"/>
        </w:rPr>
      </w:pPr>
      <w:r>
        <w:rPr>
          <w:rFonts w:hint="eastAsia" w:ascii="Times New Roman" w:hAnsi="Times New Roman" w:eastAsia="仿宋_GB2312" w:cs="Times New Roman"/>
          <w:sz w:val="32"/>
          <w:szCs w:val="21"/>
          <w:lang w:val="zh-CN"/>
        </w:rPr>
        <w:t>第六部分“城镇空间”是面向城镇空间的内容，包括城镇空间格局、城镇职能结构、产业规划等内容。</w:t>
      </w:r>
    </w:p>
    <w:p>
      <w:pPr>
        <w:widowControl/>
        <w:overflowPunct w:val="0"/>
        <w:snapToGrid w:val="0"/>
        <w:spacing w:line="560" w:lineRule="exact"/>
        <w:ind w:firstLine="640" w:firstLineChars="200"/>
        <w:rPr>
          <w:rFonts w:ascii="Times New Roman" w:hAnsi="Times New Roman" w:eastAsia="仿宋_GB2312" w:cs="Times New Roman"/>
          <w:sz w:val="32"/>
          <w:szCs w:val="21"/>
          <w:lang w:val="zh-CN"/>
        </w:rPr>
      </w:pPr>
      <w:r>
        <w:rPr>
          <w:rFonts w:hint="eastAsia" w:ascii="Times New Roman" w:hAnsi="Times New Roman" w:eastAsia="仿宋_GB2312" w:cs="Times New Roman"/>
          <w:sz w:val="32"/>
          <w:szCs w:val="21"/>
          <w:lang w:val="zh-CN"/>
        </w:rPr>
        <w:t>第七部分“人文魅力空间”是关于历史文化保护与利用的内容，包括强化历史文化保护格局、塑造城乡风貌特色等内容。</w:t>
      </w:r>
    </w:p>
    <w:p>
      <w:pPr>
        <w:widowControl/>
        <w:overflowPunct w:val="0"/>
        <w:snapToGrid w:val="0"/>
        <w:spacing w:line="560" w:lineRule="exact"/>
        <w:ind w:firstLine="640" w:firstLineChars="200"/>
        <w:rPr>
          <w:rFonts w:ascii="Times New Roman" w:hAnsi="Times New Roman" w:eastAsia="仿宋_GB2312" w:cs="Times New Roman"/>
          <w:sz w:val="32"/>
          <w:szCs w:val="21"/>
          <w:lang w:val="zh-CN"/>
        </w:rPr>
      </w:pPr>
      <w:r>
        <w:rPr>
          <w:rFonts w:hint="eastAsia" w:ascii="Times New Roman" w:hAnsi="Times New Roman" w:eastAsia="仿宋_GB2312" w:cs="Times New Roman"/>
          <w:sz w:val="32"/>
          <w:szCs w:val="21"/>
          <w:lang w:val="zh-CN"/>
        </w:rPr>
        <w:t>第八部分“基础支撑体系”是关于基础设施与安全韧性体系构建的内容，包括提升综合交通运输水平、加强市政基础设施建设、构建城乡公共服务体系、保障能源供应、构建安全韧性城市等内容。</w:t>
      </w:r>
    </w:p>
    <w:p>
      <w:pPr>
        <w:widowControl/>
        <w:overflowPunct w:val="0"/>
        <w:snapToGrid w:val="0"/>
        <w:spacing w:line="560" w:lineRule="exact"/>
        <w:ind w:firstLine="640" w:firstLineChars="200"/>
        <w:rPr>
          <w:rFonts w:ascii="Times New Roman" w:hAnsi="Times New Roman" w:eastAsia="仿宋_GB2312" w:cs="Times New Roman"/>
          <w:sz w:val="32"/>
          <w:szCs w:val="21"/>
          <w:lang w:val="zh-CN"/>
        </w:rPr>
      </w:pPr>
      <w:r>
        <w:rPr>
          <w:rFonts w:hint="eastAsia" w:ascii="Times New Roman" w:hAnsi="Times New Roman" w:eastAsia="仿宋_GB2312" w:cs="Times New Roman"/>
          <w:sz w:val="32"/>
          <w:szCs w:val="21"/>
          <w:lang w:val="zh-CN"/>
        </w:rPr>
        <w:t>第九部分“高品质中心城区”是关于中心城区功能完善和结构优化的内容，包括城市性质与职能、构建空间结构与发展布局、发展产业空间，景观风貌引导、公共服务设施和绿地与开敞空间，积极推进存量建设用地集约利用与城市更新，统筹交通、市政、能源、防灾、地下空间规划，城市设计、重要控制线管控等内容。</w:t>
      </w:r>
    </w:p>
    <w:p>
      <w:pPr>
        <w:widowControl/>
        <w:overflowPunct w:val="0"/>
        <w:snapToGrid w:val="0"/>
        <w:spacing w:line="560" w:lineRule="exact"/>
        <w:ind w:firstLine="640" w:firstLineChars="200"/>
        <w:rPr>
          <w:rFonts w:ascii="Times New Roman" w:hAnsi="Times New Roman" w:eastAsia="仿宋_GB2312" w:cs="Times New Roman"/>
          <w:sz w:val="32"/>
          <w:szCs w:val="21"/>
          <w:lang w:val="zh-CN"/>
        </w:rPr>
      </w:pPr>
      <w:r>
        <w:rPr>
          <w:rFonts w:hint="eastAsia" w:ascii="Times New Roman" w:hAnsi="Times New Roman" w:eastAsia="仿宋_GB2312" w:cs="Times New Roman"/>
          <w:sz w:val="32"/>
          <w:szCs w:val="21"/>
          <w:lang w:val="zh-CN"/>
        </w:rPr>
        <w:t>第十部分“实施保障体系”是关于国土空间规划指引以及保障措施的内容，包括乡镇规划指引、专项规划指引、详细规划指引以及规划保障措施。</w:t>
      </w:r>
    </w:p>
    <w:p>
      <w:pPr>
        <w:widowControl/>
        <w:overflowPunct w:val="0"/>
        <w:snapToGrid w:val="0"/>
        <w:spacing w:line="560" w:lineRule="exact"/>
        <w:ind w:firstLine="640" w:firstLineChars="200"/>
        <w:rPr>
          <w:rFonts w:ascii="Times New Roman" w:hAnsi="Times New Roman" w:eastAsia="仿宋_GB2312" w:cs="Times New Roman"/>
          <w:sz w:val="32"/>
          <w:szCs w:val="21"/>
          <w:lang w:val="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2B"/>
    <w:rsid w:val="00065F23"/>
    <w:rsid w:val="00075C73"/>
    <w:rsid w:val="00112B15"/>
    <w:rsid w:val="001E2B2B"/>
    <w:rsid w:val="00201600"/>
    <w:rsid w:val="002E0404"/>
    <w:rsid w:val="003D0712"/>
    <w:rsid w:val="00467BB6"/>
    <w:rsid w:val="00537D18"/>
    <w:rsid w:val="00550941"/>
    <w:rsid w:val="00615760"/>
    <w:rsid w:val="00760BA5"/>
    <w:rsid w:val="00CF7587"/>
    <w:rsid w:val="00E044DE"/>
    <w:rsid w:val="00F720EC"/>
    <w:rsid w:val="34E20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uiPriority w:val="99"/>
    <w:rPr>
      <w:sz w:val="18"/>
      <w:szCs w:val="18"/>
    </w:rPr>
  </w:style>
  <w:style w:type="paragraph" w:styleId="10">
    <w:name w:val="List Paragraph"/>
    <w:basedOn w:val="1"/>
    <w:qFormat/>
    <w:uiPriority w:val="34"/>
    <w:pPr>
      <w:ind w:firstLine="420" w:firstLineChars="200"/>
    </w:pPr>
  </w:style>
  <w:style w:type="paragraph" w:customStyle="1" w:styleId="11">
    <w:name w:val="标题1 自治区规范"/>
    <w:basedOn w:val="2"/>
    <w:next w:val="1"/>
    <w:link w:val="12"/>
    <w:qFormat/>
    <w:uiPriority w:val="0"/>
    <w:pPr>
      <w:widowControl/>
      <w:snapToGrid w:val="0"/>
      <w:spacing w:before="100" w:beforeLines="100" w:after="0" w:line="600" w:lineRule="exact"/>
      <w:jc w:val="center"/>
    </w:pPr>
    <w:rPr>
      <w:rFonts w:ascii="Times New Roman" w:hAnsi="Times New Roman" w:eastAsia="方正小标宋_GBK"/>
      <w:b w:val="0"/>
      <w:bCs w:val="0"/>
      <w:sz w:val="36"/>
    </w:rPr>
  </w:style>
  <w:style w:type="character" w:customStyle="1" w:styleId="12">
    <w:name w:val="标题1 自治区规范 字符"/>
    <w:basedOn w:val="13"/>
    <w:link w:val="11"/>
    <w:qFormat/>
    <w:uiPriority w:val="0"/>
    <w:rPr>
      <w:rFonts w:ascii="Times New Roman" w:hAnsi="Times New Roman" w:eastAsia="方正小标宋_GBK"/>
      <w:b w:val="0"/>
      <w:bCs w:val="0"/>
      <w:kern w:val="44"/>
      <w:sz w:val="36"/>
      <w:szCs w:val="44"/>
    </w:rPr>
  </w:style>
  <w:style w:type="character" w:customStyle="1" w:styleId="13">
    <w:name w:val="标题 1 字符"/>
    <w:basedOn w:val="7"/>
    <w:link w:val="2"/>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532</Words>
  <Characters>3038</Characters>
  <Lines>25</Lines>
  <Paragraphs>7</Paragraphs>
  <TotalTime>70</TotalTime>
  <ScaleCrop>false</ScaleCrop>
  <LinksUpToDate>false</LinksUpToDate>
  <CharactersWithSpaces>3563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2023-02-09T07:22:00Z</dcterms:created>
  <dc:creator>Administrator</dc:creator>
  <cp:lastModifiedBy>1</cp:lastModifiedBy>
  <dcterms:modified xsi:type="dcterms:W3CDTF">2023-10-17T04:34:48Z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