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51B572">
      <w:r>
        <w:br w:type="page"/>
      </w:r>
    </w:p>
    <w:p w14:paraId="67D2F1B1">
      <w:pPr>
        <w:spacing w:line="640" w:lineRule="exact"/>
        <w:jc w:val="center"/>
        <w:outlineLvl w:val="1"/>
      </w:pPr>
      <w:r>
        <w:rPr>
          <w:rFonts w:ascii="黑体" w:hAnsi="黑体" w:eastAsia="黑体"/>
          <w:sz w:val="32"/>
        </w:rPr>
        <w:t>第一部分 单位概况</w:t>
      </w:r>
    </w:p>
    <w:p w14:paraId="4CBA7F05">
      <w:pPr>
        <w:spacing w:line="640" w:lineRule="exact"/>
        <w:ind w:firstLine="640"/>
        <w:jc w:val="both"/>
        <w:outlineLvl w:val="2"/>
      </w:pPr>
      <w:r>
        <w:rPr>
          <w:rFonts w:ascii="黑体" w:hAnsi="黑体" w:eastAsia="黑体"/>
          <w:sz w:val="32"/>
        </w:rPr>
        <w:t>一、主要职能</w:t>
      </w:r>
    </w:p>
    <w:p w14:paraId="4C0F3D28">
      <w:pPr>
        <w:spacing w:line="580" w:lineRule="exact"/>
        <w:ind w:firstLine="640"/>
        <w:jc w:val="both"/>
      </w:pPr>
      <w:r>
        <w:rPr>
          <w:rFonts w:ascii="仿宋_GB2312" w:hAnsi="仿宋_GB2312" w:eastAsia="仿宋_GB2312"/>
          <w:sz w:val="32"/>
        </w:rPr>
        <w:t>负责退役军人事务局机关日常工作；组织实施</w:t>
      </w:r>
      <w:r>
        <w:rPr>
          <w:rFonts w:hint="eastAsia" w:ascii="仿宋_GB2312" w:hAnsi="仿宋_GB2312" w:eastAsia="仿宋_GB2312"/>
          <w:sz w:val="32"/>
          <w:lang w:eastAsia="zh-CN"/>
        </w:rPr>
        <w:t>退役军人</w:t>
      </w:r>
      <w:r>
        <w:rPr>
          <w:rFonts w:ascii="仿宋_GB2312" w:hAnsi="仿宋_GB2312" w:eastAsia="仿宋_GB2312"/>
          <w:sz w:val="32"/>
        </w:rPr>
        <w:t>思想政治、管理保障等规范性文件，褒扬彰显退役军人为党、国家和人民牺牲奉献的精神风范和价值导向，充分发挥退役军人在社会稳固和长治久安总目标中的作用；负责军队转业干部、复员干部、离退休干部（士官）退役士兵和无军籍退休职工的审核接收安置工作和军队自主择业、就业退役军人服务管理工作，参与配合做好招录退役士兵充实乡镇基层工作；组织指导退役军人教育培训工作；协调扶持退役军人和随军随调家属就业创业。组织指导伤病残退役军人服务管理和抚恤工作，组织实施有关地方性医疗、养老等细则；承担不</w:t>
      </w:r>
      <w:r>
        <w:rPr>
          <w:rFonts w:hint="eastAsia" w:ascii="仿宋_GB2312" w:hAnsi="仿宋_GB2312" w:eastAsia="仿宋_GB2312"/>
          <w:sz w:val="32"/>
          <w:lang w:eastAsia="zh-CN"/>
        </w:rPr>
        <w:t>适宜</w:t>
      </w:r>
      <w:r>
        <w:rPr>
          <w:rFonts w:ascii="仿宋_GB2312" w:hAnsi="仿宋_GB2312" w:eastAsia="仿宋_GB2312"/>
          <w:sz w:val="32"/>
        </w:rPr>
        <w:t>继续服役的</w:t>
      </w:r>
      <w:r>
        <w:rPr>
          <w:rFonts w:hint="eastAsia" w:ascii="仿宋_GB2312" w:hAnsi="仿宋_GB2312" w:eastAsia="仿宋_GB2312"/>
          <w:sz w:val="32"/>
          <w:lang w:eastAsia="zh-CN"/>
        </w:rPr>
        <w:t>伤残</w:t>
      </w:r>
      <w:r>
        <w:rPr>
          <w:rFonts w:ascii="仿宋_GB2312" w:hAnsi="仿宋_GB2312" w:eastAsia="仿宋_GB2312"/>
          <w:sz w:val="32"/>
        </w:rPr>
        <w:t>军人相关工作；提供军供服务保障工作、军休服务管理工作。组织指导乡镇（场）拥军优属工作；负责现役军人、退役军人和军属优待、抚恤等工作。负责本县范围内烈士及退役军人</w:t>
      </w:r>
      <w:r>
        <w:rPr>
          <w:rFonts w:hint="eastAsia" w:ascii="仿宋_GB2312" w:hAnsi="仿宋_GB2312" w:eastAsia="仿宋_GB2312"/>
          <w:sz w:val="32"/>
          <w:lang w:eastAsia="zh-CN"/>
        </w:rPr>
        <w:t>荣誉</w:t>
      </w:r>
      <w:r>
        <w:rPr>
          <w:rFonts w:ascii="仿宋_GB2312" w:hAnsi="仿宋_GB2312" w:eastAsia="仿宋_GB2312"/>
          <w:sz w:val="32"/>
        </w:rPr>
        <w:t>奖励、烈士陵园管理维护、纪念活动等工作；承办县级范围内烈士评定的初审上报工作，依法承担英雄烈士保护相关工作，总结表彰和宣扬退役军人、退役军人工作单位和个人先进事迹。指导并监督检查退役军人相关法律、法规和政策措施的落实；组织指导军人权益维护和有关人员的帮助援助工作。任务承担县退役军人工作领导小组办公室日常工作</w:t>
      </w:r>
      <w:r>
        <w:rPr>
          <w:rFonts w:hint="eastAsia" w:ascii="仿宋_GB2312" w:hAnsi="仿宋_GB2312" w:eastAsia="仿宋_GB2312"/>
          <w:sz w:val="32"/>
          <w:lang w:eastAsia="zh-CN"/>
        </w:rPr>
        <w:t>；</w:t>
      </w:r>
      <w:r>
        <w:rPr>
          <w:rFonts w:ascii="仿宋_GB2312" w:hAnsi="仿宋_GB2312" w:eastAsia="仿宋_GB2312"/>
          <w:sz w:val="32"/>
        </w:rPr>
        <w:t>完成县委、县人民政府和上级退役军人事务部门交办其他工作任务。</w:t>
      </w:r>
    </w:p>
    <w:p w14:paraId="6F2491C8">
      <w:pPr>
        <w:spacing w:line="640" w:lineRule="exact"/>
        <w:ind w:firstLine="640"/>
        <w:jc w:val="both"/>
        <w:outlineLvl w:val="2"/>
      </w:pPr>
      <w:r>
        <w:rPr>
          <w:rFonts w:ascii="黑体" w:hAnsi="黑体" w:eastAsia="黑体"/>
          <w:sz w:val="32"/>
        </w:rPr>
        <w:t>二、机构设置及人员情况</w:t>
      </w:r>
    </w:p>
    <w:p w14:paraId="0A03EFA7">
      <w:pPr>
        <w:spacing w:line="580" w:lineRule="exact"/>
        <w:ind w:firstLine="640"/>
        <w:jc w:val="both"/>
      </w:pPr>
      <w:r>
        <w:rPr>
          <w:rFonts w:ascii="仿宋_GB2312" w:hAnsi="仿宋_GB2312" w:eastAsia="仿宋_GB2312"/>
          <w:sz w:val="32"/>
        </w:rPr>
        <w:t>疏附县退役军人事务局2024年度，实有人数13人，其中：在职人员11人，增加1人；离休人员0人，增加0人；退休人员2人</w:t>
      </w:r>
      <w:r>
        <w:rPr>
          <w:rFonts w:hint="eastAsia" w:ascii="仿宋_GB2312" w:hAnsi="仿宋_GB2312" w:eastAsia="仿宋_GB2312"/>
          <w:sz w:val="32"/>
          <w:lang w:eastAsia="zh-CN"/>
        </w:rPr>
        <w:t>，</w:t>
      </w:r>
      <w:r>
        <w:rPr>
          <w:rFonts w:ascii="仿宋_GB2312" w:hAnsi="仿宋_GB2312" w:eastAsia="仿宋_GB2312"/>
          <w:sz w:val="32"/>
        </w:rPr>
        <w:t>增加1人。</w:t>
      </w:r>
    </w:p>
    <w:p w14:paraId="774C688A">
      <w:pPr>
        <w:spacing w:line="580" w:lineRule="exact"/>
        <w:ind w:firstLine="640"/>
        <w:jc w:val="both"/>
      </w:pPr>
      <w:r>
        <w:rPr>
          <w:rFonts w:ascii="仿宋_GB2312" w:hAnsi="仿宋_GB2312" w:eastAsia="仿宋_GB2312"/>
          <w:sz w:val="32"/>
        </w:rPr>
        <w:t>疏附县退役军人事务局无下属预算单位，下设2个科室，分别是：移交安置股、优抚褒扬股。</w:t>
      </w:r>
    </w:p>
    <w:p w14:paraId="6305A84A">
      <w:r>
        <w:br w:type="page"/>
      </w:r>
    </w:p>
    <w:p w14:paraId="30D07DA7">
      <w:pPr>
        <w:spacing w:line="240" w:lineRule="auto"/>
        <w:jc w:val="center"/>
        <w:outlineLvl w:val="1"/>
      </w:pPr>
      <w:r>
        <w:rPr>
          <w:rFonts w:ascii="黑体" w:hAnsi="黑体" w:eastAsia="黑体"/>
          <w:sz w:val="32"/>
        </w:rPr>
        <w:t>第二部分 部门决算情况说明</w:t>
      </w:r>
    </w:p>
    <w:p w14:paraId="3D9540C1">
      <w:pPr>
        <w:spacing w:line="640" w:lineRule="exact"/>
        <w:ind w:firstLine="640"/>
        <w:jc w:val="both"/>
        <w:outlineLvl w:val="2"/>
      </w:pPr>
      <w:r>
        <w:rPr>
          <w:rFonts w:ascii="黑体" w:hAnsi="黑体" w:eastAsia="黑体"/>
          <w:sz w:val="32"/>
        </w:rPr>
        <w:t>一、收入支出决算总体情况说明</w:t>
      </w:r>
    </w:p>
    <w:p w14:paraId="3E667071">
      <w:pPr>
        <w:spacing w:line="580" w:lineRule="exact"/>
        <w:ind w:firstLine="640"/>
        <w:jc w:val="both"/>
      </w:pPr>
      <w:r>
        <w:rPr>
          <w:rFonts w:ascii="仿宋_GB2312" w:hAnsi="仿宋_GB2312" w:eastAsia="仿宋_GB2312"/>
          <w:b/>
          <w:sz w:val="32"/>
        </w:rPr>
        <w:t>2024年度收入总计662.66万元，</w:t>
      </w:r>
      <w:r>
        <w:rPr>
          <w:rFonts w:ascii="仿宋_GB2312" w:hAnsi="仿宋_GB2312" w:eastAsia="仿宋_GB2312"/>
          <w:b w:val="0"/>
          <w:sz w:val="32"/>
        </w:rPr>
        <w:t>其中：本年收入合计662.66万元，使用非财政拨款结余（含专用结余）0.00万元，年初结转和结余0.00万元。</w:t>
      </w:r>
    </w:p>
    <w:p w14:paraId="17D8DF10">
      <w:pPr>
        <w:spacing w:line="580" w:lineRule="exact"/>
        <w:ind w:firstLine="640"/>
        <w:jc w:val="both"/>
      </w:pPr>
      <w:r>
        <w:rPr>
          <w:rFonts w:ascii="仿宋_GB2312" w:hAnsi="仿宋_GB2312" w:eastAsia="仿宋_GB2312"/>
          <w:b/>
          <w:sz w:val="32"/>
        </w:rPr>
        <w:t>2024年度支出总计662.66万元，</w:t>
      </w:r>
      <w:r>
        <w:rPr>
          <w:rFonts w:ascii="仿宋_GB2312" w:hAnsi="仿宋_GB2312" w:eastAsia="仿宋_GB2312"/>
          <w:b w:val="0"/>
          <w:sz w:val="32"/>
        </w:rPr>
        <w:t>其中：本年支出合计662.66万元，结余分配0.00万元，年末结转和结余0.00万元。</w:t>
      </w:r>
    </w:p>
    <w:p w14:paraId="7B32EAB1">
      <w:pPr>
        <w:spacing w:line="580" w:lineRule="exact"/>
        <w:ind w:firstLine="640"/>
        <w:jc w:val="both"/>
      </w:pPr>
      <w:r>
        <w:rPr>
          <w:rFonts w:ascii="仿宋_GB2312" w:hAnsi="仿宋_GB2312" w:eastAsia="仿宋_GB2312"/>
          <w:b w:val="0"/>
          <w:sz w:val="32"/>
        </w:rPr>
        <w:t>收入支出总体与上年相比，增加14.15万元，增长2.18%，主要原因是：本年在职人员工资调增，社保、公积金基数调增，人员经费增加。</w:t>
      </w:r>
    </w:p>
    <w:p w14:paraId="4CFC8C1E">
      <w:pPr>
        <w:spacing w:line="640" w:lineRule="exact"/>
        <w:ind w:firstLine="640"/>
        <w:jc w:val="both"/>
        <w:outlineLvl w:val="2"/>
      </w:pPr>
      <w:r>
        <w:rPr>
          <w:rFonts w:ascii="黑体" w:hAnsi="黑体" w:eastAsia="黑体"/>
          <w:sz w:val="32"/>
        </w:rPr>
        <w:t>二、收入决算情况说明</w:t>
      </w:r>
    </w:p>
    <w:p w14:paraId="6EE4FBF8">
      <w:pPr>
        <w:spacing w:line="580" w:lineRule="exact"/>
        <w:ind w:firstLine="640"/>
        <w:jc w:val="both"/>
      </w:pPr>
      <w:r>
        <w:rPr>
          <w:rFonts w:ascii="仿宋_GB2312" w:hAnsi="仿宋_GB2312" w:eastAsia="仿宋_GB2312"/>
          <w:b/>
          <w:sz w:val="32"/>
        </w:rPr>
        <w:t>本年收入662.66万元，</w:t>
      </w:r>
      <w:r>
        <w:rPr>
          <w:rFonts w:ascii="仿宋_GB2312" w:hAnsi="仿宋_GB2312" w:eastAsia="仿宋_GB2312"/>
          <w:b w:val="0"/>
          <w:sz w:val="32"/>
        </w:rPr>
        <w:t>其中：财政拨款收入662.66万元，占100.00%；上级补助收入0.00万元，占0.00%；事业收入0.00万元，占0.00%；经营收入0.00万元，占0.00%；附属单位上缴收入0.00万元，占0.00%；其他收入0.00万元，占0.00%。</w:t>
      </w:r>
    </w:p>
    <w:p w14:paraId="1DA9E2C9">
      <w:pPr>
        <w:spacing w:line="640" w:lineRule="exact"/>
        <w:ind w:firstLine="640"/>
        <w:jc w:val="both"/>
        <w:outlineLvl w:val="2"/>
      </w:pPr>
      <w:r>
        <w:rPr>
          <w:rFonts w:ascii="黑体" w:hAnsi="黑体" w:eastAsia="黑体"/>
          <w:sz w:val="32"/>
        </w:rPr>
        <w:t>三、支出决算情况说明</w:t>
      </w:r>
    </w:p>
    <w:p w14:paraId="35877684">
      <w:pPr>
        <w:spacing w:line="580" w:lineRule="exact"/>
        <w:ind w:firstLine="640"/>
        <w:jc w:val="both"/>
      </w:pPr>
      <w:r>
        <w:rPr>
          <w:rFonts w:ascii="仿宋_GB2312" w:hAnsi="仿宋_GB2312" w:eastAsia="仿宋_GB2312"/>
          <w:b/>
          <w:sz w:val="32"/>
        </w:rPr>
        <w:t>本年支出662.66万元，</w:t>
      </w:r>
      <w:r>
        <w:rPr>
          <w:rFonts w:ascii="仿宋_GB2312" w:hAnsi="仿宋_GB2312" w:eastAsia="仿宋_GB2312"/>
          <w:b w:val="0"/>
          <w:sz w:val="32"/>
        </w:rPr>
        <w:t>其中：基本支出197.04万元，占29.73%；项目支出465.62万元，占70.27%；上缴上级支出0.00万元，占0.00%；经营支出0.00万元，占0.00%；对附属单位补助支出0.00万元，占0.00%。</w:t>
      </w:r>
    </w:p>
    <w:p w14:paraId="264BBC26">
      <w:pPr>
        <w:spacing w:line="640" w:lineRule="exact"/>
        <w:ind w:firstLine="640"/>
        <w:jc w:val="both"/>
        <w:outlineLvl w:val="2"/>
      </w:pPr>
      <w:r>
        <w:rPr>
          <w:rFonts w:ascii="黑体" w:hAnsi="黑体" w:eastAsia="黑体"/>
          <w:sz w:val="32"/>
        </w:rPr>
        <w:t>四、财政拨款收入支出决算总体情况说明</w:t>
      </w:r>
    </w:p>
    <w:p w14:paraId="7C680370">
      <w:pPr>
        <w:spacing w:line="580" w:lineRule="exact"/>
        <w:ind w:firstLine="640"/>
        <w:jc w:val="both"/>
      </w:pPr>
      <w:r>
        <w:rPr>
          <w:rFonts w:ascii="仿宋_GB2312" w:hAnsi="仿宋_GB2312" w:eastAsia="仿宋_GB2312"/>
          <w:b/>
          <w:sz w:val="32"/>
        </w:rPr>
        <w:t>2024年度财政拨款收入总计662.66万元，</w:t>
      </w:r>
      <w:r>
        <w:rPr>
          <w:rFonts w:ascii="仿宋_GB2312" w:hAnsi="仿宋_GB2312" w:eastAsia="仿宋_GB2312"/>
          <w:b w:val="0"/>
          <w:sz w:val="32"/>
        </w:rPr>
        <w:t>其中：年初财政拨款结转和结余0.00万元，本年财政拨款收入662.66万元。</w:t>
      </w:r>
      <w:r>
        <w:rPr>
          <w:rFonts w:ascii="仿宋_GB2312" w:hAnsi="仿宋_GB2312" w:eastAsia="仿宋_GB2312"/>
          <w:b/>
          <w:sz w:val="32"/>
        </w:rPr>
        <w:t>财政拨款支出总计662.66万元，</w:t>
      </w:r>
      <w:r>
        <w:rPr>
          <w:rFonts w:ascii="仿宋_GB2312" w:hAnsi="仿宋_GB2312" w:eastAsia="仿宋_GB2312"/>
          <w:b w:val="0"/>
          <w:sz w:val="32"/>
        </w:rPr>
        <w:t>其中：年末财政拨款结转和结余0.00万元，本年财政拨款支出662.66万元。</w:t>
      </w:r>
    </w:p>
    <w:p w14:paraId="2C5545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增加14.15万元，增长2.18%，主要原因是：本年在职人员工资调增，社保、公积金基数调增，人员经费增加。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年初预算数603.13万元，决算数662.66万元，预决算差异率9.87%，主要原因是：年中追加人员工资、社保、公积金基数调增部分资金，导致预决算存在差异。</w:t>
      </w:r>
    </w:p>
    <w:p w14:paraId="2624D597">
      <w:pPr>
        <w:spacing w:line="640" w:lineRule="exact"/>
        <w:ind w:firstLine="640"/>
        <w:jc w:val="both"/>
        <w:outlineLvl w:val="2"/>
      </w:pPr>
      <w:r>
        <w:rPr>
          <w:rFonts w:ascii="黑体" w:hAnsi="黑体" w:eastAsia="黑体"/>
          <w:sz w:val="32"/>
        </w:rPr>
        <w:t>五、一般公共预算财政拨款支出决算情况说明</w:t>
      </w:r>
    </w:p>
    <w:p w14:paraId="3F4C09F2">
      <w:pPr>
        <w:spacing w:line="640" w:lineRule="exact"/>
        <w:ind w:firstLine="640"/>
        <w:jc w:val="both"/>
        <w:outlineLvl w:val="3"/>
      </w:pPr>
      <w:r>
        <w:rPr>
          <w:rFonts w:ascii="楷体_GB2312" w:hAnsi="楷体_GB2312" w:eastAsia="楷体_GB2312"/>
          <w:b/>
          <w:sz w:val="32"/>
        </w:rPr>
        <w:t>（一）一般公共预算财政拨款支出决算总体情况</w:t>
      </w:r>
    </w:p>
    <w:p w14:paraId="2E2AEF73">
      <w:pPr>
        <w:spacing w:line="580" w:lineRule="exact"/>
        <w:ind w:firstLine="640"/>
        <w:jc w:val="both"/>
      </w:pPr>
      <w:r>
        <w:rPr>
          <w:rFonts w:ascii="仿宋_GB2312" w:hAnsi="仿宋_GB2312" w:eastAsia="仿宋_GB2312"/>
          <w:b/>
          <w:sz w:val="32"/>
        </w:rPr>
        <w:t>2024年度一般公共预算财政拨款支出662.66万元，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增加14.15万元，增长2.18%，主要原因是：本年在职人员工资调增，社保、公积金基数调增，人员经费增加。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年初预算数603.13万元，决算数662.66万元，预决算差异率9.87%，主要原因是：年中追加人员工资、社保、公积金基数调增部分资金，导致预决算存在差异。</w:t>
      </w:r>
    </w:p>
    <w:p w14:paraId="75890E5C">
      <w:pPr>
        <w:spacing w:line="640" w:lineRule="exact"/>
        <w:ind w:firstLine="640"/>
        <w:jc w:val="both"/>
        <w:outlineLvl w:val="3"/>
      </w:pPr>
      <w:r>
        <w:rPr>
          <w:rFonts w:ascii="楷体_GB2312" w:hAnsi="楷体_GB2312" w:eastAsia="楷体_GB2312"/>
          <w:b/>
          <w:sz w:val="32"/>
        </w:rPr>
        <w:t>（二）一般公共预算财政拨款支出决算结构情况</w:t>
      </w:r>
    </w:p>
    <w:p w14:paraId="32F446EF">
      <w:pPr>
        <w:spacing w:line="580" w:lineRule="exact"/>
        <w:ind w:firstLine="640"/>
        <w:jc w:val="both"/>
      </w:pPr>
      <w:r>
        <w:rPr>
          <w:rFonts w:ascii="仿宋_GB2312" w:hAnsi="仿宋_GB2312" w:eastAsia="仿宋_GB2312"/>
          <w:b w:val="0"/>
          <w:sz w:val="32"/>
        </w:rPr>
        <w:t>1.社会保障和就业支出(类)633.93万元</w:t>
      </w:r>
      <w:r>
        <w:rPr>
          <w:rFonts w:hint="eastAsia" w:ascii="仿宋_GB2312" w:hAnsi="仿宋_GB2312" w:eastAsia="仿宋_GB2312"/>
          <w:b w:val="0"/>
          <w:sz w:val="32"/>
          <w:lang w:eastAsia="zh-CN"/>
        </w:rPr>
        <w:t>，</w:t>
      </w:r>
      <w:r>
        <w:rPr>
          <w:rFonts w:ascii="仿宋_GB2312" w:hAnsi="仿宋_GB2312" w:eastAsia="仿宋_GB2312"/>
          <w:b w:val="0"/>
          <w:sz w:val="32"/>
        </w:rPr>
        <w:t>占95.66%。</w:t>
      </w:r>
    </w:p>
    <w:p w14:paraId="3ED33F5B">
      <w:pPr>
        <w:spacing w:line="580" w:lineRule="exact"/>
        <w:ind w:firstLine="640"/>
        <w:jc w:val="both"/>
      </w:pPr>
      <w:r>
        <w:rPr>
          <w:rFonts w:ascii="仿宋_GB2312" w:hAnsi="仿宋_GB2312" w:eastAsia="仿宋_GB2312"/>
          <w:b w:val="0"/>
          <w:sz w:val="32"/>
        </w:rPr>
        <w:t>2.卫生健康支出(类)12.12万元</w:t>
      </w:r>
      <w:r>
        <w:rPr>
          <w:rFonts w:hint="eastAsia" w:ascii="仿宋_GB2312" w:hAnsi="仿宋_GB2312" w:eastAsia="仿宋_GB2312"/>
          <w:b w:val="0"/>
          <w:sz w:val="32"/>
          <w:lang w:eastAsia="zh-CN"/>
        </w:rPr>
        <w:t>，</w:t>
      </w:r>
      <w:r>
        <w:rPr>
          <w:rFonts w:ascii="仿宋_GB2312" w:hAnsi="仿宋_GB2312" w:eastAsia="仿宋_GB2312"/>
          <w:b w:val="0"/>
          <w:sz w:val="32"/>
        </w:rPr>
        <w:t>占1.83%。</w:t>
      </w:r>
    </w:p>
    <w:p w14:paraId="0167A59B">
      <w:pPr>
        <w:spacing w:line="580" w:lineRule="exact"/>
        <w:ind w:firstLine="640"/>
        <w:jc w:val="both"/>
      </w:pPr>
      <w:r>
        <w:rPr>
          <w:rFonts w:ascii="仿宋_GB2312" w:hAnsi="仿宋_GB2312" w:eastAsia="仿宋_GB2312"/>
          <w:b w:val="0"/>
          <w:sz w:val="32"/>
        </w:rPr>
        <w:t>3.住房保障支出(类)14.75万元</w:t>
      </w:r>
      <w:r>
        <w:rPr>
          <w:rFonts w:hint="eastAsia" w:ascii="仿宋_GB2312" w:hAnsi="仿宋_GB2312" w:eastAsia="仿宋_GB2312"/>
          <w:b w:val="0"/>
          <w:sz w:val="32"/>
          <w:lang w:eastAsia="zh-CN"/>
        </w:rPr>
        <w:t>，</w:t>
      </w:r>
      <w:r>
        <w:rPr>
          <w:rFonts w:ascii="仿宋_GB2312" w:hAnsi="仿宋_GB2312" w:eastAsia="仿宋_GB2312"/>
          <w:b w:val="0"/>
          <w:sz w:val="32"/>
        </w:rPr>
        <w:t>占2.23%。</w:t>
      </w:r>
    </w:p>
    <w:p w14:paraId="399A7F59">
      <w:pPr>
        <w:spacing w:line="580" w:lineRule="exact"/>
        <w:ind w:firstLine="640"/>
        <w:jc w:val="both"/>
      </w:pPr>
      <w:r>
        <w:rPr>
          <w:rFonts w:ascii="仿宋_GB2312" w:hAnsi="仿宋_GB2312" w:eastAsia="仿宋_GB2312"/>
          <w:b w:val="0"/>
          <w:sz w:val="32"/>
        </w:rPr>
        <w:t>4.其他支出(类)1.86万元</w:t>
      </w:r>
      <w:r>
        <w:rPr>
          <w:rFonts w:hint="eastAsia" w:ascii="仿宋_GB2312" w:hAnsi="仿宋_GB2312" w:eastAsia="仿宋_GB2312"/>
          <w:b w:val="0"/>
          <w:sz w:val="32"/>
          <w:lang w:eastAsia="zh-CN"/>
        </w:rPr>
        <w:t>，</w:t>
      </w:r>
      <w:r>
        <w:rPr>
          <w:rFonts w:ascii="仿宋_GB2312" w:hAnsi="仿宋_GB2312" w:eastAsia="仿宋_GB2312"/>
          <w:b w:val="0"/>
          <w:sz w:val="32"/>
        </w:rPr>
        <w:t>占0.28%。</w:t>
      </w:r>
    </w:p>
    <w:p w14:paraId="06DE0065">
      <w:pPr>
        <w:spacing w:line="640" w:lineRule="exact"/>
        <w:ind w:firstLine="640"/>
        <w:jc w:val="both"/>
        <w:outlineLvl w:val="3"/>
      </w:pPr>
      <w:r>
        <w:rPr>
          <w:rFonts w:ascii="楷体_GB2312" w:hAnsi="楷体_GB2312" w:eastAsia="楷体_GB2312"/>
          <w:b/>
          <w:sz w:val="32"/>
        </w:rPr>
        <w:t>（三）一般公共预算财政拨款支出决算具体情况</w:t>
      </w:r>
    </w:p>
    <w:p w14:paraId="0632B232">
      <w:pPr>
        <w:spacing w:line="580" w:lineRule="exact"/>
        <w:ind w:firstLine="640"/>
        <w:jc w:val="both"/>
      </w:pPr>
      <w:r>
        <w:rPr>
          <w:rFonts w:ascii="仿宋_GB2312" w:hAnsi="仿宋_GB2312" w:eastAsia="仿宋_GB2312"/>
          <w:b w:val="0"/>
          <w:sz w:val="32"/>
        </w:rPr>
        <w:t>1.社会保障和就业支出(类)人力资源和社会保障管理事务(款)行政运行(项)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支出决算数为0.00万元，比上年决算减少5.71万元，下降100.00%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主要原因是：本年科目调整，人员津贴、补贴调整至主科目列支，经费减少。</w:t>
      </w:r>
    </w:p>
    <w:p w14:paraId="16094896">
      <w:pPr>
        <w:spacing w:line="580" w:lineRule="exact"/>
        <w:ind w:firstLine="640"/>
        <w:jc w:val="both"/>
      </w:pPr>
      <w:r>
        <w:rPr>
          <w:rFonts w:ascii="仿宋_GB2312" w:hAnsi="仿宋_GB2312" w:eastAsia="仿宋_GB2312"/>
          <w:b w:val="0"/>
          <w:sz w:val="32"/>
        </w:rPr>
        <w:t>2.社会保障和就业支出(类)行政事业单位养老支出(款)行政单位离退休(项)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支出决算数为2.39万元，比上年决算增加0.99万元，增长70.71%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主要原因是：本年退休人员增加，退休费支出增加。</w:t>
      </w:r>
    </w:p>
    <w:p w14:paraId="72C56AC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支出决算数为18.61万元，比上年决算增加1.39万元，增长8.07%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FAEEEE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支出决算数为7.65万元，比上年决算增加3.26万元，增长74.26%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13B7ECCC">
      <w:pPr>
        <w:spacing w:line="580" w:lineRule="exact"/>
        <w:ind w:firstLine="640"/>
        <w:jc w:val="both"/>
      </w:pPr>
      <w:r>
        <w:rPr>
          <w:rFonts w:ascii="仿宋_GB2312" w:hAnsi="仿宋_GB2312" w:eastAsia="仿宋_GB2312"/>
          <w:b w:val="0"/>
          <w:sz w:val="32"/>
        </w:rPr>
        <w:t>5.社会保障和就业支出(类)抚恤(款)义务兵优待(项)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支出决算数为157.06万元，比上年决算增加0.66万元，增长0.42%</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主要原因是：2024年入伍人员较上年增加、持有高原证明的退役士兵增加、消防士人员增加，导致义务兵优待金支出较上年增加。</w:t>
      </w:r>
    </w:p>
    <w:p w14:paraId="2BFCB611">
      <w:pPr>
        <w:spacing w:line="580" w:lineRule="exact"/>
        <w:ind w:firstLine="640"/>
        <w:jc w:val="both"/>
      </w:pPr>
      <w:r>
        <w:rPr>
          <w:rFonts w:ascii="仿宋_GB2312" w:hAnsi="仿宋_GB2312" w:eastAsia="仿宋_GB2312"/>
          <w:b w:val="0"/>
          <w:sz w:val="32"/>
        </w:rPr>
        <w:t>6.社会保障和就业支出(类)抚恤(款)其他优抚支出(项)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支出决算数为229.43万元，比上年决算增加5.67万元，增长2.53%</w:t>
      </w:r>
      <w:r>
        <w:rPr>
          <w:rFonts w:hint="eastAsia" w:ascii="仿宋_GB2312" w:hAnsi="仿宋_GB2312" w:eastAsia="仿宋_GB2312"/>
          <w:b w:val="0"/>
          <w:sz w:val="32"/>
          <w:lang w:eastAsia="zh-CN"/>
        </w:rPr>
        <w:t>，</w:t>
      </w:r>
      <w:r>
        <w:rPr>
          <w:rFonts w:ascii="仿宋_GB2312" w:hAnsi="仿宋_GB2312" w:eastAsia="仿宋_GB2312"/>
          <w:b w:val="0"/>
          <w:sz w:val="32"/>
        </w:rPr>
        <w:t>主要原因是：符合领取60岁农村籍退役士兵生活补助的优抚对象人员增加，导致该项支出较上年增加。</w:t>
      </w:r>
    </w:p>
    <w:p w14:paraId="0F96FEE0">
      <w:pPr>
        <w:spacing w:line="580" w:lineRule="exact"/>
        <w:ind w:firstLine="640"/>
        <w:jc w:val="both"/>
      </w:pPr>
      <w:r>
        <w:rPr>
          <w:rFonts w:ascii="仿宋_GB2312" w:hAnsi="仿宋_GB2312" w:eastAsia="仿宋_GB2312"/>
          <w:b w:val="0"/>
          <w:sz w:val="32"/>
        </w:rPr>
        <w:t>7.社会保障和就业支出(类)退役安置(款)退役士兵安置(项)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支出决算数为49.95万元，比上年决算增加49.95万元，增长100.00%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主要原因是：本年科目调整，退役士兵一次性经济补助项目由其他退役安置支出科目调整至退役安置支出科目列支，导致支出较上年增加。</w:t>
      </w:r>
    </w:p>
    <w:p w14:paraId="65A0134F">
      <w:pPr>
        <w:spacing w:line="580" w:lineRule="exact"/>
        <w:ind w:firstLine="640"/>
        <w:jc w:val="both"/>
      </w:pPr>
      <w:r>
        <w:rPr>
          <w:rFonts w:ascii="仿宋_GB2312" w:hAnsi="仿宋_GB2312" w:eastAsia="仿宋_GB2312"/>
          <w:b w:val="0"/>
          <w:sz w:val="32"/>
        </w:rPr>
        <w:t>8.社会保障和就业支出(类)退役安置(款)军队移交政府的离退休人员安置(项)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支出决算数为4.00万元，比上年决算减少7.77万元，下降66.02%</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主要原因是：2024年退役安置补助经费支出减少。</w:t>
      </w:r>
    </w:p>
    <w:p w14:paraId="5DA6DB9B">
      <w:pPr>
        <w:spacing w:line="580" w:lineRule="exact"/>
        <w:ind w:firstLine="640"/>
        <w:jc w:val="both"/>
      </w:pPr>
      <w:r>
        <w:rPr>
          <w:rFonts w:ascii="仿宋_GB2312" w:hAnsi="仿宋_GB2312" w:eastAsia="仿宋_GB2312"/>
          <w:b w:val="0"/>
          <w:sz w:val="32"/>
        </w:rPr>
        <w:t>9.社会保障和就业支出(类)退役安置(款)军队移交政府离退休干部管理机构(项)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支出决算数为0.00万元，比上年决算减少0.88万元，下降100.00%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主要原因是：本年功能科目调整，军休干部服务管理经费上年度在此科目列支，本年在军队转业干部安置科目列支，导致经费较上年减少。</w:t>
      </w:r>
    </w:p>
    <w:p w14:paraId="76B50887">
      <w:pPr>
        <w:spacing w:line="580" w:lineRule="exact"/>
        <w:ind w:firstLine="640"/>
        <w:jc w:val="both"/>
      </w:pPr>
      <w:r>
        <w:rPr>
          <w:rFonts w:ascii="仿宋_GB2312" w:hAnsi="仿宋_GB2312" w:eastAsia="仿宋_GB2312"/>
          <w:b w:val="0"/>
          <w:sz w:val="32"/>
        </w:rPr>
        <w:t>10.社会保障和就业支出(类)退役安置(款)军队转业干部安置(项)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支出决算数为9.08万元，比上年决算减少1.19万元，下降11.59%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主要原因是：本年度军队转业安置经费较上年减少。</w:t>
      </w:r>
    </w:p>
    <w:p w14:paraId="5781169F">
      <w:pPr>
        <w:spacing w:line="580" w:lineRule="exact"/>
        <w:ind w:firstLine="640"/>
        <w:jc w:val="both"/>
      </w:pPr>
      <w:r>
        <w:rPr>
          <w:rFonts w:ascii="仿宋_GB2312" w:hAnsi="仿宋_GB2312" w:eastAsia="仿宋_GB2312"/>
          <w:b w:val="0"/>
          <w:sz w:val="32"/>
        </w:rPr>
        <w:t>11.社会保障和就业支出(类)退役安置(款)其他退役安置支出(项)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支出决算数为11.45万元，比上年决算减少31.78万元，下降73.51%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主要原因是：本年科目调整，退役士兵一次性经济补助项目由其他退役安置支出科目调整至退役安置支出科目列支，导致支出较上年减少。</w:t>
      </w:r>
    </w:p>
    <w:p w14:paraId="10CD9BAE">
      <w:pPr>
        <w:spacing w:line="580" w:lineRule="exact"/>
        <w:ind w:firstLine="640"/>
        <w:jc w:val="both"/>
      </w:pPr>
      <w:r>
        <w:rPr>
          <w:rFonts w:ascii="仿宋_GB2312" w:hAnsi="仿宋_GB2312" w:eastAsia="仿宋_GB2312"/>
          <w:b w:val="0"/>
          <w:sz w:val="32"/>
        </w:rPr>
        <w:t>12.社会保障和就业支出(类)退役军人管理事务(款)行政运行(项)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支出决算数为144.33万元，比上年决算减少0.06万元，下降0.04%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主要原因是：本年在职人员调入调出，人员职级不同，工资基数不同，导致人员经费较上年减少。</w:t>
      </w:r>
    </w:p>
    <w:p w14:paraId="46F230E1">
      <w:pPr>
        <w:spacing w:line="580" w:lineRule="exact"/>
        <w:ind w:firstLine="640"/>
        <w:jc w:val="both"/>
      </w:pPr>
      <w:r>
        <w:rPr>
          <w:rFonts w:ascii="仿宋_GB2312" w:hAnsi="仿宋_GB2312" w:eastAsia="仿宋_GB2312"/>
          <w:b w:val="0"/>
          <w:sz w:val="32"/>
        </w:rPr>
        <w:t>13.卫生健康支出(类)行政事业单位医疗(款)行政单位医疗(项)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支出决算数为7.91万元，比上年决算增加0.61万元，增长8.36%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31AE9DC0">
      <w:pPr>
        <w:spacing w:line="580" w:lineRule="exact"/>
        <w:ind w:firstLine="640"/>
        <w:jc w:val="both"/>
      </w:pPr>
      <w:r>
        <w:rPr>
          <w:rFonts w:ascii="仿宋_GB2312" w:hAnsi="仿宋_GB2312" w:eastAsia="仿宋_GB2312"/>
          <w:b w:val="0"/>
          <w:sz w:val="32"/>
        </w:rPr>
        <w:t>14.卫生健康支出(类)行政事业单位医疗(款)公务员医疗补助(项)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支出决算数为1.41万元，比上年决算增加0.06万元，增长4.44%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1D462D3A">
      <w:pPr>
        <w:spacing w:line="580" w:lineRule="exact"/>
        <w:ind w:firstLine="640"/>
        <w:jc w:val="both"/>
      </w:pPr>
      <w:r>
        <w:rPr>
          <w:rFonts w:ascii="仿宋_GB2312" w:hAnsi="仿宋_GB2312" w:eastAsia="仿宋_GB2312"/>
          <w:b w:val="0"/>
          <w:sz w:val="32"/>
        </w:rPr>
        <w:t>15.卫生健康支出(类)优抚对象医疗(款)优抚对象医疗补助(项)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支出决算数为2.80万元，比上年决算增加1.52万元，增长118.75%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主要原因是：本年重点优抚对象中住院治疗的人员较上年增加，报销住院治疗费用较上年增加，导致本年支出增加。</w:t>
      </w:r>
    </w:p>
    <w:p w14:paraId="25E48AC8">
      <w:pPr>
        <w:spacing w:line="580" w:lineRule="exact"/>
        <w:ind w:firstLine="640"/>
        <w:jc w:val="both"/>
      </w:pPr>
      <w:r>
        <w:rPr>
          <w:rFonts w:ascii="仿宋_GB2312" w:hAnsi="仿宋_GB2312" w:eastAsia="仿宋_GB2312"/>
          <w:b w:val="0"/>
          <w:sz w:val="32"/>
        </w:rPr>
        <w:t>16.卫生健康支出(类)优抚对象医疗(款)其他优抚对象医疗支出(项)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支出决算数为0.00万元，比上年决算减少0.80万元，下降100.00%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主要原因是：本年功能科目调整，优抚对象医疗保障项目上年度在该科目列支，本年在优抚对象医疗补助科目列支，导致经费较上年减少。</w:t>
      </w:r>
    </w:p>
    <w:p w14:paraId="519C2286">
      <w:pPr>
        <w:spacing w:line="580" w:lineRule="exact"/>
        <w:ind w:firstLine="640"/>
        <w:jc w:val="both"/>
      </w:pPr>
      <w:r>
        <w:rPr>
          <w:rFonts w:ascii="仿宋_GB2312" w:hAnsi="仿宋_GB2312" w:eastAsia="仿宋_GB2312"/>
          <w:b w:val="0"/>
          <w:sz w:val="32"/>
        </w:rPr>
        <w:t>17.住房保障支出(类)住房改革支出(款)住房公积金(项)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支出决算数为14.75万元，比上年决算增加0.02万元，增长0.14%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6109DD00">
      <w:pPr>
        <w:spacing w:line="580" w:lineRule="exact"/>
        <w:ind w:firstLine="640"/>
        <w:jc w:val="both"/>
      </w:pPr>
      <w:r>
        <w:rPr>
          <w:rFonts w:ascii="仿宋_GB2312" w:hAnsi="仿宋_GB2312" w:eastAsia="仿宋_GB2312"/>
          <w:b w:val="0"/>
          <w:sz w:val="32"/>
        </w:rPr>
        <w:t>18.其他支出(类)其他支出(款)其他支出(项)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支出决算数为1.86万元，比上年决算减少1.77万元，下降48.76%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主要原因是：本年为民办实事项目经费减少。</w:t>
      </w:r>
    </w:p>
    <w:p w14:paraId="6CF2D49F">
      <w:pPr>
        <w:spacing w:line="640" w:lineRule="exact"/>
        <w:ind w:firstLine="640"/>
        <w:jc w:val="both"/>
        <w:outlineLvl w:val="2"/>
      </w:pPr>
      <w:r>
        <w:rPr>
          <w:rFonts w:ascii="黑体" w:hAnsi="黑体" w:eastAsia="黑体"/>
          <w:sz w:val="32"/>
        </w:rPr>
        <w:t>六、一般公共预算财政拨款基本支出决算情况说明</w:t>
      </w:r>
    </w:p>
    <w:p w14:paraId="77934497">
      <w:pPr>
        <w:spacing w:line="580" w:lineRule="exact"/>
        <w:ind w:firstLine="640"/>
        <w:jc w:val="both"/>
      </w:pPr>
      <w:r>
        <w:rPr>
          <w:rFonts w:ascii="仿宋_GB2312" w:hAnsi="仿宋_GB2312" w:eastAsia="仿宋_GB2312"/>
          <w:b w:val="0"/>
          <w:sz w:val="32"/>
        </w:rPr>
        <w:t>2024年度一般公共预算财政拨款基本支出197.04万元，其中：</w:t>
      </w:r>
      <w:r>
        <w:rPr>
          <w:rFonts w:ascii="仿宋_GB2312" w:hAnsi="仿宋_GB2312" w:eastAsia="仿宋_GB2312"/>
          <w:b/>
          <w:sz w:val="32"/>
        </w:rPr>
        <w:t>人员经费194.35万元，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3FFC3AE9">
      <w:pPr>
        <w:spacing w:line="580" w:lineRule="exact"/>
        <w:ind w:firstLine="640"/>
        <w:jc w:val="both"/>
      </w:pPr>
      <w:r>
        <w:rPr>
          <w:rFonts w:ascii="仿宋_GB2312" w:hAnsi="仿宋_GB2312" w:eastAsia="仿宋_GB2312"/>
          <w:b/>
          <w:sz w:val="32"/>
        </w:rPr>
        <w:t>公用经费2.69万元，</w:t>
      </w:r>
      <w:r>
        <w:rPr>
          <w:rFonts w:ascii="仿宋_GB2312" w:hAnsi="仿宋_GB2312" w:eastAsia="仿宋_GB2312"/>
          <w:b w:val="0"/>
          <w:sz w:val="32"/>
        </w:rPr>
        <w:t>包括：办公费、水费、邮电费、取暖费、差旅费、公务用车运行维护费。</w:t>
      </w:r>
    </w:p>
    <w:p w14:paraId="5F6C7E22">
      <w:pPr>
        <w:spacing w:line="640" w:lineRule="exact"/>
        <w:ind w:firstLine="640"/>
        <w:jc w:val="both"/>
        <w:outlineLvl w:val="2"/>
      </w:pPr>
      <w:r>
        <w:rPr>
          <w:rFonts w:ascii="黑体" w:hAnsi="黑体" w:eastAsia="黑体"/>
          <w:sz w:val="32"/>
        </w:rPr>
        <w:t>七、政府性基金预算财政拨款收入支出决算情况说明</w:t>
      </w:r>
    </w:p>
    <w:p w14:paraId="117B805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044B028">
      <w:pPr>
        <w:spacing w:line="640" w:lineRule="exact"/>
        <w:ind w:firstLine="640"/>
        <w:jc w:val="both"/>
        <w:outlineLvl w:val="2"/>
      </w:pPr>
      <w:r>
        <w:rPr>
          <w:rFonts w:ascii="黑体" w:hAnsi="黑体" w:eastAsia="黑体"/>
          <w:sz w:val="32"/>
        </w:rPr>
        <w:t>八、国有资本经营预算财政拨款收入支出决算情况说明</w:t>
      </w:r>
    </w:p>
    <w:p w14:paraId="345194B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872812">
      <w:pPr>
        <w:spacing w:line="640" w:lineRule="exact"/>
        <w:ind w:firstLine="640"/>
        <w:jc w:val="both"/>
        <w:outlineLvl w:val="2"/>
      </w:pPr>
      <w:r>
        <w:rPr>
          <w:rFonts w:ascii="黑体" w:hAnsi="黑体" w:eastAsia="黑体"/>
          <w:sz w:val="32"/>
        </w:rPr>
        <w:t>九、财政拨款“三公”经费支出决算情况说明</w:t>
      </w:r>
    </w:p>
    <w:p w14:paraId="6C7FEE9B">
      <w:pPr>
        <w:spacing w:line="580" w:lineRule="exact"/>
        <w:ind w:firstLine="640"/>
        <w:jc w:val="both"/>
      </w:pPr>
      <w:r>
        <w:rPr>
          <w:rFonts w:ascii="仿宋_GB2312" w:hAnsi="仿宋_GB2312" w:eastAsia="仿宋_GB2312"/>
          <w:b/>
          <w:sz w:val="32"/>
        </w:rPr>
        <w:t>2024年度财政拨款“三公”经费支出0.03万元，</w:t>
      </w:r>
      <w:r>
        <w:rPr>
          <w:rFonts w:ascii="仿宋_GB2312" w:hAnsi="仿宋_GB2312" w:eastAsia="仿宋_GB2312"/>
          <w:b w:val="0"/>
          <w:sz w:val="32"/>
        </w:rPr>
        <w:t>比上年减少0.38万元，下降92.68%，主要原因是：严格执行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w:t>
      </w:r>
      <w:r>
        <w:rPr>
          <w:rFonts w:hint="eastAsia" w:ascii="仿宋_GB2312" w:hAnsi="仿宋_GB2312" w:eastAsia="仿宋_GB2312"/>
          <w:b w:val="0"/>
          <w:sz w:val="32"/>
          <w:lang w:eastAsia="zh-CN"/>
        </w:rPr>
        <w:t>减少</w:t>
      </w:r>
      <w:r>
        <w:rPr>
          <w:rFonts w:ascii="仿宋_GB2312" w:hAnsi="仿宋_GB2312" w:eastAsia="仿宋_GB2312"/>
          <w:b w:val="0"/>
          <w:sz w:val="32"/>
        </w:rPr>
        <w:t>经费支出。其中：因公出国（境）费支出0.00万元，占0.00%，比上年增加0.00万元，增长0.00%，主要原因是：2023年与2024年均未安排因公出国（境）费支出。公务用车购置及运行维护费支出0.03万元，占100.00%，比上年减少0.38万元，下降92.68%，主要原因是：严格落实中央八项规定精神，厉行节约，减少公务用车运行维护费。公务接待费支出0.00万元，占0.00%，比上年增加0.00万元，增长0.00%，主要原因是：2023年与2024年均未安排公务接待费支出。</w:t>
      </w:r>
    </w:p>
    <w:p w14:paraId="6D3A1051">
      <w:pPr>
        <w:spacing w:line="580" w:lineRule="exact"/>
        <w:ind w:firstLine="640"/>
        <w:jc w:val="both"/>
      </w:pPr>
      <w:r>
        <w:rPr>
          <w:rFonts w:ascii="仿宋_GB2312" w:hAnsi="仿宋_GB2312" w:eastAsia="仿宋_GB2312"/>
          <w:b/>
          <w:sz w:val="32"/>
        </w:rPr>
        <w:t>具体情况如下：</w:t>
      </w:r>
    </w:p>
    <w:p w14:paraId="4400C8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C5151F">
      <w:pPr>
        <w:spacing w:line="580" w:lineRule="exact"/>
        <w:ind w:firstLine="640"/>
        <w:jc w:val="both"/>
      </w:pPr>
      <w:r>
        <w:rPr>
          <w:rFonts w:ascii="仿宋_GB2312" w:hAnsi="仿宋_GB2312" w:eastAsia="仿宋_GB2312"/>
          <w:b w:val="0"/>
          <w:sz w:val="32"/>
        </w:rPr>
        <w:t>公务用车购置及运行维护费0.03万元，其中：公务用车购置费0.00万元，公务用车运行维护费0.03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6AE2B6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019F4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0.03万元，决算数0.03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0.03万元，决算数0.03万元，预决算差异率0.00%，主要原因是：严格按照预算执行，预决算无差异。公务接待费全年预算数0.00万元，决算数0.00万元，预决算差异率0.00%，主要原因是：本单位无公务接待费。</w:t>
      </w:r>
    </w:p>
    <w:p w14:paraId="350231DE">
      <w:pPr>
        <w:spacing w:line="640" w:lineRule="exact"/>
        <w:ind w:firstLine="640"/>
        <w:jc w:val="both"/>
        <w:outlineLvl w:val="2"/>
      </w:pPr>
      <w:r>
        <w:rPr>
          <w:rFonts w:ascii="黑体" w:hAnsi="黑体" w:eastAsia="黑体"/>
          <w:sz w:val="32"/>
        </w:rPr>
        <w:t>十、其他重要事项的情况说明</w:t>
      </w:r>
    </w:p>
    <w:p w14:paraId="1E7044FD">
      <w:pPr>
        <w:spacing w:line="640" w:lineRule="exact"/>
        <w:ind w:firstLine="640"/>
        <w:jc w:val="both"/>
        <w:outlineLvl w:val="3"/>
      </w:pPr>
      <w:r>
        <w:rPr>
          <w:rFonts w:ascii="楷体_GB2312" w:hAnsi="楷体_GB2312" w:eastAsia="楷体_GB2312"/>
          <w:b/>
          <w:sz w:val="32"/>
        </w:rPr>
        <w:t>（一）机关运行经费及公用经费支出情况</w:t>
      </w:r>
    </w:p>
    <w:p w14:paraId="50FB023A">
      <w:pPr>
        <w:spacing w:line="580" w:lineRule="exact"/>
        <w:ind w:firstLine="640"/>
        <w:jc w:val="both"/>
      </w:pPr>
      <w:r>
        <w:rPr>
          <w:rFonts w:ascii="仿宋_GB2312" w:hAnsi="仿宋_GB2312" w:eastAsia="仿宋_GB2312"/>
          <w:b w:val="0"/>
          <w:sz w:val="32"/>
        </w:rPr>
        <w:t>2024年度疏附县退役军人事务局（行政单位和参照公务员法管理事业单位）机关运行经费支出2.69万元，比上年增加1.30万元，增长93.53%，主要原因是：本年更新、维护补充办公用品，导致机关运行经费较上年增加。</w:t>
      </w:r>
    </w:p>
    <w:p w14:paraId="77A33466">
      <w:pPr>
        <w:spacing w:line="640" w:lineRule="exact"/>
        <w:ind w:firstLine="640"/>
        <w:jc w:val="both"/>
        <w:outlineLvl w:val="3"/>
      </w:pPr>
      <w:r>
        <w:rPr>
          <w:rFonts w:ascii="楷体_GB2312" w:hAnsi="楷体_GB2312" w:eastAsia="楷体_GB2312"/>
          <w:b/>
          <w:sz w:val="32"/>
        </w:rPr>
        <w:t>（二）政府采购情况</w:t>
      </w:r>
    </w:p>
    <w:p w14:paraId="3061191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7E95A3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7FA5460">
      <w:pPr>
        <w:spacing w:line="640" w:lineRule="exact"/>
        <w:ind w:firstLine="640"/>
        <w:jc w:val="both"/>
        <w:outlineLvl w:val="3"/>
      </w:pPr>
      <w:r>
        <w:rPr>
          <w:rFonts w:ascii="楷体_GB2312" w:hAnsi="楷体_GB2312" w:eastAsia="楷体_GB2312"/>
          <w:b/>
          <w:sz w:val="32"/>
        </w:rPr>
        <w:t>（三）国有资产占用情况说明</w:t>
      </w:r>
    </w:p>
    <w:p w14:paraId="55B656C1">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375E48F">
      <w:pPr>
        <w:spacing w:line="640" w:lineRule="exact"/>
        <w:ind w:firstLine="640"/>
        <w:jc w:val="both"/>
        <w:outlineLvl w:val="2"/>
      </w:pPr>
      <w:r>
        <w:rPr>
          <w:rFonts w:ascii="黑体" w:hAnsi="黑体" w:eastAsia="黑体"/>
          <w:sz w:val="32"/>
        </w:rPr>
        <w:t>十一、预算绩效的情况说明</w:t>
      </w:r>
    </w:p>
    <w:p w14:paraId="4E7758E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根据预算绩效管理要求，本单位2024年度预算绩效管理形成整体支出绩效自评表1个，全年预算总额781.34万元，实际执行总额722.16万元；预算绩效评价项目</w:t>
      </w:r>
      <w:r>
        <w:rPr>
          <w:rFonts w:hint="eastAsia" w:ascii="仿宋_GB2312" w:hAnsi="仿宋_GB2312" w:eastAsia="仿宋_GB2312"/>
          <w:b w:val="0"/>
          <w:sz w:val="32"/>
          <w:lang w:val="en-US" w:eastAsia="zh-CN"/>
        </w:rPr>
        <w:t>18</w:t>
      </w:r>
      <w:r>
        <w:rPr>
          <w:rFonts w:ascii="仿宋_GB2312" w:hAnsi="仿宋_GB2312" w:eastAsia="仿宋_GB2312"/>
          <w:b w:val="0"/>
          <w:sz w:val="32"/>
        </w:rPr>
        <w:t>个，全年预算数</w:t>
      </w:r>
      <w:r>
        <w:rPr>
          <w:rFonts w:hint="eastAsia" w:ascii="仿宋_GB2312" w:hAnsi="仿宋_GB2312" w:eastAsia="仿宋_GB2312"/>
          <w:b w:val="0"/>
          <w:sz w:val="32"/>
        </w:rPr>
        <w:t>738.47</w:t>
      </w:r>
      <w:r>
        <w:rPr>
          <w:rFonts w:ascii="仿宋_GB2312" w:hAnsi="仿宋_GB2312" w:eastAsia="仿宋_GB2312"/>
          <w:b w:val="0"/>
          <w:sz w:val="32"/>
        </w:rPr>
        <w:t>万元，全年执行数</w:t>
      </w:r>
      <w:r>
        <w:rPr>
          <w:rFonts w:hint="eastAsia" w:ascii="仿宋_GB2312" w:hAnsi="仿宋_GB2312" w:eastAsia="仿宋_GB2312"/>
          <w:b w:val="0"/>
          <w:sz w:val="32"/>
        </w:rPr>
        <w:t>714.92</w:t>
      </w:r>
      <w:r>
        <w:rPr>
          <w:rFonts w:ascii="仿宋_GB2312" w:hAnsi="仿宋_GB2312" w:eastAsia="仿宋_GB2312"/>
          <w:b w:val="0"/>
          <w:sz w:val="32"/>
        </w:rPr>
        <w:t>万元。预算绩效管理取得的成效：一是提升部门资金的使用效率和管理水平，强化了部门的责任意识和自我约束能力，有力保障了资金的合理使用管理。二是通过实施预算绩效管理，加强了项目的规划和科学论证，改进了资金使用管理方式，提高了管理水平和资金使用效益。发现的问题及原因：一是部分业务人员绩效管理意识有待增强，未能全面深入认识理解绩效管理工作的意义。二是绩效管理经验不足，预算绩效管理工作有待进一步落实。下一步改进措施：一是加强绩效业务学习及培训，提高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二是加强预算绩效目标管理工作。明确预算项目绩效目标编制要求，分类别建立科学合理、细化量化、可比可测预算绩效指标体系，突出结果导向，重点考核实绩。三是通过强化专业培训、学习考察、业务交流等措施，帮助和促进本单位现有人员提高绩效管理业务水平、实际工作能力。强化预算绩效执行工作，指定专人负责预算执行监督管理，进一步推动预算绩效管理工作。具体附整体支出绩效自评表，项目支出绩效自评表和评价报告。</w:t>
      </w:r>
    </w:p>
    <w:p w14:paraId="0F84C14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76BF1B">
        <w:tc>
          <w:tcPr>
            <w:tcW w:w="8847" w:type="dxa"/>
            <w:gridSpan w:val="9"/>
            <w:vAlign w:val="center"/>
          </w:tcPr>
          <w:p w14:paraId="325DF246">
            <w:pPr>
              <w:jc w:val="center"/>
            </w:pPr>
            <w:r>
              <w:rPr>
                <w:rFonts w:ascii="宋体" w:hAnsi="宋体" w:eastAsia="宋体"/>
                <w:sz w:val="24"/>
              </w:rPr>
              <w:t>单位整体支出绩效自评表</w:t>
            </w:r>
          </w:p>
        </w:tc>
      </w:tr>
      <w:tr w14:paraId="0F68F6C7">
        <w:tblPrEx>
          <w:tblCellMar>
            <w:top w:w="0" w:type="dxa"/>
            <w:left w:w="108" w:type="dxa"/>
            <w:bottom w:w="0" w:type="dxa"/>
            <w:right w:w="108" w:type="dxa"/>
          </w:tblCellMar>
        </w:tblPrEx>
        <w:tc>
          <w:tcPr>
            <w:tcW w:w="8847" w:type="dxa"/>
            <w:gridSpan w:val="9"/>
            <w:vAlign w:val="center"/>
          </w:tcPr>
          <w:p w14:paraId="0471E75D">
            <w:pPr>
              <w:jc w:val="center"/>
            </w:pPr>
            <w:r>
              <w:rPr>
                <w:rFonts w:ascii="宋体" w:hAnsi="宋体" w:eastAsia="宋体"/>
                <w:sz w:val="24"/>
              </w:rPr>
              <w:t>（2024年度）</w:t>
            </w:r>
          </w:p>
        </w:tc>
      </w:tr>
      <w:tr w14:paraId="6F3247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897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5E032E">
            <w:pPr>
              <w:jc w:val="center"/>
            </w:pPr>
            <w:r>
              <w:rPr>
                <w:rFonts w:ascii="宋体" w:hAnsi="宋体" w:eastAsia="宋体"/>
                <w:sz w:val="16"/>
              </w:rPr>
              <w:t>疏附县退役军人事务局</w:t>
            </w:r>
          </w:p>
        </w:tc>
      </w:tr>
      <w:tr w14:paraId="132ABC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EDC3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C71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5E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7DD2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A92A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2AC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6889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217CA">
            <w:pPr>
              <w:jc w:val="center"/>
            </w:pPr>
            <w:r>
              <w:rPr>
                <w:rFonts w:ascii="宋体" w:hAnsi="宋体" w:eastAsia="宋体"/>
                <w:sz w:val="16"/>
              </w:rPr>
              <w:t>得分</w:t>
            </w:r>
          </w:p>
        </w:tc>
      </w:tr>
      <w:tr w14:paraId="48F38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7CD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8100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1F6E">
            <w:pPr>
              <w:jc w:val="center"/>
            </w:pPr>
            <w:r>
              <w:rPr>
                <w:rFonts w:ascii="宋体" w:hAnsi="宋体" w:eastAsia="宋体"/>
                <w:sz w:val="16"/>
              </w:rPr>
              <w:t>603.13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3A339">
            <w:pPr>
              <w:jc w:val="center"/>
            </w:pPr>
            <w:r>
              <w:rPr>
                <w:rFonts w:ascii="宋体" w:hAnsi="宋体" w:eastAsia="宋体"/>
                <w:sz w:val="16"/>
              </w:rPr>
              <w:t>781.34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67776">
            <w:pPr>
              <w:jc w:val="center"/>
            </w:pPr>
            <w:r>
              <w:rPr>
                <w:rFonts w:ascii="宋体" w:hAnsi="宋体" w:eastAsia="宋体"/>
                <w:sz w:val="16"/>
              </w:rPr>
              <w:t>722.16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73E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D207">
            <w:pPr>
              <w:jc w:val="center"/>
            </w:pPr>
            <w:r>
              <w:rPr>
                <w:rFonts w:ascii="宋体" w:hAnsi="宋体" w:eastAsia="宋体"/>
                <w:sz w:val="16"/>
              </w:rPr>
              <w:t>92.43%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8A32">
            <w:pPr>
              <w:jc w:val="center"/>
            </w:pPr>
            <w:r>
              <w:rPr>
                <w:rFonts w:ascii="宋体" w:hAnsi="宋体" w:eastAsia="宋体"/>
                <w:sz w:val="16"/>
              </w:rPr>
              <w:t>9.24</w:t>
            </w:r>
          </w:p>
        </w:tc>
      </w:tr>
      <w:tr w14:paraId="609BBD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1F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0F9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2AA7D">
            <w:pPr>
              <w:jc w:val="center"/>
            </w:pPr>
            <w:r>
              <w:rPr>
                <w:rFonts w:ascii="宋体" w:hAnsi="宋体" w:eastAsia="宋体"/>
                <w:sz w:val="16"/>
              </w:rPr>
              <w:t>403.61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84FF2">
            <w:pPr>
              <w:jc w:val="center"/>
            </w:pPr>
            <w:r>
              <w:rPr>
                <w:rFonts w:ascii="宋体" w:hAnsi="宋体" w:eastAsia="宋体"/>
                <w:sz w:val="16"/>
              </w:rPr>
              <w:t>408.36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FFCA8">
            <w:pPr>
              <w:jc w:val="center"/>
            </w:pPr>
            <w:r>
              <w:rPr>
                <w:rFonts w:ascii="宋体" w:hAnsi="宋体" w:eastAsia="宋体"/>
                <w:sz w:val="16"/>
              </w:rPr>
              <w:t>349.22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196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402F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AEB0">
            <w:pPr>
              <w:jc w:val="center"/>
            </w:pPr>
            <w:r>
              <w:rPr>
                <w:rFonts w:ascii="宋体" w:hAnsi="宋体" w:eastAsia="宋体"/>
                <w:sz w:val="16"/>
              </w:rPr>
              <w:t>—</w:t>
            </w:r>
          </w:p>
        </w:tc>
      </w:tr>
      <w:tr w14:paraId="167D2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F60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B2B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DC26">
            <w:pPr>
              <w:jc w:val="center"/>
            </w:pPr>
            <w:r>
              <w:rPr>
                <w:rFonts w:ascii="宋体" w:hAnsi="宋体" w:eastAsia="宋体"/>
                <w:sz w:val="16"/>
              </w:rPr>
              <w:t>199.52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DEC70">
            <w:pPr>
              <w:jc w:val="center"/>
            </w:pPr>
            <w:r>
              <w:rPr>
                <w:rFonts w:ascii="宋体" w:hAnsi="宋体" w:eastAsia="宋体"/>
                <w:sz w:val="16"/>
              </w:rPr>
              <w:t>372.98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945A">
            <w:pPr>
              <w:jc w:val="center"/>
            </w:pPr>
            <w:r>
              <w:rPr>
                <w:rFonts w:ascii="宋体" w:hAnsi="宋体" w:eastAsia="宋体"/>
                <w:sz w:val="16"/>
              </w:rPr>
              <w:t>372.94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DF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2C4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E675">
            <w:pPr>
              <w:jc w:val="center"/>
            </w:pPr>
            <w:r>
              <w:rPr>
                <w:rFonts w:ascii="宋体" w:hAnsi="宋体" w:eastAsia="宋体"/>
                <w:sz w:val="16"/>
              </w:rPr>
              <w:t>—</w:t>
            </w:r>
          </w:p>
        </w:tc>
      </w:tr>
      <w:tr w14:paraId="28C52B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DC7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79C1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552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CD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38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336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84F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E6D4A">
            <w:pPr>
              <w:jc w:val="center"/>
            </w:pPr>
            <w:r>
              <w:rPr>
                <w:rFonts w:ascii="宋体" w:hAnsi="宋体" w:eastAsia="宋体"/>
                <w:sz w:val="16"/>
              </w:rPr>
              <w:t>—</w:t>
            </w:r>
          </w:p>
        </w:tc>
      </w:tr>
      <w:tr w14:paraId="5A7A4D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0BFB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A9E6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28D05">
            <w:pPr>
              <w:jc w:val="center"/>
            </w:pPr>
            <w:r>
              <w:rPr>
                <w:rFonts w:ascii="宋体" w:hAnsi="宋体" w:eastAsia="宋体"/>
                <w:sz w:val="16"/>
              </w:rPr>
              <w:t>实际完成情况</w:t>
            </w:r>
          </w:p>
        </w:tc>
      </w:tr>
      <w:tr w14:paraId="4A3551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F15B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7A03F9">
            <w:pPr>
              <w:jc w:val="both"/>
            </w:pPr>
            <w:r>
              <w:rPr>
                <w:rFonts w:ascii="宋体" w:hAnsi="宋体" w:eastAsia="宋体"/>
                <w:sz w:val="16"/>
              </w:rPr>
              <w:t>深入学习贯彻习近平新时代中国特色社会主义思想，深入学习贯彻习近平总书记关于退役军人事务工作重要论述，深入学习贯彻</w:t>
            </w:r>
            <w:r>
              <w:rPr>
                <w:rFonts w:hint="eastAsia" w:ascii="宋体" w:hAnsi="宋体"/>
                <w:sz w:val="16"/>
                <w:lang w:eastAsia="zh-CN"/>
              </w:rPr>
              <w:t>党的</w:t>
            </w:r>
            <w:r>
              <w:rPr>
                <w:rFonts w:ascii="宋体" w:hAnsi="宋体" w:eastAsia="宋体"/>
                <w:sz w:val="16"/>
              </w:rPr>
              <w:t>二十大精神，第三次中央新疆工作座谈会和视察新疆重要讲话精神，坚持每周1次政治理论专题学习、1次退役军人事务业务知识专题学习，以及意识形态、党风廉政、民族团结等专题学习。通过认真学习思考，在学懂弄通做实上下功夫，切实增强“四个意识”、坚定“四个自信”、做到“两个维护”。积极参加自治区、地区退役军人系统开展的各类培训，主动向地区退役军人事务局领导和同事请教业务知识，快速提高业务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D95BE">
            <w:pPr>
              <w:jc w:val="both"/>
            </w:pPr>
            <w:r>
              <w:rPr>
                <w:rFonts w:hint="eastAsia" w:ascii="宋体" w:hAnsi="宋体"/>
                <w:sz w:val="16"/>
                <w:lang w:eastAsia="zh-CN"/>
              </w:rPr>
              <w:t>截至</w:t>
            </w:r>
            <w:r>
              <w:rPr>
                <w:rFonts w:ascii="宋体" w:hAnsi="宋体" w:eastAsia="宋体"/>
                <w:sz w:val="16"/>
              </w:rPr>
              <w:t>绩效评价日，</w:t>
            </w:r>
            <w:r>
              <w:rPr>
                <w:rFonts w:hint="eastAsia" w:ascii="宋体" w:hAnsi="宋体"/>
                <w:sz w:val="16"/>
                <w:lang w:eastAsia="zh-CN"/>
              </w:rPr>
              <w:t>本单位</w:t>
            </w:r>
            <w:r>
              <w:rPr>
                <w:rFonts w:ascii="宋体" w:hAnsi="宋体" w:eastAsia="宋体"/>
                <w:sz w:val="16"/>
              </w:rPr>
              <w:t>确保了退役军人和其他优抚对象生活，建档立卡和优待证办理保障率达到了100%，保障优抚对象生活补助率达到了100%，深入学习了习近平新时代中国特色社会主义思想、习近平总书记关于退役军人事务工作重要论述、</w:t>
            </w:r>
            <w:r>
              <w:rPr>
                <w:rFonts w:hint="eastAsia" w:ascii="宋体" w:hAnsi="宋体"/>
                <w:sz w:val="16"/>
                <w:lang w:eastAsia="zh-CN"/>
              </w:rPr>
              <w:t>党的</w:t>
            </w:r>
            <w:r>
              <w:rPr>
                <w:rFonts w:ascii="宋体" w:hAnsi="宋体" w:eastAsia="宋体"/>
                <w:sz w:val="16"/>
              </w:rPr>
              <w:t>二十大精神，召开退役军人服务管理工作会议2次，召开专题工作会议2次，建档立卡和优待证办理保障率100%，开展“传承红色基因”爱国主义教育活动2次。积极参加自治区、地区退役军人系统开展的各类培训，主动向地区退役军人事务局领导和同事请教业务知识，提高了业务水平。</w:t>
            </w:r>
          </w:p>
        </w:tc>
      </w:tr>
      <w:tr w14:paraId="13C78A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B3E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E6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B5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6A4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4071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4DC3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AA1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A53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CFEA8">
            <w:pPr>
              <w:jc w:val="center"/>
            </w:pPr>
            <w:r>
              <w:rPr>
                <w:rFonts w:ascii="宋体" w:hAnsi="宋体" w:eastAsia="宋体"/>
                <w:sz w:val="16"/>
              </w:rPr>
              <w:t>得分</w:t>
            </w:r>
          </w:p>
        </w:tc>
      </w:tr>
      <w:tr w14:paraId="63B39B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2964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98B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D6A4">
            <w:pPr>
              <w:jc w:val="center"/>
            </w:pPr>
            <w:r>
              <w:rPr>
                <w:rFonts w:ascii="宋体" w:hAnsi="宋体" w:eastAsia="宋体"/>
                <w:sz w:val="16"/>
              </w:rPr>
              <w:t>召开退役军人服务管理工作会议</w:t>
            </w:r>
            <w:r>
              <w:rPr>
                <w:rFonts w:hint="eastAsia" w:ascii="宋体" w:hAnsi="宋体"/>
                <w:sz w:val="16"/>
                <w:lang w:eastAsia="zh-CN"/>
              </w:rPr>
              <w:t>（一</w:t>
            </w:r>
            <w:r>
              <w:rPr>
                <w:rFonts w:ascii="宋体" w:hAnsi="宋体" w:eastAsia="宋体"/>
                <w:sz w:val="16"/>
              </w:rPr>
              <w:t>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C82E">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71878">
            <w:pPr>
              <w:jc w:val="center"/>
            </w:pPr>
            <w:r>
              <w:rPr>
                <w:rFonts w:ascii="宋体" w:hAnsi="宋体" w:eastAsia="宋体"/>
                <w:sz w:val="16"/>
              </w:rPr>
              <w:t>退役军人事务局2024年度工作计划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9B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4176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D6F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31C6">
            <w:pPr>
              <w:jc w:val="center"/>
            </w:pPr>
            <w:r>
              <w:rPr>
                <w:rFonts w:ascii="宋体" w:hAnsi="宋体" w:eastAsia="宋体"/>
                <w:sz w:val="16"/>
              </w:rPr>
              <w:t>20</w:t>
            </w:r>
          </w:p>
        </w:tc>
      </w:tr>
      <w:tr w14:paraId="75119C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24C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0D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004BA">
            <w:pPr>
              <w:jc w:val="center"/>
            </w:pPr>
            <w:r>
              <w:rPr>
                <w:rFonts w:ascii="宋体" w:hAnsi="宋体" w:eastAsia="宋体"/>
                <w:sz w:val="16"/>
              </w:rPr>
              <w:t>召开专题工作会议</w:t>
            </w:r>
            <w:r>
              <w:rPr>
                <w:rFonts w:hint="eastAsia" w:ascii="宋体" w:hAnsi="宋体"/>
                <w:sz w:val="16"/>
                <w:lang w:eastAsia="zh-CN"/>
              </w:rPr>
              <w:t>（一</w:t>
            </w:r>
            <w:r>
              <w:rPr>
                <w:rFonts w:ascii="宋体" w:hAnsi="宋体" w:eastAsia="宋体"/>
                <w:sz w:val="16"/>
              </w:rPr>
              <w:t>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3FF3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4381">
            <w:pPr>
              <w:jc w:val="center"/>
            </w:pPr>
            <w:r>
              <w:rPr>
                <w:rFonts w:ascii="宋体" w:hAnsi="宋体" w:eastAsia="宋体"/>
                <w:sz w:val="16"/>
              </w:rPr>
              <w:t>退役军人事务局2024年度工作计划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B02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D2F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34A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0420">
            <w:pPr>
              <w:jc w:val="center"/>
            </w:pPr>
            <w:r>
              <w:rPr>
                <w:rFonts w:ascii="宋体" w:hAnsi="宋体" w:eastAsia="宋体"/>
                <w:sz w:val="16"/>
              </w:rPr>
              <w:t>20</w:t>
            </w:r>
          </w:p>
        </w:tc>
      </w:tr>
      <w:tr w14:paraId="073CA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0E4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280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520C">
            <w:pPr>
              <w:jc w:val="center"/>
            </w:pPr>
            <w:r>
              <w:rPr>
                <w:rFonts w:ascii="宋体" w:hAnsi="宋体" w:eastAsia="宋体"/>
                <w:sz w:val="16"/>
              </w:rPr>
              <w:t>建档立卡和优待证办理保障率（%）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C9C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C4F55">
            <w:pPr>
              <w:jc w:val="center"/>
            </w:pPr>
            <w:r>
              <w:rPr>
                <w:rFonts w:ascii="宋体" w:hAnsi="宋体" w:eastAsia="宋体"/>
                <w:sz w:val="16"/>
              </w:rPr>
              <w:t>退役军人事务局2024年度工作计划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2C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9F6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6E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473A7">
            <w:pPr>
              <w:jc w:val="center"/>
            </w:pPr>
            <w:r>
              <w:rPr>
                <w:rFonts w:ascii="宋体" w:hAnsi="宋体" w:eastAsia="宋体"/>
                <w:sz w:val="16"/>
              </w:rPr>
              <w:t>20</w:t>
            </w:r>
          </w:p>
        </w:tc>
      </w:tr>
      <w:tr w14:paraId="7248A3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952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26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226BF">
            <w:pPr>
              <w:jc w:val="center"/>
            </w:pPr>
            <w:r>
              <w:rPr>
                <w:rFonts w:ascii="宋体" w:hAnsi="宋体" w:eastAsia="宋体"/>
                <w:sz w:val="16"/>
              </w:rPr>
              <w:t>开展“传承红色基因”爱国主义教育活动（次）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10EB0">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FE75">
            <w:pPr>
              <w:jc w:val="center"/>
            </w:pPr>
            <w:r>
              <w:rPr>
                <w:rFonts w:ascii="宋体" w:hAnsi="宋体" w:eastAsia="宋体"/>
                <w:sz w:val="16"/>
              </w:rPr>
              <w:t>退役军人事务局2024年度工作计划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61C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E352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140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99CB">
            <w:pPr>
              <w:jc w:val="center"/>
            </w:pPr>
            <w:r>
              <w:rPr>
                <w:rFonts w:ascii="宋体" w:hAnsi="宋体" w:eastAsia="宋体"/>
                <w:sz w:val="16"/>
              </w:rPr>
              <w:t>15</w:t>
            </w:r>
          </w:p>
        </w:tc>
      </w:tr>
      <w:tr w14:paraId="256C9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CBF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685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80A7">
            <w:pPr>
              <w:jc w:val="center"/>
            </w:pPr>
            <w:r>
              <w:rPr>
                <w:rFonts w:ascii="宋体" w:hAnsi="宋体" w:eastAsia="宋体"/>
                <w:sz w:val="16"/>
              </w:rPr>
              <w:t>优抚对象生活补助保障率（%）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AC4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311C7">
            <w:pPr>
              <w:jc w:val="center"/>
            </w:pPr>
            <w:r>
              <w:rPr>
                <w:rFonts w:ascii="宋体" w:hAnsi="宋体" w:eastAsia="宋体"/>
                <w:sz w:val="16"/>
              </w:rPr>
              <w:t>退役军人事务局2024年度工作计划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104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29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83E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AF46">
            <w:pPr>
              <w:jc w:val="center"/>
            </w:pPr>
            <w:r>
              <w:rPr>
                <w:rFonts w:ascii="宋体" w:hAnsi="宋体" w:eastAsia="宋体"/>
                <w:sz w:val="16"/>
              </w:rPr>
              <w:t>15</w:t>
            </w:r>
          </w:p>
        </w:tc>
      </w:tr>
    </w:tbl>
    <w:p w14:paraId="4903AD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E885C7F">
        <w:tblPrEx>
          <w:tblCellMar>
            <w:top w:w="0" w:type="dxa"/>
            <w:left w:w="108" w:type="dxa"/>
            <w:bottom w:w="0" w:type="dxa"/>
            <w:right w:w="108" w:type="dxa"/>
          </w:tblCellMar>
        </w:tblPrEx>
        <w:tc>
          <w:tcPr>
            <w:tcW w:w="8848" w:type="dxa"/>
            <w:gridSpan w:val="14"/>
            <w:vAlign w:val="center"/>
          </w:tcPr>
          <w:p w14:paraId="71481518">
            <w:pPr>
              <w:jc w:val="center"/>
            </w:pPr>
            <w:r>
              <w:rPr>
                <w:rFonts w:ascii="宋体" w:hAnsi="宋体" w:eastAsia="宋体"/>
                <w:sz w:val="24"/>
              </w:rPr>
              <w:t>项目支出绩效自评表</w:t>
            </w:r>
          </w:p>
        </w:tc>
      </w:tr>
      <w:tr w14:paraId="639E8F77">
        <w:tblPrEx>
          <w:tblCellMar>
            <w:top w:w="0" w:type="dxa"/>
            <w:left w:w="108" w:type="dxa"/>
            <w:bottom w:w="0" w:type="dxa"/>
            <w:right w:w="108" w:type="dxa"/>
          </w:tblCellMar>
        </w:tblPrEx>
        <w:tc>
          <w:tcPr>
            <w:tcW w:w="8848" w:type="dxa"/>
            <w:gridSpan w:val="14"/>
            <w:vAlign w:val="center"/>
          </w:tcPr>
          <w:p w14:paraId="65368B1C">
            <w:pPr>
              <w:jc w:val="center"/>
            </w:pPr>
            <w:r>
              <w:rPr>
                <w:rFonts w:ascii="宋体" w:hAnsi="宋体" w:eastAsia="宋体"/>
                <w:sz w:val="24"/>
              </w:rPr>
              <w:t>(2024年度)</w:t>
            </w:r>
          </w:p>
        </w:tc>
      </w:tr>
      <w:tr w14:paraId="1D623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F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623987">
            <w:pPr>
              <w:jc w:val="center"/>
            </w:pPr>
            <w:r>
              <w:rPr>
                <w:rFonts w:ascii="宋体" w:hAnsi="宋体" w:eastAsia="宋体"/>
                <w:sz w:val="16"/>
              </w:rPr>
              <w:t>2024年优抚对象医疗补助项目</w:t>
            </w:r>
          </w:p>
        </w:tc>
      </w:tr>
      <w:tr w14:paraId="48363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76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92DC6">
            <w:pPr>
              <w:jc w:val="center"/>
            </w:pPr>
            <w:r>
              <w:rPr>
                <w:rFonts w:ascii="宋体" w:hAnsi="宋体" w:eastAsia="宋体"/>
                <w:sz w:val="16"/>
              </w:rPr>
              <w:t>疏附县退役军人事务局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26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36624">
            <w:pPr>
              <w:jc w:val="center"/>
            </w:pPr>
            <w:r>
              <w:rPr>
                <w:rFonts w:ascii="宋体" w:hAnsi="宋体" w:eastAsia="宋体"/>
                <w:sz w:val="16"/>
              </w:rPr>
              <w:t>疏附县退役军人事务局</w:t>
            </w:r>
          </w:p>
        </w:tc>
      </w:tr>
      <w:tr w14:paraId="70E92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F8C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58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98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28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730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A8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11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559A">
            <w:pPr>
              <w:jc w:val="center"/>
            </w:pPr>
            <w:r>
              <w:rPr>
                <w:rFonts w:ascii="宋体" w:hAnsi="宋体" w:eastAsia="宋体"/>
                <w:sz w:val="16"/>
              </w:rPr>
              <w:t>得分</w:t>
            </w:r>
          </w:p>
        </w:tc>
      </w:tr>
      <w:tr w14:paraId="5F6B7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A8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0E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8BEF">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7A1B">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20EE">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3A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0E8D6">
            <w:pPr>
              <w:jc w:val="center"/>
            </w:pPr>
            <w:r>
              <w:rPr>
                <w:rFonts w:ascii="宋体" w:hAnsi="宋体" w:eastAsia="宋体"/>
                <w:sz w:val="16"/>
              </w:rPr>
              <w:t>86.42%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6C16">
            <w:pPr>
              <w:jc w:val="center"/>
            </w:pPr>
            <w:r>
              <w:rPr>
                <w:rFonts w:ascii="宋体" w:hAnsi="宋体" w:eastAsia="宋体"/>
                <w:sz w:val="16"/>
              </w:rPr>
              <w:t>6.61分</w:t>
            </w:r>
          </w:p>
        </w:tc>
      </w:tr>
      <w:tr w14:paraId="1BCCF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30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62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3FCB0">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AC833">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601F">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7A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99D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DDCC">
            <w:pPr>
              <w:jc w:val="center"/>
            </w:pPr>
            <w:r>
              <w:rPr>
                <w:rFonts w:ascii="宋体" w:hAnsi="宋体" w:eastAsia="宋体"/>
                <w:sz w:val="16"/>
              </w:rPr>
              <w:t>—</w:t>
            </w:r>
          </w:p>
        </w:tc>
      </w:tr>
      <w:tr w14:paraId="14740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95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A2E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27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B3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26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539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312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0443">
            <w:pPr>
              <w:jc w:val="center"/>
            </w:pPr>
            <w:r>
              <w:rPr>
                <w:rFonts w:ascii="宋体" w:hAnsi="宋体" w:eastAsia="宋体"/>
                <w:sz w:val="16"/>
              </w:rPr>
              <w:t>—</w:t>
            </w:r>
          </w:p>
        </w:tc>
      </w:tr>
      <w:tr w14:paraId="225FA8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F13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1A1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934A5">
            <w:pPr>
              <w:jc w:val="center"/>
            </w:pPr>
            <w:r>
              <w:rPr>
                <w:rFonts w:ascii="宋体" w:hAnsi="宋体" w:eastAsia="宋体"/>
                <w:sz w:val="16"/>
              </w:rPr>
              <w:t>实际完成情况</w:t>
            </w:r>
          </w:p>
        </w:tc>
      </w:tr>
      <w:tr w14:paraId="67427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AD5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8F99C">
            <w:pPr>
              <w:jc w:val="both"/>
            </w:pPr>
            <w:r>
              <w:rPr>
                <w:rFonts w:ascii="宋体" w:hAnsi="宋体" w:eastAsia="宋体"/>
                <w:sz w:val="16"/>
              </w:rPr>
              <w:t>疏财社</w:t>
            </w:r>
            <w:r>
              <w:rPr>
                <w:rFonts w:hint="eastAsia" w:ascii="宋体" w:hAnsi="宋体"/>
                <w:sz w:val="16"/>
                <w:lang w:eastAsia="zh-CN"/>
              </w:rPr>
              <w:t>〔2023〕56号</w:t>
            </w:r>
            <w:r>
              <w:rPr>
                <w:rFonts w:ascii="宋体" w:hAnsi="宋体" w:eastAsia="宋体"/>
                <w:sz w:val="16"/>
              </w:rPr>
              <w:t>文件下达中央直达资金3.24万元，计划对44名优抚对象发放医疗补助资金，对优抚对象参保缴费、住院和门 诊费用进行补助，有效帮助解决优抚对象医疗难的问题。从优抚、关怀和照顾建立医疗保障制度，医疗保障经费切实保障了优抚对</w:t>
            </w:r>
            <w:r>
              <w:rPr>
                <w:rFonts w:hint="eastAsia" w:ascii="宋体" w:hAnsi="宋体"/>
                <w:sz w:val="16"/>
                <w:lang w:eastAsia="zh-CN"/>
              </w:rPr>
              <w:t>象的</w:t>
            </w:r>
            <w:r>
              <w:rPr>
                <w:rFonts w:ascii="宋体" w:hAnsi="宋体" w:eastAsia="宋体"/>
                <w:sz w:val="16"/>
              </w:rPr>
              <w:t>医疗保障，解决优抚对象的医疗困难问题，保障了拥军优抚政策落实、优抚对象满意度预计能达到95%。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8A5066">
            <w:pPr>
              <w:jc w:val="both"/>
            </w:pPr>
            <w:r>
              <w:rPr>
                <w:rFonts w:ascii="宋体" w:hAnsi="宋体" w:eastAsia="宋体"/>
                <w:sz w:val="16"/>
              </w:rPr>
              <w:t>截至2024年12月31日，项目执行2.8万元，执行率86.4%，项目执行对44名优抚对象发放医疗补助资金，优抚对象平均每人发放补助0.064万元/人。通过本项目切实保障了优抚对</w:t>
            </w:r>
            <w:r>
              <w:rPr>
                <w:rFonts w:hint="eastAsia" w:ascii="宋体" w:hAnsi="宋体"/>
                <w:sz w:val="16"/>
                <w:lang w:eastAsia="zh-CN"/>
              </w:rPr>
              <w:t>象的</w:t>
            </w:r>
            <w:r>
              <w:rPr>
                <w:rFonts w:ascii="宋体" w:hAnsi="宋体" w:eastAsia="宋体"/>
                <w:sz w:val="16"/>
              </w:rPr>
              <w:t>医疗保障，解决优抚对象的医疗困难问题，保障了拥军优抚政策落实，优抚对象满意度达到95%。</w:t>
            </w:r>
          </w:p>
        </w:tc>
      </w:tr>
      <w:tr w14:paraId="4BAE73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2F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C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41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38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55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57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52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60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2A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EF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54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8A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5D87">
            <w:pPr>
              <w:jc w:val="center"/>
            </w:pPr>
            <w:r>
              <w:rPr>
                <w:rFonts w:ascii="宋体" w:hAnsi="宋体" w:eastAsia="宋体"/>
                <w:sz w:val="16"/>
              </w:rPr>
              <w:t>偏差原因分析及改进措施</w:t>
            </w:r>
          </w:p>
        </w:tc>
      </w:tr>
      <w:tr w14:paraId="07B69F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698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B9F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CC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7470">
            <w:pPr>
              <w:jc w:val="center"/>
            </w:pPr>
            <w:r>
              <w:rPr>
                <w:rFonts w:ascii="宋体" w:hAnsi="宋体" w:eastAsia="宋体"/>
                <w:sz w:val="16"/>
              </w:rPr>
              <w:t>保障重点优抚对象人数（人）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A65B">
            <w:pPr>
              <w:jc w:val="center"/>
            </w:pPr>
            <w:r>
              <w:rPr>
                <w:rFonts w:ascii="宋体" w:hAnsi="宋体" w:eastAsia="宋体"/>
                <w:sz w:val="16"/>
              </w:rPr>
              <w:t>&gt;=44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3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2D36">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06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B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35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6B28">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05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CA54">
            <w:pPr>
              <w:jc w:val="center"/>
            </w:pPr>
          </w:p>
        </w:tc>
      </w:tr>
      <w:tr w14:paraId="51FED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D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CD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F23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8504">
            <w:pPr>
              <w:jc w:val="center"/>
            </w:pPr>
            <w:r>
              <w:rPr>
                <w:rFonts w:ascii="宋体" w:hAnsi="宋体" w:eastAsia="宋体"/>
                <w:sz w:val="16"/>
              </w:rPr>
              <w:t>对各类优抚对象医疗补助标准按规定执行率（%）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E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7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4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D0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A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0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4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42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7E60">
            <w:pPr>
              <w:jc w:val="center"/>
            </w:pPr>
          </w:p>
        </w:tc>
      </w:tr>
      <w:tr w14:paraId="0AE91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99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E7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C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70DC">
            <w:pPr>
              <w:jc w:val="center"/>
            </w:pPr>
            <w:r>
              <w:rPr>
                <w:rFonts w:ascii="宋体" w:hAnsi="宋体" w:eastAsia="宋体"/>
                <w:sz w:val="16"/>
              </w:rPr>
              <w:t>优抚对象医疗补助发放率（%）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A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4F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A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03E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4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84D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0577">
            <w:pPr>
              <w:jc w:val="center"/>
            </w:pPr>
          </w:p>
        </w:tc>
      </w:tr>
      <w:tr w14:paraId="278C5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CB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292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8FE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21A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6BF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F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B5A8">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7A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2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3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5FB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B6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AF0E3">
            <w:pPr>
              <w:jc w:val="center"/>
            </w:pPr>
          </w:p>
        </w:tc>
      </w:tr>
      <w:tr w14:paraId="3CCB9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1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A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8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578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2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8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93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8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854E">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9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7E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1674">
            <w:pPr>
              <w:jc w:val="center"/>
            </w:pPr>
          </w:p>
        </w:tc>
      </w:tr>
      <w:tr w14:paraId="639AA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7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9B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B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4F6">
            <w:pPr>
              <w:jc w:val="center"/>
            </w:pPr>
            <w:r>
              <w:rPr>
                <w:rFonts w:ascii="宋体" w:hAnsi="宋体" w:eastAsia="宋体"/>
                <w:sz w:val="16"/>
              </w:rPr>
              <w:t>优抚对象平均每人发放补助（万元/人）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2E35">
            <w:pPr>
              <w:jc w:val="center"/>
            </w:pPr>
            <w:r>
              <w:rPr>
                <w:rFonts w:ascii="宋体" w:hAnsi="宋体" w:eastAsia="宋体"/>
                <w:sz w:val="16"/>
              </w:rPr>
              <w:t>&lt;=0.07万元/人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C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9FB1">
            <w:pPr>
              <w:jc w:val="center"/>
            </w:pPr>
            <w:r>
              <w:rPr>
                <w:rFonts w:ascii="宋体" w:hAnsi="宋体" w:eastAsia="宋体"/>
                <w:sz w:val="16"/>
              </w:rPr>
              <w:t>0.076万元/人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1A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7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89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B221">
            <w:pPr>
              <w:jc w:val="center"/>
            </w:pPr>
            <w:r>
              <w:rPr>
                <w:rFonts w:ascii="宋体" w:hAnsi="宋体" w:eastAsia="宋体"/>
                <w:sz w:val="16"/>
              </w:rPr>
              <w:t>=0.064万元/人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FB2A">
            <w:pPr>
              <w:jc w:val="center"/>
            </w:pPr>
            <w:r>
              <w:rPr>
                <w:rFonts w:ascii="宋体" w:hAnsi="宋体" w:eastAsia="宋体"/>
                <w:sz w:val="16"/>
              </w:rPr>
              <w:t>15.7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EFBF9">
            <w:pPr>
              <w:jc w:val="center"/>
            </w:pPr>
            <w:r>
              <w:rPr>
                <w:rFonts w:ascii="宋体" w:hAnsi="宋体" w:eastAsia="宋体"/>
                <w:sz w:val="16"/>
              </w:rPr>
              <w:t>原因：重点优抚对象中实际住院治疗人员较少，导致人均发放补助减少。整改措施：严格按照重点优抚对象实际住院治疗情况报销医疗费用。</w:t>
            </w:r>
          </w:p>
        </w:tc>
      </w:tr>
      <w:tr w14:paraId="386D3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C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30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96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23F3">
            <w:pPr>
              <w:jc w:val="center"/>
            </w:pPr>
            <w:r>
              <w:rPr>
                <w:rFonts w:ascii="宋体" w:hAnsi="宋体" w:eastAsia="宋体"/>
                <w:sz w:val="16"/>
              </w:rPr>
              <w:t>解决优抚对象的医疗困难问题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349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1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35ED">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47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5F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421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656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D6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3C43">
            <w:pPr>
              <w:jc w:val="center"/>
            </w:pPr>
          </w:p>
        </w:tc>
      </w:tr>
      <w:tr w14:paraId="6EC89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C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B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D6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925D">
            <w:pPr>
              <w:jc w:val="center"/>
            </w:pPr>
            <w:r>
              <w:rPr>
                <w:rFonts w:ascii="宋体" w:hAnsi="宋体" w:eastAsia="宋体"/>
                <w:sz w:val="16"/>
              </w:rPr>
              <w:t>优抚对象满意度（%）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93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A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DC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A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A9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5554">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9B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A8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CDEBE">
            <w:pPr>
              <w:jc w:val="center"/>
            </w:pPr>
          </w:p>
        </w:tc>
      </w:tr>
      <w:tr w14:paraId="5849EC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02B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08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2B3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1AE1">
            <w:pPr>
              <w:jc w:val="center"/>
            </w:pPr>
            <w:r>
              <w:rPr>
                <w:rFonts w:ascii="宋体" w:hAnsi="宋体" w:eastAsia="宋体"/>
                <w:sz w:val="16"/>
              </w:rPr>
              <w:t>92.31分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ADCADE"/>
        </w:tc>
      </w:tr>
    </w:tbl>
    <w:p w14:paraId="72AD04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8189F7">
        <w:tblPrEx>
          <w:tblCellMar>
            <w:top w:w="0" w:type="dxa"/>
            <w:left w:w="108" w:type="dxa"/>
            <w:bottom w:w="0" w:type="dxa"/>
            <w:right w:w="108" w:type="dxa"/>
          </w:tblCellMar>
        </w:tblPrEx>
        <w:tc>
          <w:tcPr>
            <w:tcW w:w="8848" w:type="dxa"/>
            <w:gridSpan w:val="14"/>
            <w:vAlign w:val="center"/>
          </w:tcPr>
          <w:p w14:paraId="0147FA59">
            <w:pPr>
              <w:jc w:val="center"/>
            </w:pPr>
            <w:r>
              <w:rPr>
                <w:rFonts w:ascii="宋体" w:hAnsi="宋体" w:eastAsia="宋体"/>
                <w:sz w:val="24"/>
              </w:rPr>
              <w:t>项目支出绩效自评表</w:t>
            </w:r>
          </w:p>
        </w:tc>
      </w:tr>
      <w:tr w14:paraId="2B25AFA1">
        <w:tblPrEx>
          <w:tblCellMar>
            <w:top w:w="0" w:type="dxa"/>
            <w:left w:w="108" w:type="dxa"/>
            <w:bottom w:w="0" w:type="dxa"/>
            <w:right w:w="108" w:type="dxa"/>
          </w:tblCellMar>
        </w:tblPrEx>
        <w:tc>
          <w:tcPr>
            <w:tcW w:w="8848" w:type="dxa"/>
            <w:gridSpan w:val="14"/>
            <w:vAlign w:val="center"/>
          </w:tcPr>
          <w:p w14:paraId="4B475DD0">
            <w:pPr>
              <w:jc w:val="center"/>
            </w:pPr>
            <w:r>
              <w:rPr>
                <w:rFonts w:ascii="宋体" w:hAnsi="宋体" w:eastAsia="宋体"/>
                <w:sz w:val="24"/>
              </w:rPr>
              <w:t>(2024年度)</w:t>
            </w:r>
          </w:p>
        </w:tc>
      </w:tr>
      <w:tr w14:paraId="0A528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CE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61F0E7">
            <w:pPr>
              <w:jc w:val="center"/>
            </w:pPr>
            <w:r>
              <w:rPr>
                <w:rFonts w:ascii="宋体" w:hAnsi="宋体" w:eastAsia="宋体"/>
                <w:sz w:val="16"/>
              </w:rPr>
              <w:t>2024年优抚对象补助项目</w:t>
            </w:r>
          </w:p>
        </w:tc>
      </w:tr>
      <w:tr w14:paraId="780E55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8B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05820">
            <w:pPr>
              <w:jc w:val="center"/>
            </w:pPr>
            <w:r>
              <w:rPr>
                <w:rFonts w:ascii="宋体" w:hAnsi="宋体" w:eastAsia="宋体"/>
                <w:sz w:val="16"/>
              </w:rPr>
              <w:t>疏附县退役军人事务局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4D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A4C84">
            <w:pPr>
              <w:jc w:val="center"/>
            </w:pPr>
            <w:r>
              <w:rPr>
                <w:rFonts w:ascii="宋体" w:hAnsi="宋体" w:eastAsia="宋体"/>
                <w:sz w:val="16"/>
              </w:rPr>
              <w:t>疏附县退役军人事务局</w:t>
            </w:r>
          </w:p>
        </w:tc>
      </w:tr>
      <w:tr w14:paraId="536A9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0B8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74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B8C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26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19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8A0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E00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99C9">
            <w:pPr>
              <w:jc w:val="center"/>
            </w:pPr>
            <w:r>
              <w:rPr>
                <w:rFonts w:ascii="宋体" w:hAnsi="宋体" w:eastAsia="宋体"/>
                <w:sz w:val="16"/>
              </w:rPr>
              <w:t>得分</w:t>
            </w:r>
          </w:p>
        </w:tc>
      </w:tr>
      <w:tr w14:paraId="4CB0A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60D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45C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20EC">
            <w:pPr>
              <w:jc w:val="center"/>
            </w:pPr>
            <w:r>
              <w:rPr>
                <w:rFonts w:ascii="宋体" w:hAnsi="宋体" w:eastAsia="宋体"/>
                <w:sz w:val="16"/>
              </w:rPr>
              <w:t>229.40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D976D">
            <w:pPr>
              <w:jc w:val="center"/>
            </w:pPr>
            <w:r>
              <w:rPr>
                <w:rFonts w:ascii="宋体" w:hAnsi="宋体" w:eastAsia="宋体"/>
                <w:sz w:val="16"/>
              </w:rPr>
              <w:t>229.40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D4F6">
            <w:pPr>
              <w:jc w:val="center"/>
            </w:pPr>
            <w:r>
              <w:rPr>
                <w:rFonts w:ascii="宋体" w:hAnsi="宋体" w:eastAsia="宋体"/>
                <w:sz w:val="16"/>
              </w:rPr>
              <w:t>219.62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93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027C2">
            <w:pPr>
              <w:jc w:val="center"/>
            </w:pPr>
            <w:r>
              <w:rPr>
                <w:rFonts w:ascii="宋体" w:hAnsi="宋体" w:eastAsia="宋体"/>
                <w:sz w:val="16"/>
              </w:rPr>
              <w:t>95.74%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9E36">
            <w:pPr>
              <w:jc w:val="center"/>
            </w:pPr>
            <w:r>
              <w:rPr>
                <w:rFonts w:ascii="宋体" w:hAnsi="宋体" w:eastAsia="宋体"/>
                <w:sz w:val="16"/>
              </w:rPr>
              <w:t>8.93分</w:t>
            </w:r>
          </w:p>
        </w:tc>
      </w:tr>
      <w:tr w14:paraId="6192E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C5E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E7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8FA8">
            <w:pPr>
              <w:jc w:val="center"/>
            </w:pPr>
            <w:r>
              <w:rPr>
                <w:rFonts w:ascii="宋体" w:hAnsi="宋体" w:eastAsia="宋体"/>
                <w:sz w:val="16"/>
              </w:rPr>
              <w:t>229.40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7258">
            <w:pPr>
              <w:jc w:val="center"/>
            </w:pPr>
            <w:r>
              <w:rPr>
                <w:rFonts w:ascii="宋体" w:hAnsi="宋体" w:eastAsia="宋体"/>
                <w:sz w:val="16"/>
              </w:rPr>
              <w:t>229.40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FCD8">
            <w:pPr>
              <w:jc w:val="center"/>
            </w:pPr>
            <w:r>
              <w:rPr>
                <w:rFonts w:ascii="宋体" w:hAnsi="宋体" w:eastAsia="宋体"/>
                <w:sz w:val="16"/>
              </w:rPr>
              <w:t>219.62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9F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8D3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BFCE">
            <w:pPr>
              <w:jc w:val="center"/>
            </w:pPr>
            <w:r>
              <w:rPr>
                <w:rFonts w:ascii="宋体" w:hAnsi="宋体" w:eastAsia="宋体"/>
                <w:sz w:val="16"/>
              </w:rPr>
              <w:t>—</w:t>
            </w:r>
          </w:p>
        </w:tc>
      </w:tr>
      <w:tr w14:paraId="444D7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13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AF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12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56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4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1D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592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FB40">
            <w:pPr>
              <w:jc w:val="center"/>
            </w:pPr>
            <w:r>
              <w:rPr>
                <w:rFonts w:ascii="宋体" w:hAnsi="宋体" w:eastAsia="宋体"/>
                <w:sz w:val="16"/>
              </w:rPr>
              <w:t>—</w:t>
            </w:r>
          </w:p>
        </w:tc>
      </w:tr>
      <w:tr w14:paraId="6A107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F63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814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9509E">
            <w:pPr>
              <w:jc w:val="center"/>
            </w:pPr>
            <w:r>
              <w:rPr>
                <w:rFonts w:ascii="宋体" w:hAnsi="宋体" w:eastAsia="宋体"/>
                <w:sz w:val="16"/>
              </w:rPr>
              <w:t>实际完成情况</w:t>
            </w:r>
          </w:p>
        </w:tc>
      </w:tr>
      <w:tr w14:paraId="07500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35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7C1CC">
            <w:pPr>
              <w:jc w:val="both"/>
            </w:pPr>
            <w:r>
              <w:rPr>
                <w:rFonts w:ascii="宋体" w:hAnsi="宋体" w:eastAsia="宋体"/>
                <w:sz w:val="16"/>
              </w:rPr>
              <w:t>喀地财社</w:t>
            </w:r>
            <w:r>
              <w:rPr>
                <w:rFonts w:hint="eastAsia" w:ascii="宋体" w:hAnsi="宋体"/>
                <w:sz w:val="16"/>
                <w:lang w:eastAsia="zh-CN"/>
              </w:rPr>
              <w:t>〔2023〕57号</w:t>
            </w:r>
            <w:r>
              <w:rPr>
                <w:rFonts w:ascii="宋体" w:hAnsi="宋体" w:eastAsia="宋体"/>
                <w:sz w:val="16"/>
              </w:rPr>
              <w:t>文件下中央达直达资金129.84万元、喀地财社</w:t>
            </w:r>
            <w:r>
              <w:rPr>
                <w:rFonts w:hint="eastAsia" w:ascii="宋体" w:hAnsi="宋体"/>
                <w:sz w:val="16"/>
                <w:lang w:eastAsia="zh-CN"/>
              </w:rPr>
              <w:t>〔2023〕74号</w:t>
            </w:r>
            <w:r>
              <w:rPr>
                <w:rFonts w:ascii="宋体" w:hAnsi="宋体" w:eastAsia="宋体"/>
                <w:sz w:val="16"/>
              </w:rPr>
              <w:t>文件下达自治区直达资金99.56万元，对应平台中“2024年优抚对象补助项目”共229.4万元。优抚对象抚恤和生活补助保障各类优抚对象总人数112人。通过发放优抚对象抚恤补助金，使优抚对象等人员的基本生活得到有效保障和改善，各类优抚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C10401">
            <w:pPr>
              <w:jc w:val="both"/>
            </w:pPr>
            <w:r>
              <w:rPr>
                <w:rFonts w:ascii="宋体" w:hAnsi="宋体" w:eastAsia="宋体"/>
                <w:sz w:val="16"/>
              </w:rPr>
              <w:t>截至2024年12月31日，项目资金执行219.62万元，项目执行率95.7%，主要用于优抚对象抚恤和生活补助保障各类优抚对象总人数112人，发放优抚对象抚恤补助金214.17万元，有效保障和改善优抚对象等人员的基本</w:t>
            </w:r>
            <w:r>
              <w:rPr>
                <w:rFonts w:hint="eastAsia" w:ascii="宋体" w:hAnsi="宋体"/>
                <w:sz w:val="16"/>
                <w:lang w:eastAsia="zh-CN"/>
              </w:rPr>
              <w:t>生活</w:t>
            </w:r>
            <w:r>
              <w:rPr>
                <w:rFonts w:ascii="宋体" w:hAnsi="宋体" w:eastAsia="宋体"/>
                <w:sz w:val="16"/>
              </w:rPr>
              <w:t>，各类优抚对象满意度达到95%。</w:t>
            </w:r>
          </w:p>
        </w:tc>
      </w:tr>
      <w:tr w14:paraId="1E995A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8F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B9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D4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C2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09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3B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58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9D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F2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F8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DD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1D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68D7E">
            <w:pPr>
              <w:jc w:val="center"/>
            </w:pPr>
            <w:r>
              <w:rPr>
                <w:rFonts w:ascii="宋体" w:hAnsi="宋体" w:eastAsia="宋体"/>
                <w:sz w:val="16"/>
              </w:rPr>
              <w:t>偏差原因分析及改进措施</w:t>
            </w:r>
          </w:p>
        </w:tc>
      </w:tr>
      <w:tr w14:paraId="5F7E32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05A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624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C2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2FE1">
            <w:pPr>
              <w:jc w:val="center"/>
            </w:pPr>
            <w:r>
              <w:rPr>
                <w:rFonts w:ascii="宋体" w:hAnsi="宋体" w:eastAsia="宋体"/>
                <w:sz w:val="16"/>
              </w:rPr>
              <w:t>各类优抚对象总人数（人）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8791">
            <w:pPr>
              <w:jc w:val="center"/>
            </w:pPr>
            <w:r>
              <w:rPr>
                <w:rFonts w:ascii="宋体" w:hAnsi="宋体" w:eastAsia="宋体"/>
                <w:sz w:val="16"/>
              </w:rPr>
              <w:t>&gt;=112人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5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5197">
            <w:pPr>
              <w:jc w:val="center"/>
            </w:pPr>
            <w:r>
              <w:rPr>
                <w:rFonts w:ascii="宋体" w:hAnsi="宋体" w:eastAsia="宋体"/>
                <w:sz w:val="16"/>
              </w:rPr>
              <w:t>108人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0F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C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5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CB0A">
            <w:pPr>
              <w:jc w:val="center"/>
            </w:pPr>
            <w:r>
              <w:rPr>
                <w:rFonts w:ascii="宋体" w:hAnsi="宋体" w:eastAsia="宋体"/>
                <w:sz w:val="16"/>
              </w:rPr>
              <w:t>=112人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FC1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0D53">
            <w:pPr>
              <w:jc w:val="center"/>
            </w:pPr>
          </w:p>
        </w:tc>
      </w:tr>
      <w:tr w14:paraId="2E510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B6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A2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354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46C9">
            <w:pPr>
              <w:jc w:val="center"/>
            </w:pPr>
            <w:r>
              <w:rPr>
                <w:rFonts w:ascii="宋体" w:hAnsi="宋体" w:eastAsia="宋体"/>
                <w:sz w:val="16"/>
              </w:rPr>
              <w:t>对各类优抚对象抚恤补助标准按规定执行率（%）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4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6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B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5B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8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B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1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6D3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73E1">
            <w:pPr>
              <w:jc w:val="center"/>
            </w:pPr>
          </w:p>
        </w:tc>
      </w:tr>
      <w:tr w14:paraId="55BC9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F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C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5D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88F8">
            <w:pPr>
              <w:jc w:val="center"/>
            </w:pPr>
            <w:r>
              <w:rPr>
                <w:rFonts w:ascii="宋体" w:hAnsi="宋体" w:eastAsia="宋体"/>
                <w:sz w:val="16"/>
              </w:rPr>
              <w:t>优抚对象医疗补助发放率（%）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2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1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9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99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2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8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E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32F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E676">
            <w:pPr>
              <w:jc w:val="center"/>
            </w:pPr>
          </w:p>
        </w:tc>
      </w:tr>
      <w:tr w14:paraId="18D96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1C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5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B9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6AD9">
            <w:pPr>
              <w:jc w:val="center"/>
            </w:pPr>
            <w:r>
              <w:rPr>
                <w:rFonts w:ascii="宋体" w:hAnsi="宋体" w:eastAsia="宋体"/>
                <w:sz w:val="16"/>
              </w:rPr>
              <w:t>经费足额拨付率（%）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0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2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4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07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5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C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B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D0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6E13">
            <w:pPr>
              <w:jc w:val="center"/>
            </w:pPr>
          </w:p>
        </w:tc>
      </w:tr>
      <w:tr w14:paraId="5CC09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EB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866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C40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45E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C1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1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FC75">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5D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8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B5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97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81FCA">
            <w:pPr>
              <w:jc w:val="center"/>
            </w:pPr>
          </w:p>
        </w:tc>
      </w:tr>
      <w:tr w14:paraId="09007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2C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B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54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2FD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1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2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E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B1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4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1968">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E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47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AB76">
            <w:pPr>
              <w:jc w:val="center"/>
            </w:pPr>
          </w:p>
        </w:tc>
      </w:tr>
      <w:tr w14:paraId="67CB8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9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2D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19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5489">
            <w:pPr>
              <w:jc w:val="center"/>
            </w:pPr>
            <w:r>
              <w:rPr>
                <w:rFonts w:ascii="宋体" w:hAnsi="宋体" w:eastAsia="宋体"/>
                <w:sz w:val="16"/>
              </w:rPr>
              <w:t>优抚对象平均每人发放补助（万元/人）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B6D9">
            <w:pPr>
              <w:jc w:val="center"/>
            </w:pPr>
            <w:r>
              <w:rPr>
                <w:rFonts w:ascii="宋体" w:hAnsi="宋体" w:eastAsia="宋体"/>
                <w:sz w:val="16"/>
              </w:rPr>
              <w:t>&lt;=2.05万元/人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CF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DC2A">
            <w:pPr>
              <w:jc w:val="center"/>
            </w:pPr>
            <w:r>
              <w:rPr>
                <w:rFonts w:ascii="宋体" w:hAnsi="宋体" w:eastAsia="宋体"/>
                <w:sz w:val="16"/>
              </w:rPr>
              <w:t>2.16万元/年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32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B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C1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FF28">
            <w:pPr>
              <w:jc w:val="center"/>
            </w:pPr>
            <w:r>
              <w:rPr>
                <w:rFonts w:ascii="宋体" w:hAnsi="宋体" w:eastAsia="宋体"/>
                <w:sz w:val="16"/>
              </w:rPr>
              <w:t>=1.96万元/人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6011">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8B9E">
            <w:pPr>
              <w:jc w:val="center"/>
            </w:pPr>
            <w:r>
              <w:rPr>
                <w:rFonts w:ascii="宋体" w:hAnsi="宋体" w:eastAsia="宋体"/>
                <w:sz w:val="16"/>
              </w:rPr>
              <w:t>原因：重点优抚对象人员较少，导致人均发放补助减少。整改措施：严格按照重点优抚对象实际发放补助费用。</w:t>
            </w:r>
          </w:p>
        </w:tc>
      </w:tr>
      <w:tr w14:paraId="75CCE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7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D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06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1DF6">
            <w:pPr>
              <w:jc w:val="center"/>
            </w:pPr>
            <w:r>
              <w:rPr>
                <w:rFonts w:ascii="宋体" w:hAnsi="宋体" w:eastAsia="宋体"/>
                <w:sz w:val="16"/>
              </w:rPr>
              <w:t>改善优抚对象生活质量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68C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C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4A2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E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79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AC7C">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604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B7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CEFF5">
            <w:pPr>
              <w:jc w:val="center"/>
            </w:pPr>
          </w:p>
        </w:tc>
      </w:tr>
      <w:tr w14:paraId="11CFD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A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F9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3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A80F">
            <w:pPr>
              <w:jc w:val="center"/>
            </w:pPr>
            <w:r>
              <w:rPr>
                <w:rFonts w:ascii="宋体" w:hAnsi="宋体" w:eastAsia="宋体"/>
                <w:sz w:val="16"/>
              </w:rPr>
              <w:t>各类优抚对象人员满意度（%）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30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0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12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F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E1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EA1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A6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4F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1E8B">
            <w:pPr>
              <w:jc w:val="center"/>
            </w:pPr>
          </w:p>
        </w:tc>
      </w:tr>
      <w:tr w14:paraId="06EEBD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496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06C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AB1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BE1C">
            <w:pPr>
              <w:jc w:val="center"/>
            </w:pPr>
            <w:r>
              <w:rPr>
                <w:rFonts w:ascii="宋体" w:hAnsi="宋体" w:eastAsia="宋体"/>
                <w:sz w:val="16"/>
              </w:rPr>
              <w:t>95.63分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425168"/>
        </w:tc>
      </w:tr>
    </w:tbl>
    <w:p w14:paraId="10BED3C5">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7C2643E5">
        <w:tblPrEx>
          <w:tblCellMar>
            <w:top w:w="0" w:type="dxa"/>
            <w:left w:w="108" w:type="dxa"/>
            <w:bottom w:w="0" w:type="dxa"/>
            <w:right w:w="108" w:type="dxa"/>
          </w:tblCellMar>
        </w:tblPrEx>
        <w:tc>
          <w:tcPr>
            <w:tcW w:w="8848" w:type="dxa"/>
            <w:gridSpan w:val="14"/>
            <w:vAlign w:val="center"/>
          </w:tcPr>
          <w:p w14:paraId="4BE4EFF1">
            <w:pPr>
              <w:jc w:val="center"/>
            </w:pPr>
            <w:r>
              <w:rPr>
                <w:rFonts w:ascii="宋体" w:hAnsi="宋体" w:eastAsia="宋体"/>
                <w:sz w:val="24"/>
              </w:rPr>
              <w:t>项目支出绩效自评表</w:t>
            </w:r>
          </w:p>
        </w:tc>
      </w:tr>
      <w:tr w14:paraId="2B4736AA">
        <w:tblPrEx>
          <w:tblCellMar>
            <w:top w:w="0" w:type="dxa"/>
            <w:left w:w="108" w:type="dxa"/>
            <w:bottom w:w="0" w:type="dxa"/>
            <w:right w:w="108" w:type="dxa"/>
          </w:tblCellMar>
        </w:tblPrEx>
        <w:tc>
          <w:tcPr>
            <w:tcW w:w="8848" w:type="dxa"/>
            <w:gridSpan w:val="14"/>
            <w:vAlign w:val="center"/>
          </w:tcPr>
          <w:p w14:paraId="4208843D">
            <w:pPr>
              <w:jc w:val="center"/>
            </w:pPr>
            <w:r>
              <w:rPr>
                <w:rFonts w:ascii="宋体" w:hAnsi="宋体" w:eastAsia="宋体"/>
                <w:sz w:val="24"/>
              </w:rPr>
              <w:t>(2024年度)</w:t>
            </w:r>
          </w:p>
        </w:tc>
      </w:tr>
      <w:tr w14:paraId="5DD7B0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45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72AE3E">
            <w:pPr>
              <w:jc w:val="center"/>
            </w:pPr>
            <w:r>
              <w:rPr>
                <w:rFonts w:ascii="宋体" w:hAnsi="宋体" w:eastAsia="宋体"/>
                <w:sz w:val="16"/>
              </w:rPr>
              <w:t>疏附县退役军人事务局单位资金项目</w:t>
            </w:r>
          </w:p>
        </w:tc>
      </w:tr>
      <w:tr w14:paraId="2CB41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11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C5D08">
            <w:pPr>
              <w:jc w:val="center"/>
            </w:pPr>
            <w:r>
              <w:rPr>
                <w:rFonts w:ascii="宋体" w:hAnsi="宋体" w:eastAsia="宋体"/>
                <w:sz w:val="16"/>
              </w:rPr>
              <w:t>新疆维吾尔自治区退役军人事务厅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5B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983D5">
            <w:pPr>
              <w:jc w:val="center"/>
            </w:pPr>
            <w:r>
              <w:rPr>
                <w:rFonts w:ascii="宋体" w:hAnsi="宋体" w:eastAsia="宋体"/>
                <w:sz w:val="16"/>
              </w:rPr>
              <w:t>疏附县退役军人事务局</w:t>
            </w:r>
          </w:p>
        </w:tc>
      </w:tr>
      <w:tr w14:paraId="31D3F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C29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2FE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F1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36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EC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C7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65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38F6">
            <w:pPr>
              <w:jc w:val="center"/>
            </w:pPr>
            <w:r>
              <w:rPr>
                <w:rFonts w:ascii="宋体" w:hAnsi="宋体" w:eastAsia="宋体"/>
                <w:sz w:val="16"/>
              </w:rPr>
              <w:t>得分</w:t>
            </w:r>
          </w:p>
        </w:tc>
      </w:tr>
      <w:tr w14:paraId="566BE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01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A2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28924">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73FE">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884AA">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9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9F4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CFCA">
            <w:pPr>
              <w:jc w:val="center"/>
            </w:pPr>
            <w:r>
              <w:rPr>
                <w:rFonts w:ascii="宋体" w:hAnsi="宋体" w:eastAsia="宋体"/>
                <w:sz w:val="16"/>
              </w:rPr>
              <w:t>10.00分</w:t>
            </w:r>
          </w:p>
        </w:tc>
      </w:tr>
      <w:tr w14:paraId="709B9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40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94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08CB">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392E">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DED4">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53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F6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2693">
            <w:pPr>
              <w:jc w:val="center"/>
            </w:pPr>
            <w:r>
              <w:rPr>
                <w:rFonts w:ascii="宋体" w:hAnsi="宋体" w:eastAsia="宋体"/>
                <w:sz w:val="16"/>
              </w:rPr>
              <w:t>—</w:t>
            </w:r>
          </w:p>
        </w:tc>
      </w:tr>
      <w:tr w14:paraId="44FB8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AF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F42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EA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DE8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BC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C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9AA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CA17">
            <w:pPr>
              <w:jc w:val="center"/>
            </w:pPr>
            <w:r>
              <w:rPr>
                <w:rFonts w:ascii="宋体" w:hAnsi="宋体" w:eastAsia="宋体"/>
                <w:sz w:val="16"/>
              </w:rPr>
              <w:t>—</w:t>
            </w:r>
          </w:p>
        </w:tc>
      </w:tr>
      <w:tr w14:paraId="59242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03D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E64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6CDCE">
            <w:pPr>
              <w:jc w:val="center"/>
            </w:pPr>
            <w:r>
              <w:rPr>
                <w:rFonts w:ascii="宋体" w:hAnsi="宋体" w:eastAsia="宋体"/>
                <w:sz w:val="16"/>
              </w:rPr>
              <w:t>实际完成情况</w:t>
            </w:r>
          </w:p>
        </w:tc>
      </w:tr>
      <w:tr w14:paraId="5E74A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EDE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ED082">
            <w:pPr>
              <w:jc w:val="both"/>
            </w:pPr>
            <w:r>
              <w:rPr>
                <w:rFonts w:ascii="宋体" w:hAnsi="宋体" w:eastAsia="宋体"/>
                <w:sz w:val="16"/>
              </w:rPr>
              <w:t>本项目预算金额为59.5万元，主要用于一是给退役军人事务局11名工作人员缴纳社保及公积金费用为3.68万元，二是用于办公经费0.067万元，三是用于其他费用支出55.75万元，预计通过本项目的实施有效保障工作人员正常权益，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A2E7BE">
            <w:pPr>
              <w:jc w:val="both"/>
            </w:pPr>
            <w:r>
              <w:rPr>
                <w:rFonts w:hint="eastAsia" w:ascii="宋体" w:hAnsi="宋体"/>
                <w:sz w:val="16"/>
                <w:lang w:eastAsia="zh-CN"/>
              </w:rPr>
              <w:t>截至2024</w:t>
            </w:r>
            <w:r>
              <w:rPr>
                <w:rFonts w:ascii="宋体" w:hAnsi="宋体" w:eastAsia="宋体"/>
                <w:sz w:val="16"/>
              </w:rPr>
              <w:t>年12月31日，项目执行金额59.5万元，执行率100%，该项目主要用于给退役军人事务局11名工作人员缴纳社保及公积金费用为3.68万元，用于办公经费0.067万元，用于其他费用支出55.75万元，通过实施该项目有效保障工作人员合法权益，工作人员满意度达到95%以上。</w:t>
            </w:r>
          </w:p>
        </w:tc>
      </w:tr>
      <w:tr w14:paraId="084C5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EF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49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92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E4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C7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BF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36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93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9B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EE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0C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D8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3045">
            <w:pPr>
              <w:jc w:val="center"/>
            </w:pPr>
            <w:r>
              <w:rPr>
                <w:rFonts w:ascii="宋体" w:hAnsi="宋体" w:eastAsia="宋体"/>
                <w:sz w:val="16"/>
              </w:rPr>
              <w:t>偏差原因分析及改进措施</w:t>
            </w:r>
          </w:p>
        </w:tc>
      </w:tr>
      <w:tr w14:paraId="6AB33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D72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A32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7C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0F6C">
            <w:pPr>
              <w:jc w:val="center"/>
            </w:pPr>
            <w:r>
              <w:rPr>
                <w:rFonts w:ascii="宋体" w:hAnsi="宋体" w:eastAsia="宋体"/>
                <w:sz w:val="16"/>
              </w:rPr>
              <w:t>单位资金项目数（个）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A81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96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2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781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C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7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5D0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89E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2E07">
            <w:pPr>
              <w:jc w:val="center"/>
            </w:pPr>
          </w:p>
        </w:tc>
      </w:tr>
      <w:tr w14:paraId="12395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96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1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73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A8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A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3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6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A8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E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8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A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D6C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7E108">
            <w:pPr>
              <w:jc w:val="center"/>
            </w:pPr>
          </w:p>
        </w:tc>
      </w:tr>
      <w:tr w14:paraId="339B1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C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6E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22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A8E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9C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F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E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B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B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416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99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F2DD">
            <w:pPr>
              <w:jc w:val="center"/>
            </w:pPr>
          </w:p>
        </w:tc>
      </w:tr>
      <w:tr w14:paraId="2FC71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6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F66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62E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A8BD">
            <w:pPr>
              <w:jc w:val="center"/>
            </w:pPr>
            <w:r>
              <w:rPr>
                <w:rFonts w:ascii="宋体" w:hAnsi="宋体" w:eastAsia="宋体"/>
                <w:sz w:val="16"/>
              </w:rPr>
              <w:t>社保公积金缴费金额（万元）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3679">
            <w:pPr>
              <w:jc w:val="center"/>
            </w:pPr>
            <w:r>
              <w:rPr>
                <w:rFonts w:ascii="宋体" w:hAnsi="宋体" w:eastAsia="宋体"/>
                <w:sz w:val="16"/>
              </w:rPr>
              <w:t>&lt;=3.68万元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2C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63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17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4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9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3EDA">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F44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FE009">
            <w:pPr>
              <w:jc w:val="center"/>
            </w:pPr>
          </w:p>
        </w:tc>
      </w:tr>
      <w:tr w14:paraId="1FFC3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9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12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5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323C">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BDD1">
            <w:pPr>
              <w:jc w:val="center"/>
            </w:pPr>
            <w:r>
              <w:rPr>
                <w:rFonts w:ascii="宋体" w:hAnsi="宋体" w:eastAsia="宋体"/>
                <w:sz w:val="16"/>
              </w:rPr>
              <w:t>&lt;=0.067万元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D1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32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6D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0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67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0802">
            <w:pPr>
              <w:jc w:val="center"/>
            </w:pPr>
            <w:r>
              <w:rPr>
                <w:rFonts w:ascii="宋体" w:hAnsi="宋体" w:eastAsia="宋体"/>
                <w:sz w:val="16"/>
              </w:rPr>
              <w:t>=0.067万元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5C3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99D8">
            <w:pPr>
              <w:jc w:val="center"/>
            </w:pPr>
          </w:p>
        </w:tc>
      </w:tr>
      <w:tr w14:paraId="17948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0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AC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C9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E933">
            <w:pPr>
              <w:jc w:val="center"/>
            </w:pPr>
            <w:r>
              <w:rPr>
                <w:rFonts w:ascii="宋体" w:hAnsi="宋体" w:eastAsia="宋体"/>
                <w:sz w:val="16"/>
              </w:rPr>
              <w:t>其他费用支出（万元）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2CE7">
            <w:pPr>
              <w:jc w:val="center"/>
            </w:pPr>
            <w:r>
              <w:rPr>
                <w:rFonts w:ascii="宋体" w:hAnsi="宋体" w:eastAsia="宋体"/>
                <w:sz w:val="16"/>
              </w:rPr>
              <w:t>&lt;=55.75万元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EE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C9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581E">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B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0E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2E78">
            <w:pPr>
              <w:jc w:val="center"/>
            </w:pPr>
            <w:r>
              <w:rPr>
                <w:rFonts w:ascii="宋体" w:hAnsi="宋体" w:eastAsia="宋体"/>
                <w:sz w:val="16"/>
              </w:rPr>
              <w:t>=55.75万元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E781">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E8F2">
            <w:pPr>
              <w:jc w:val="center"/>
            </w:pPr>
          </w:p>
        </w:tc>
      </w:tr>
      <w:tr w14:paraId="01219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4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35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6F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2300">
            <w:pPr>
              <w:jc w:val="center"/>
            </w:pPr>
            <w:r>
              <w:rPr>
                <w:rFonts w:ascii="宋体" w:hAnsi="宋体" w:eastAsia="宋体"/>
                <w:sz w:val="16"/>
              </w:rPr>
              <w:t>保障工作人员正常权益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EC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C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1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13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C5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0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29A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80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FFEC">
            <w:pPr>
              <w:jc w:val="center"/>
            </w:pPr>
          </w:p>
        </w:tc>
      </w:tr>
      <w:tr w14:paraId="07F68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92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92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D7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E38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46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E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E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A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3C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0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5C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8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63C6">
            <w:pPr>
              <w:jc w:val="center"/>
            </w:pPr>
          </w:p>
        </w:tc>
      </w:tr>
      <w:tr w14:paraId="6FF6286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961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DD0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AF8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C85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2B034B3"/>
        </w:tc>
      </w:tr>
    </w:tbl>
    <w:p w14:paraId="0546657B">
      <w:r>
        <w:br w:type="page"/>
      </w:r>
    </w:p>
    <w:p w14:paraId="2CF95B67">
      <w:pPr>
        <w:spacing w:line="640" w:lineRule="exact"/>
        <w:ind w:firstLine="640"/>
        <w:jc w:val="both"/>
        <w:outlineLvl w:val="2"/>
      </w:pPr>
      <w:r>
        <w:rPr>
          <w:rFonts w:ascii="黑体" w:hAnsi="黑体" w:eastAsia="黑体"/>
          <w:sz w:val="32"/>
        </w:rPr>
        <w:t>十二、其他需说明的事项</w:t>
      </w:r>
    </w:p>
    <w:p w14:paraId="72BBFD6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317F823">
      <w:pPr>
        <w:spacing w:line="580" w:lineRule="exact"/>
        <w:ind w:firstLine="640"/>
        <w:jc w:val="both"/>
      </w:pPr>
      <w:r>
        <w:rPr>
          <w:rFonts w:ascii="仿宋_GB2312" w:hAnsi="仿宋_GB2312" w:eastAsia="仿宋_GB2312"/>
          <w:b w:val="0"/>
          <w:sz w:val="32"/>
        </w:rPr>
        <w:t>本年本单位SM项目15个，全年预算数446.33万元，全年执行数433.00万元。</w:t>
      </w:r>
    </w:p>
    <w:p w14:paraId="28E0C620">
      <w:r>
        <w:br w:type="page"/>
      </w:r>
    </w:p>
    <w:p w14:paraId="6560C70A">
      <w:pPr>
        <w:spacing w:line="240" w:lineRule="auto"/>
        <w:jc w:val="center"/>
        <w:outlineLvl w:val="1"/>
      </w:pPr>
      <w:r>
        <w:rPr>
          <w:rFonts w:ascii="黑体" w:hAnsi="黑体" w:eastAsia="黑体"/>
          <w:sz w:val="32"/>
        </w:rPr>
        <w:t>第三部分 专业名词解释</w:t>
      </w:r>
    </w:p>
    <w:p w14:paraId="709FEE9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84382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96F2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4EB2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14D60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5668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5E89C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A99B9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4999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92F35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880E5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90226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4C9E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377EE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22632E">
      <w:r>
        <w:br w:type="page"/>
      </w:r>
    </w:p>
    <w:p w14:paraId="35A65183">
      <w:pPr>
        <w:spacing w:line="240" w:lineRule="auto"/>
        <w:jc w:val="center"/>
        <w:outlineLvl w:val="1"/>
      </w:pPr>
      <w:r>
        <w:rPr>
          <w:rFonts w:ascii="黑体" w:hAnsi="黑体" w:eastAsia="黑体"/>
          <w:sz w:val="32"/>
        </w:rPr>
        <w:t>第四部分 部门决算报表（见附表）</w:t>
      </w:r>
    </w:p>
    <w:p w14:paraId="6FA6DA8D">
      <w:pPr>
        <w:spacing w:line="240" w:lineRule="auto"/>
        <w:ind w:firstLine="640"/>
        <w:jc w:val="both"/>
      </w:pPr>
      <w:r>
        <w:rPr>
          <w:rFonts w:ascii="仿宋_GB2312" w:hAnsi="仿宋_GB2312" w:eastAsia="仿宋_GB2312"/>
          <w:b w:val="0"/>
          <w:sz w:val="32"/>
        </w:rPr>
        <w:t>一、《收入支出决算总表》</w:t>
      </w:r>
    </w:p>
    <w:p w14:paraId="7716FBAB">
      <w:pPr>
        <w:spacing w:line="240" w:lineRule="auto"/>
        <w:ind w:firstLine="640"/>
        <w:jc w:val="both"/>
      </w:pPr>
      <w:r>
        <w:rPr>
          <w:rFonts w:ascii="仿宋_GB2312" w:hAnsi="仿宋_GB2312" w:eastAsia="仿宋_GB2312"/>
          <w:b w:val="0"/>
          <w:sz w:val="32"/>
        </w:rPr>
        <w:t>二、《收入决算表》</w:t>
      </w:r>
    </w:p>
    <w:p w14:paraId="7AC08471">
      <w:pPr>
        <w:spacing w:line="240" w:lineRule="auto"/>
        <w:ind w:firstLine="640"/>
        <w:jc w:val="both"/>
      </w:pPr>
      <w:r>
        <w:rPr>
          <w:rFonts w:ascii="仿宋_GB2312" w:hAnsi="仿宋_GB2312" w:eastAsia="仿宋_GB2312"/>
          <w:b w:val="0"/>
          <w:sz w:val="32"/>
        </w:rPr>
        <w:t>三、《支出决算表》</w:t>
      </w:r>
    </w:p>
    <w:p w14:paraId="3C4A662D">
      <w:pPr>
        <w:spacing w:line="240" w:lineRule="auto"/>
        <w:ind w:firstLine="640"/>
        <w:jc w:val="both"/>
      </w:pPr>
      <w:r>
        <w:rPr>
          <w:rFonts w:ascii="仿宋_GB2312" w:hAnsi="仿宋_GB2312" w:eastAsia="仿宋_GB2312"/>
          <w:b w:val="0"/>
          <w:sz w:val="32"/>
        </w:rPr>
        <w:t>四、《财政拨款收入支出决算总表》</w:t>
      </w:r>
    </w:p>
    <w:p w14:paraId="1511CA80">
      <w:pPr>
        <w:spacing w:line="240" w:lineRule="auto"/>
        <w:ind w:firstLine="640"/>
        <w:jc w:val="both"/>
      </w:pPr>
      <w:r>
        <w:rPr>
          <w:rFonts w:ascii="仿宋_GB2312" w:hAnsi="仿宋_GB2312" w:eastAsia="仿宋_GB2312"/>
          <w:b w:val="0"/>
          <w:sz w:val="32"/>
        </w:rPr>
        <w:t>五、《一般公共预算财政拨款支出决算表》</w:t>
      </w:r>
    </w:p>
    <w:p w14:paraId="38E02FB4">
      <w:pPr>
        <w:spacing w:line="240" w:lineRule="auto"/>
        <w:ind w:firstLine="640"/>
        <w:jc w:val="both"/>
      </w:pPr>
      <w:r>
        <w:rPr>
          <w:rFonts w:ascii="仿宋_GB2312" w:hAnsi="仿宋_GB2312" w:eastAsia="仿宋_GB2312"/>
          <w:b w:val="0"/>
          <w:sz w:val="32"/>
        </w:rPr>
        <w:t>六、《一般公共预算财政拨款基本支出决算表》</w:t>
      </w:r>
    </w:p>
    <w:p w14:paraId="5854E5FE">
      <w:pPr>
        <w:spacing w:line="240" w:lineRule="auto"/>
        <w:ind w:firstLine="640"/>
        <w:jc w:val="both"/>
      </w:pPr>
      <w:r>
        <w:rPr>
          <w:rFonts w:ascii="仿宋_GB2312" w:hAnsi="仿宋_GB2312" w:eastAsia="仿宋_GB2312"/>
          <w:b w:val="0"/>
          <w:sz w:val="32"/>
        </w:rPr>
        <w:t>七、《政府性基金预算财政拨款收入支出决算表》</w:t>
      </w:r>
    </w:p>
    <w:p w14:paraId="66AB0CC8">
      <w:pPr>
        <w:spacing w:line="240" w:lineRule="auto"/>
        <w:ind w:firstLine="640"/>
        <w:jc w:val="both"/>
      </w:pPr>
      <w:r>
        <w:rPr>
          <w:rFonts w:ascii="仿宋_GB2312" w:hAnsi="仿宋_GB2312" w:eastAsia="仿宋_GB2312"/>
          <w:b w:val="0"/>
          <w:sz w:val="32"/>
        </w:rPr>
        <w:t>八、《国有资本经营预算财政拨款收入支出决算表》</w:t>
      </w:r>
    </w:p>
    <w:p w14:paraId="0E2220C3">
      <w:pPr>
        <w:spacing w:line="240" w:lineRule="auto"/>
        <w:ind w:firstLine="640"/>
        <w:jc w:val="both"/>
      </w:pPr>
      <w:r>
        <w:rPr>
          <w:rFonts w:ascii="仿宋_GB2312" w:hAnsi="仿宋_GB2312" w:eastAsia="仿宋_GB2312"/>
          <w:b w:val="0"/>
          <w:sz w:val="32"/>
        </w:rPr>
        <w:t>九、《财政拨款“三公”经费支出决算表》</w:t>
      </w:r>
    </w:p>
    <w:p w14:paraId="2D96B3C7">
      <w:pPr>
        <w:spacing w:line="240" w:lineRule="auto"/>
        <w:ind w:firstLine="640"/>
        <w:jc w:val="both"/>
      </w:pPr>
    </w:p>
    <w:p w14:paraId="52BD9547">
      <w:pPr>
        <w:spacing w:line="240" w:lineRule="auto"/>
        <w:ind w:firstLine="640"/>
        <w:jc w:val="both"/>
      </w:pPr>
    </w:p>
    <w:p w14:paraId="48D72FF8">
      <w:pPr>
        <w:spacing w:line="240" w:lineRule="auto"/>
        <w:ind w:firstLine="640"/>
        <w:jc w:val="both"/>
      </w:pPr>
    </w:p>
    <w:p w14:paraId="7AACC6C8">
      <w:pPr>
        <w:spacing w:line="240" w:lineRule="auto"/>
        <w:ind w:firstLine="640"/>
        <w:jc w:val="both"/>
      </w:pPr>
    </w:p>
    <w:p w14:paraId="0E12251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32777D"/>
    <w:rsid w:val="0DA75B58"/>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AC49BD"/>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6849</Words>
  <Characters>7739</Characters>
  <Lines>0</Lines>
  <Paragraphs>0</Paragraphs>
  <TotalTime>10</TotalTime>
  <ScaleCrop>false</ScaleCrop>
  <LinksUpToDate>false</LinksUpToDate>
  <CharactersWithSpaces>7747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2025-09-16T11:22:08Z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