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7819E1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疏附县塔什米里克乡卫生院2024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E11BA46">
      <w:r>
        <w:br w:type="page"/>
      </w:r>
    </w:p>
    <w:p w14:paraId="7F7A8307">
      <w:pPr>
        <w:spacing w:line="640" w:lineRule="exact"/>
        <w:jc w:val="center"/>
        <w:outlineLvl w:val="1"/>
      </w:pPr>
      <w:r>
        <w:rPr>
          <w:rFonts w:ascii="黑体" w:hAnsi="黑体" w:eastAsia="黑体"/>
          <w:sz w:val="32"/>
        </w:rPr>
        <w:t>第一部分 单位概况</w:t>
      </w:r>
    </w:p>
    <w:p w14:paraId="42675BB1">
      <w:pPr>
        <w:spacing w:line="640" w:lineRule="exact"/>
        <w:ind w:firstLine="640"/>
        <w:jc w:val="both"/>
        <w:outlineLvl w:val="2"/>
      </w:pPr>
      <w:r>
        <w:rPr>
          <w:rFonts w:ascii="黑体" w:hAnsi="黑体" w:eastAsia="黑体"/>
          <w:sz w:val="32"/>
        </w:rPr>
        <w:t>一、主要职能</w:t>
      </w:r>
    </w:p>
    <w:p w14:paraId="1D598204">
      <w:pPr>
        <w:spacing w:line="580" w:lineRule="exact"/>
        <w:ind w:firstLine="640"/>
        <w:jc w:val="both"/>
      </w:pPr>
      <w:r>
        <w:rPr>
          <w:rFonts w:ascii="仿宋_GB2312" w:hAnsi="仿宋_GB2312" w:eastAsia="仿宋_GB2312"/>
          <w:sz w:val="32"/>
        </w:rPr>
        <w:t>为人民身体健康提供医疗和预防保健服务。医疗常见病多发病护理，恢复期病人康复治疗与护理，预防保健初级技术人员培训初级卫生保健规划实施，基本医疗组织、管理卫生监督与卫生信息管理。</w:t>
      </w:r>
    </w:p>
    <w:p w14:paraId="3C8E51A5">
      <w:pPr>
        <w:spacing w:line="640" w:lineRule="exact"/>
        <w:ind w:firstLine="640"/>
        <w:jc w:val="both"/>
        <w:outlineLvl w:val="2"/>
      </w:pPr>
      <w:r>
        <w:rPr>
          <w:rFonts w:ascii="黑体" w:hAnsi="黑体" w:eastAsia="黑体"/>
          <w:sz w:val="32"/>
        </w:rPr>
        <w:t>二、机构设置及人员情况</w:t>
      </w:r>
    </w:p>
    <w:p w14:paraId="3EA877A9">
      <w:pPr>
        <w:spacing w:line="580" w:lineRule="exact"/>
        <w:ind w:firstLine="640"/>
        <w:jc w:val="both"/>
      </w:pPr>
      <w:r>
        <w:rPr>
          <w:rFonts w:ascii="仿宋_GB2312" w:hAnsi="仿宋_GB2312" w:eastAsia="仿宋_GB2312"/>
          <w:sz w:val="32"/>
        </w:rPr>
        <w:t>疏附县塔什米里克乡卫生院2024年度，实有人数48人，其中：在职人员35人，增加1人；离休人员0人，增加0人；退休人员13人</w:t>
      </w:r>
      <w:bookmarkStart w:id="0" w:name="_GoBack"/>
      <w:r>
        <w:rPr>
          <w:rFonts w:ascii="仿宋_GB2312" w:hAnsi="仿宋_GB2312" w:eastAsia="仿宋_GB2312"/>
          <w:sz w:val="32"/>
        </w:rPr>
        <w:t>,</w:t>
      </w:r>
      <w:bookmarkEnd w:id="0"/>
      <w:r>
        <w:rPr>
          <w:rFonts w:ascii="仿宋_GB2312" w:hAnsi="仿宋_GB2312" w:eastAsia="仿宋_GB2312"/>
          <w:sz w:val="32"/>
        </w:rPr>
        <w:t>增加2人。</w:t>
      </w:r>
    </w:p>
    <w:p w14:paraId="362C883D">
      <w:pPr>
        <w:spacing w:line="580" w:lineRule="exact"/>
        <w:ind w:firstLine="640"/>
        <w:jc w:val="both"/>
      </w:pPr>
      <w:r>
        <w:rPr>
          <w:rFonts w:ascii="仿宋_GB2312" w:hAnsi="仿宋_GB2312" w:eastAsia="仿宋_GB2312"/>
          <w:sz w:val="32"/>
        </w:rPr>
        <w:t>疏附县塔什米里克乡卫生院无下属预算单位，下设9个科室，分别是：门诊、住院、体检中心、化验室、放射科、妇科、中医科、院办、财务室。</w:t>
      </w:r>
    </w:p>
    <w:p w14:paraId="5FBB62C1">
      <w:r>
        <w:br w:type="page"/>
      </w:r>
    </w:p>
    <w:p w14:paraId="781A81B8">
      <w:pPr>
        <w:spacing w:line="240" w:lineRule="auto"/>
        <w:jc w:val="center"/>
        <w:outlineLvl w:val="1"/>
      </w:pPr>
      <w:r>
        <w:rPr>
          <w:rFonts w:ascii="黑体" w:hAnsi="黑体" w:eastAsia="黑体"/>
          <w:sz w:val="32"/>
        </w:rPr>
        <w:t>第二部分 部门决算情况说明</w:t>
      </w:r>
    </w:p>
    <w:p w14:paraId="0A7B3E25">
      <w:pPr>
        <w:spacing w:line="640" w:lineRule="exact"/>
        <w:ind w:firstLine="640"/>
        <w:jc w:val="both"/>
        <w:outlineLvl w:val="2"/>
      </w:pPr>
      <w:r>
        <w:rPr>
          <w:rFonts w:ascii="黑体" w:hAnsi="黑体" w:eastAsia="黑体"/>
          <w:sz w:val="32"/>
        </w:rPr>
        <w:t>一、收入支出决算总体情况说明</w:t>
      </w:r>
    </w:p>
    <w:p w14:paraId="0EB5C21A">
      <w:pPr>
        <w:spacing w:line="580" w:lineRule="exact"/>
        <w:ind w:firstLine="640"/>
        <w:jc w:val="both"/>
      </w:pPr>
      <w:r>
        <w:rPr>
          <w:rFonts w:ascii="仿宋_GB2312" w:hAnsi="仿宋_GB2312" w:eastAsia="仿宋_GB2312"/>
          <w:b/>
          <w:sz w:val="32"/>
        </w:rPr>
        <w:t>2024年度收入总计1,583.00万元，</w:t>
      </w:r>
      <w:r>
        <w:rPr>
          <w:rFonts w:ascii="仿宋_GB2312" w:hAnsi="仿宋_GB2312" w:eastAsia="仿宋_GB2312"/>
          <w:b w:val="0"/>
          <w:sz w:val="32"/>
        </w:rPr>
        <w:t>其中：本年收入合计1,486.59万元，使用非财政拨款结余（含专用结余）0.00万元，年初结转和结余96.41万元。</w:t>
      </w:r>
    </w:p>
    <w:p w14:paraId="15879860">
      <w:pPr>
        <w:spacing w:line="580" w:lineRule="exact"/>
        <w:ind w:firstLine="640"/>
        <w:jc w:val="both"/>
      </w:pPr>
      <w:r>
        <w:rPr>
          <w:rFonts w:ascii="仿宋_GB2312" w:hAnsi="仿宋_GB2312" w:eastAsia="仿宋_GB2312"/>
          <w:b/>
          <w:sz w:val="32"/>
        </w:rPr>
        <w:t>2024年度支出总计1,583.00万元，</w:t>
      </w:r>
      <w:r>
        <w:rPr>
          <w:rFonts w:ascii="仿宋_GB2312" w:hAnsi="仿宋_GB2312" w:eastAsia="仿宋_GB2312"/>
          <w:b w:val="0"/>
          <w:sz w:val="32"/>
        </w:rPr>
        <w:t>其中：本年支出合计1,473.41万元，结余分配0.00万元，年末结转和结余109.59万元。</w:t>
      </w:r>
    </w:p>
    <w:p w14:paraId="7C52DDAE">
      <w:pPr>
        <w:spacing w:line="580" w:lineRule="exact"/>
        <w:ind w:firstLine="640"/>
        <w:jc w:val="both"/>
      </w:pPr>
      <w:r>
        <w:rPr>
          <w:rFonts w:ascii="仿宋_GB2312" w:hAnsi="仿宋_GB2312" w:eastAsia="仿宋_GB2312"/>
          <w:b w:val="0"/>
          <w:sz w:val="32"/>
        </w:rPr>
        <w:t>收入支出总体与上年相比，增加51.57万元，增长3.37%，主要原因是：本年在职人员工资调薪，工资、社保、公积金等相关人员经费增加，本年基本公共卫生项目资金，基本药物补助资金增加，导致经费较上年增加。</w:t>
      </w:r>
    </w:p>
    <w:p w14:paraId="4F27D757">
      <w:pPr>
        <w:spacing w:line="640" w:lineRule="exact"/>
        <w:ind w:firstLine="640"/>
        <w:jc w:val="both"/>
        <w:outlineLvl w:val="2"/>
      </w:pPr>
      <w:r>
        <w:rPr>
          <w:rFonts w:ascii="黑体" w:hAnsi="黑体" w:eastAsia="黑体"/>
          <w:sz w:val="32"/>
        </w:rPr>
        <w:t>二、收入决算情况说明</w:t>
      </w:r>
    </w:p>
    <w:p w14:paraId="43E5E804">
      <w:pPr>
        <w:spacing w:line="580" w:lineRule="exact"/>
        <w:ind w:firstLine="640"/>
        <w:jc w:val="both"/>
      </w:pPr>
      <w:r>
        <w:rPr>
          <w:rFonts w:ascii="仿宋_GB2312" w:hAnsi="仿宋_GB2312" w:eastAsia="仿宋_GB2312"/>
          <w:b/>
          <w:sz w:val="32"/>
        </w:rPr>
        <w:t>本年收入1,486.59万元，</w:t>
      </w:r>
      <w:r>
        <w:rPr>
          <w:rFonts w:ascii="仿宋_GB2312" w:hAnsi="仿宋_GB2312" w:eastAsia="仿宋_GB2312"/>
          <w:b w:val="0"/>
          <w:sz w:val="32"/>
        </w:rPr>
        <w:t>其中：财政拨款收入1,148.67万元，占77.27%；上级补助收入0.00万元，占0.00%；事业收入337.92万元，占22.73%；经营收入0.00万元，占0.00%；附属单位上缴收入0.00万元，占0.00%；其他收入0.00万元，占0.00%。</w:t>
      </w:r>
    </w:p>
    <w:p w14:paraId="19C29636">
      <w:pPr>
        <w:spacing w:line="640" w:lineRule="exact"/>
        <w:ind w:firstLine="640"/>
        <w:jc w:val="both"/>
        <w:outlineLvl w:val="2"/>
      </w:pPr>
      <w:r>
        <w:rPr>
          <w:rFonts w:ascii="黑体" w:hAnsi="黑体" w:eastAsia="黑体"/>
          <w:sz w:val="32"/>
        </w:rPr>
        <w:t>三、支出决算情况说明</w:t>
      </w:r>
    </w:p>
    <w:p w14:paraId="5854D098">
      <w:pPr>
        <w:spacing w:line="580" w:lineRule="exact"/>
        <w:ind w:firstLine="640"/>
        <w:jc w:val="both"/>
      </w:pPr>
      <w:r>
        <w:rPr>
          <w:rFonts w:ascii="仿宋_GB2312" w:hAnsi="仿宋_GB2312" w:eastAsia="仿宋_GB2312"/>
          <w:b/>
          <w:sz w:val="32"/>
        </w:rPr>
        <w:t>本年支出1,473.41万元，</w:t>
      </w:r>
      <w:r>
        <w:rPr>
          <w:rFonts w:ascii="仿宋_GB2312" w:hAnsi="仿宋_GB2312" w:eastAsia="仿宋_GB2312"/>
          <w:b w:val="0"/>
          <w:sz w:val="32"/>
        </w:rPr>
        <w:t>其中：基本支出924.25万元，占62.73%；项目支出549.15万元，占37.27%；上缴上级支出0.00万元，占0.00%；经营支出0.00万元，占0.00%；对附属单位补助支出0.00万元，占0.00%。</w:t>
      </w:r>
    </w:p>
    <w:p w14:paraId="17902F22">
      <w:pPr>
        <w:spacing w:line="640" w:lineRule="exact"/>
        <w:ind w:firstLine="640"/>
        <w:jc w:val="both"/>
        <w:outlineLvl w:val="2"/>
      </w:pPr>
      <w:r>
        <w:rPr>
          <w:rFonts w:ascii="黑体" w:hAnsi="黑体" w:eastAsia="黑体"/>
          <w:sz w:val="32"/>
        </w:rPr>
        <w:t>四、财政拨款收入支出决算总体情况说明</w:t>
      </w:r>
    </w:p>
    <w:p w14:paraId="73255205">
      <w:pPr>
        <w:spacing w:line="580" w:lineRule="exact"/>
        <w:ind w:firstLine="640"/>
        <w:jc w:val="both"/>
      </w:pPr>
      <w:r>
        <w:rPr>
          <w:rFonts w:ascii="仿宋_GB2312" w:hAnsi="仿宋_GB2312" w:eastAsia="仿宋_GB2312"/>
          <w:b/>
          <w:sz w:val="32"/>
        </w:rPr>
        <w:t>2024年度财政拨款收入总计1,148.67万元，</w:t>
      </w:r>
      <w:r>
        <w:rPr>
          <w:rFonts w:ascii="仿宋_GB2312" w:hAnsi="仿宋_GB2312" w:eastAsia="仿宋_GB2312"/>
          <w:b w:val="0"/>
          <w:sz w:val="32"/>
        </w:rPr>
        <w:t>其中：年初财政拨款结转和结余0.00万元，本年财政拨款收入1,148.67万元。</w:t>
      </w:r>
      <w:r>
        <w:rPr>
          <w:rFonts w:ascii="仿宋_GB2312" w:hAnsi="仿宋_GB2312" w:eastAsia="仿宋_GB2312"/>
          <w:b/>
          <w:sz w:val="32"/>
        </w:rPr>
        <w:t>财政拨款支出总计1,148.67万元，</w:t>
      </w:r>
      <w:r>
        <w:rPr>
          <w:rFonts w:ascii="仿宋_GB2312" w:hAnsi="仿宋_GB2312" w:eastAsia="仿宋_GB2312"/>
          <w:b w:val="0"/>
          <w:sz w:val="32"/>
        </w:rPr>
        <w:t>其中：年末财政拨款结转和结余0.00万元，本年财政拨款支出1,148.67万元。</w:t>
      </w:r>
    </w:p>
    <w:p w14:paraId="7631E4D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增加65.17万元，增长6.01%，主要原因是：本年在职人员工资调薪，工资、社保、公积金等相关人员经费增加，本年基本公共卫生项目资金，基本药物补助资金增加，导致经费较上年增加。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721.48万元，决算数1,148.67万元，预决算差异率59.21%，主要原因是：本年在职人员增加，年中追加人员经费及人员工资、社保、公积金基数调增部分资金；年中追加2024年中央基本药物制度补助资金、2024年基本公共卫生服务补助资金、导致预决算产生差异。</w:t>
      </w:r>
    </w:p>
    <w:p w14:paraId="76DA5710">
      <w:pPr>
        <w:spacing w:line="640" w:lineRule="exact"/>
        <w:ind w:firstLine="640"/>
        <w:jc w:val="both"/>
        <w:outlineLvl w:val="2"/>
      </w:pPr>
      <w:r>
        <w:rPr>
          <w:rFonts w:ascii="黑体" w:hAnsi="黑体" w:eastAsia="黑体"/>
          <w:sz w:val="32"/>
        </w:rPr>
        <w:t>五、一般公共预算财政拨款支出决算情况说明</w:t>
      </w:r>
    </w:p>
    <w:p w14:paraId="3A02A28A">
      <w:pPr>
        <w:spacing w:line="640" w:lineRule="exact"/>
        <w:ind w:firstLine="640"/>
        <w:jc w:val="both"/>
        <w:outlineLvl w:val="3"/>
      </w:pPr>
      <w:r>
        <w:rPr>
          <w:rFonts w:ascii="楷体_GB2312" w:hAnsi="楷体_GB2312" w:eastAsia="楷体_GB2312"/>
          <w:b/>
          <w:sz w:val="32"/>
        </w:rPr>
        <w:t>（一）一般公共预算财政拨款支出决算总体情况</w:t>
      </w:r>
    </w:p>
    <w:p w14:paraId="724C8F5C">
      <w:pPr>
        <w:spacing w:line="580" w:lineRule="exact"/>
        <w:ind w:firstLine="640"/>
        <w:jc w:val="both"/>
      </w:pPr>
      <w:r>
        <w:rPr>
          <w:rFonts w:ascii="仿宋_GB2312" w:hAnsi="仿宋_GB2312" w:eastAsia="仿宋_GB2312"/>
          <w:b/>
          <w:sz w:val="32"/>
        </w:rPr>
        <w:t>2024年度一般公共预算财政拨款支出1,148.67万元，</w:t>
      </w:r>
      <w:r>
        <w:rPr>
          <w:rFonts w:ascii="仿宋_GB2312" w:hAnsi="仿宋_GB2312" w:eastAsia="仿宋_GB2312"/>
          <w:b w:val="0"/>
          <w:sz w:val="32"/>
        </w:rPr>
        <w:t>占本年支出合计的77.96%。</w:t>
      </w:r>
      <w:r>
        <w:rPr>
          <w:rFonts w:ascii="仿宋_GB2312" w:hAnsi="仿宋_GB2312" w:eastAsia="仿宋_GB2312"/>
          <w:b/>
          <w:sz w:val="32"/>
        </w:rPr>
        <w:t>与上年相比，</w:t>
      </w:r>
      <w:r>
        <w:rPr>
          <w:rFonts w:ascii="仿宋_GB2312" w:hAnsi="仿宋_GB2312" w:eastAsia="仿宋_GB2312"/>
          <w:b w:val="0"/>
          <w:sz w:val="32"/>
        </w:rPr>
        <w:t>增加65.17万元，增长6.01%，主要原因是：本年在职人员增加，在职人员工资调增、社保、公积金基数调增，人员经费增加。本年基本公共卫生项目资金，基本药物补助资金增加，导致经费较上年增加。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721.48万元，决算数1,148.67万元，预决算差异率59.21%，主要原因是：本年在职人员增加，年中追加人员经费及人员工资、社保、公积金基数调增部分资金；年中追加2024年中央基本药物制度补助资金、2024年基本公共卫生服务补助资金、导致预决算产生差异。</w:t>
      </w:r>
    </w:p>
    <w:p w14:paraId="51B3213C">
      <w:pPr>
        <w:spacing w:line="640" w:lineRule="exact"/>
        <w:ind w:firstLine="640"/>
        <w:jc w:val="both"/>
        <w:outlineLvl w:val="3"/>
      </w:pPr>
      <w:r>
        <w:rPr>
          <w:rFonts w:ascii="楷体_GB2312" w:hAnsi="楷体_GB2312" w:eastAsia="楷体_GB2312"/>
          <w:b/>
          <w:sz w:val="32"/>
        </w:rPr>
        <w:t>（二）一般公共预算财政拨款支出决算结构情况</w:t>
      </w:r>
    </w:p>
    <w:p w14:paraId="28440ABA">
      <w:pPr>
        <w:spacing w:line="580" w:lineRule="exact"/>
        <w:ind w:firstLine="640"/>
        <w:jc w:val="both"/>
      </w:pPr>
      <w:r>
        <w:rPr>
          <w:rFonts w:ascii="仿宋_GB2312" w:hAnsi="仿宋_GB2312" w:eastAsia="仿宋_GB2312"/>
          <w:b w:val="0"/>
          <w:sz w:val="32"/>
        </w:rPr>
        <w:t>1.社会保障和就业支出(类)71.21万元,占6.20%。</w:t>
      </w:r>
    </w:p>
    <w:p w14:paraId="082832FB">
      <w:pPr>
        <w:spacing w:line="580" w:lineRule="exact"/>
        <w:ind w:firstLine="640"/>
        <w:jc w:val="both"/>
      </w:pPr>
      <w:r>
        <w:rPr>
          <w:rFonts w:ascii="仿宋_GB2312" w:hAnsi="仿宋_GB2312" w:eastAsia="仿宋_GB2312"/>
          <w:b w:val="0"/>
          <w:sz w:val="32"/>
        </w:rPr>
        <w:t>2.卫生健康支出(类)1,032.62万元,占89.90%。</w:t>
      </w:r>
    </w:p>
    <w:p w14:paraId="59174F7C">
      <w:pPr>
        <w:spacing w:line="580" w:lineRule="exact"/>
        <w:ind w:firstLine="640"/>
        <w:jc w:val="both"/>
      </w:pPr>
      <w:r>
        <w:rPr>
          <w:rFonts w:ascii="仿宋_GB2312" w:hAnsi="仿宋_GB2312" w:eastAsia="仿宋_GB2312"/>
          <w:b w:val="0"/>
          <w:sz w:val="32"/>
        </w:rPr>
        <w:t>3.住房保障支出(类)44.83万元,占3.90%。</w:t>
      </w:r>
    </w:p>
    <w:p w14:paraId="18FB0882">
      <w:pPr>
        <w:spacing w:line="640" w:lineRule="exact"/>
        <w:ind w:firstLine="640"/>
        <w:jc w:val="both"/>
        <w:outlineLvl w:val="3"/>
      </w:pPr>
      <w:r>
        <w:rPr>
          <w:rFonts w:ascii="楷体_GB2312" w:hAnsi="楷体_GB2312" w:eastAsia="楷体_GB2312"/>
          <w:b/>
          <w:sz w:val="32"/>
        </w:rPr>
        <w:t>（三）一般公共预算财政拨款支出决算具体情况</w:t>
      </w:r>
    </w:p>
    <w:p w14:paraId="614D6EBC">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1.社会保障和就业支出(类)行政事业单位养老支出(款)事业单位离退休(项):支出决算数为15.53万元，比上年决算增加5.69万元，增长57.83%,主要原因是：本年退休人员增加，退休费支出增加。</w:t>
      </w:r>
    </w:p>
    <w:p w14:paraId="0B9A8B2D">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55.68万元，比上年决算增加4.22万元，增长8.20%,主要原因是：本年在职人员增加，养老保险缴费较上年增加。</w:t>
      </w:r>
    </w:p>
    <w:p w14:paraId="5589A5BE">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6.69万元，下降100.00%,主要原因是：本年功能科目调整，机关事业单位职业年金缴费上年度单独列支，本年调整至主科目列支，导致经费较上年减少。</w:t>
      </w:r>
    </w:p>
    <w:p w14:paraId="4144195F">
      <w:pPr>
        <w:spacing w:line="580" w:lineRule="exact"/>
        <w:ind w:firstLine="640"/>
        <w:jc w:val="both"/>
      </w:pPr>
      <w:r>
        <w:rPr>
          <w:rFonts w:ascii="仿宋_GB2312" w:hAnsi="仿宋_GB2312" w:eastAsia="仿宋_GB2312"/>
          <w:b w:val="0"/>
          <w:sz w:val="32"/>
        </w:rPr>
        <w:t>4.卫生健康支出(类)基层医疗卫生机构(款)乡镇卫生院(项):支出决算数为459.81万元，比上年决算增加25.51万元，增长5.87%,主要原因是：本年在职人员工资调薪，工资等相关人员经费增加；职业年金本年调整至本科目列支，导致经费增加。</w:t>
      </w:r>
    </w:p>
    <w:p w14:paraId="7177F448">
      <w:pPr>
        <w:spacing w:line="580" w:lineRule="exact"/>
        <w:ind w:firstLine="640"/>
        <w:jc w:val="both"/>
      </w:pPr>
      <w:r>
        <w:rPr>
          <w:rFonts w:ascii="仿宋_GB2312" w:hAnsi="仿宋_GB2312" w:eastAsia="仿宋_GB2312"/>
          <w:b w:val="0"/>
          <w:sz w:val="32"/>
        </w:rPr>
        <w:t>5.卫生健康支出(类)基层医疗卫生机构(款)其他基层医疗卫生机构支出(项):支出决算数为38.43万元，比上年决算增加1.87万元，增长5.11%,主要原因是：本年基本药物补助资金项目支出较上年增加。</w:t>
      </w:r>
    </w:p>
    <w:p w14:paraId="77CF81D0">
      <w:pPr>
        <w:spacing w:line="580" w:lineRule="exact"/>
        <w:ind w:firstLine="640"/>
        <w:jc w:val="both"/>
      </w:pPr>
      <w:r>
        <w:rPr>
          <w:rFonts w:ascii="仿宋_GB2312" w:hAnsi="仿宋_GB2312" w:eastAsia="仿宋_GB2312"/>
          <w:b w:val="0"/>
          <w:sz w:val="32"/>
        </w:rPr>
        <w:t>6.卫生健康支出(类)公共卫生(款)基本公共卫生服务(项):支出决算数为326.62万元，比上年决算增加86.10万元，增长35.80%,主要原因是：本年基本公共卫生服务补助资金支出较上年增加。</w:t>
      </w:r>
    </w:p>
    <w:p w14:paraId="453AFFF5">
      <w:pPr>
        <w:spacing w:line="580" w:lineRule="exact"/>
        <w:ind w:firstLine="640"/>
        <w:jc w:val="both"/>
      </w:pPr>
      <w:r>
        <w:rPr>
          <w:rFonts w:ascii="仿宋_GB2312" w:hAnsi="仿宋_GB2312" w:eastAsia="仿宋_GB2312"/>
          <w:b w:val="0"/>
          <w:sz w:val="32"/>
        </w:rPr>
        <w:t>7.卫生健康支出(类)公共卫生(款)其他公共卫生支出(项):支出决算数为184.10万元，比上年决算减少41.40万元，下降18.36%,主要原因是：本年自治区公共卫生地方性补助资金支出较上年减少。</w:t>
      </w:r>
    </w:p>
    <w:p w14:paraId="541F9230">
      <w:pPr>
        <w:spacing w:line="580" w:lineRule="exact"/>
        <w:ind w:firstLine="640"/>
        <w:jc w:val="both"/>
      </w:pPr>
      <w:r>
        <w:rPr>
          <w:rFonts w:ascii="仿宋_GB2312" w:hAnsi="仿宋_GB2312" w:eastAsia="仿宋_GB2312"/>
          <w:b w:val="0"/>
          <w:sz w:val="32"/>
        </w:rPr>
        <w:t>8.卫生健康支出(类)中医药(款)中医（民族医）药专项(项):支出决算数为0.00万元，比上年决算减少10.00万元，下降100.00%,主要原因是：本年减少中医馆改造项目。</w:t>
      </w:r>
    </w:p>
    <w:p w14:paraId="5C0C3D29">
      <w:pPr>
        <w:spacing w:line="580" w:lineRule="exact"/>
        <w:ind w:firstLine="640"/>
        <w:jc w:val="both"/>
      </w:pPr>
      <w:r>
        <w:rPr>
          <w:rFonts w:ascii="仿宋_GB2312" w:hAnsi="仿宋_GB2312" w:eastAsia="仿宋_GB2312"/>
          <w:b w:val="0"/>
          <w:sz w:val="32"/>
        </w:rPr>
        <w:t>9.卫生健康支出(类)行政事业单位医疗(款)事业单位医疗(项):支出决算数为23.66万元，比上年决算减少2.27万元，下降8.75%,主要原因是：本年在职人员调入调出，人员职级不同，缴费基数不同，导致事业单位医疗较上年减少。</w:t>
      </w:r>
    </w:p>
    <w:p w14:paraId="633ACA3C">
      <w:pPr>
        <w:spacing w:line="580" w:lineRule="exact"/>
        <w:ind w:firstLine="640"/>
        <w:jc w:val="both"/>
      </w:pPr>
      <w:r>
        <w:rPr>
          <w:rFonts w:ascii="仿宋_GB2312" w:hAnsi="仿宋_GB2312" w:eastAsia="仿宋_GB2312"/>
          <w:b w:val="0"/>
          <w:sz w:val="32"/>
        </w:rPr>
        <w:t>10.住房保障支出(类)住房改革支出(款)住房公积金(项):支出决算数为44.83万元，比上年决算增加2.13万元，增长4.99%,主要原因是：本年在职人员增加，住房公积金支出较上年增加。</w:t>
      </w:r>
    </w:p>
    <w:p w14:paraId="632369DF">
      <w:pPr>
        <w:spacing w:line="640" w:lineRule="exact"/>
        <w:ind w:firstLine="640"/>
        <w:jc w:val="both"/>
        <w:outlineLvl w:val="2"/>
      </w:pPr>
      <w:r>
        <w:rPr>
          <w:rFonts w:ascii="黑体" w:hAnsi="黑体" w:eastAsia="黑体"/>
          <w:sz w:val="32"/>
        </w:rPr>
        <w:t>六、一般公共预算财政拨款基本支出决算情况说明</w:t>
      </w:r>
    </w:p>
    <w:p w14:paraId="33E42DDD">
      <w:pPr>
        <w:spacing w:line="580" w:lineRule="exact"/>
        <w:ind w:firstLine="640"/>
        <w:jc w:val="both"/>
      </w:pPr>
      <w:r>
        <w:rPr>
          <w:rFonts w:ascii="仿宋_GB2312" w:hAnsi="仿宋_GB2312" w:eastAsia="仿宋_GB2312"/>
          <w:b w:val="0"/>
          <w:sz w:val="32"/>
        </w:rPr>
        <w:t>2024年度一般公共预算财政拨款基本支出599.51万元，其中：</w:t>
      </w:r>
      <w:r>
        <w:rPr>
          <w:rFonts w:ascii="仿宋_GB2312" w:hAnsi="仿宋_GB2312" w:eastAsia="仿宋_GB2312"/>
          <w:b/>
          <w:sz w:val="32"/>
        </w:rPr>
        <w:t>人员经费599.51万元，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w:t>
      </w:r>
    </w:p>
    <w:p w14:paraId="5851B572">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7FE51BE8">
      <w:pPr>
        <w:spacing w:line="640" w:lineRule="exact"/>
        <w:ind w:firstLine="640"/>
        <w:jc w:val="both"/>
        <w:outlineLvl w:val="2"/>
      </w:pPr>
      <w:r>
        <w:rPr>
          <w:rFonts w:ascii="黑体" w:hAnsi="黑体" w:eastAsia="黑体"/>
          <w:sz w:val="32"/>
        </w:rPr>
        <w:t>七、政府性基金预算财政拨款收入支出决算情况说明</w:t>
      </w:r>
    </w:p>
    <w:p w14:paraId="2DDA121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EC673E6">
      <w:pPr>
        <w:spacing w:line="640" w:lineRule="exact"/>
        <w:ind w:firstLine="640"/>
        <w:jc w:val="both"/>
        <w:outlineLvl w:val="2"/>
      </w:pPr>
      <w:r>
        <w:rPr>
          <w:rFonts w:ascii="黑体" w:hAnsi="黑体" w:eastAsia="黑体"/>
          <w:sz w:val="32"/>
        </w:rPr>
        <w:t>八、国有资本经营预算财政拨款收入支出决算情况说明</w:t>
      </w:r>
    </w:p>
    <w:p w14:paraId="4554BC4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9AA5326">
      <w:pPr>
        <w:spacing w:line="640" w:lineRule="exact"/>
        <w:ind w:firstLine="640"/>
        <w:jc w:val="both"/>
        <w:outlineLvl w:val="2"/>
      </w:pPr>
      <w:r>
        <w:rPr>
          <w:rFonts w:ascii="黑体" w:hAnsi="黑体" w:eastAsia="黑体"/>
          <w:sz w:val="32"/>
        </w:rPr>
        <w:t>九、财政拨款“三公”经费支出决算情况说明</w:t>
      </w:r>
    </w:p>
    <w:p w14:paraId="351C27D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BD76A3B">
      <w:pPr>
        <w:spacing w:line="580" w:lineRule="exact"/>
        <w:ind w:firstLine="640"/>
        <w:jc w:val="both"/>
      </w:pPr>
      <w:r>
        <w:rPr>
          <w:rFonts w:ascii="仿宋_GB2312" w:hAnsi="仿宋_GB2312" w:eastAsia="仿宋_GB2312"/>
          <w:b/>
          <w:sz w:val="32"/>
        </w:rPr>
        <w:t>具体情况如下：</w:t>
      </w:r>
    </w:p>
    <w:p w14:paraId="4DD9443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FCC6337">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辆，与公务用车保有量差异原因是：本单位差异车辆3辆，为救护车，车辆费用未使用财政拨款公务用车运行维护费支付，由事业收入保障。</w:t>
      </w:r>
    </w:p>
    <w:p w14:paraId="5F6AD94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633810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4EB5085">
      <w:pPr>
        <w:spacing w:line="640" w:lineRule="exact"/>
        <w:ind w:firstLine="640"/>
        <w:jc w:val="both"/>
        <w:outlineLvl w:val="2"/>
      </w:pPr>
      <w:r>
        <w:rPr>
          <w:rFonts w:ascii="黑体" w:hAnsi="黑体" w:eastAsia="黑体"/>
          <w:sz w:val="32"/>
        </w:rPr>
        <w:t>十、其他重要事项的情况说明</w:t>
      </w:r>
    </w:p>
    <w:p w14:paraId="2A63379E">
      <w:pPr>
        <w:spacing w:line="640" w:lineRule="exact"/>
        <w:ind w:firstLine="640"/>
        <w:jc w:val="both"/>
        <w:outlineLvl w:val="3"/>
      </w:pPr>
      <w:r>
        <w:rPr>
          <w:rFonts w:ascii="楷体_GB2312" w:hAnsi="楷体_GB2312" w:eastAsia="楷体_GB2312"/>
          <w:b/>
          <w:sz w:val="32"/>
        </w:rPr>
        <w:t>（一）机关运行经费及公用经费支出情况</w:t>
      </w:r>
    </w:p>
    <w:p w14:paraId="48748741">
      <w:pPr>
        <w:spacing w:line="580" w:lineRule="exact"/>
        <w:ind w:firstLine="640"/>
        <w:jc w:val="both"/>
      </w:pPr>
      <w:r>
        <w:rPr>
          <w:rFonts w:ascii="仿宋_GB2312" w:hAnsi="仿宋_GB2312" w:eastAsia="仿宋_GB2312"/>
          <w:b w:val="0"/>
          <w:sz w:val="32"/>
        </w:rPr>
        <w:t>2024年度疏附县塔什米里克乡卫生院（事业单位）公用经费支出0.00万元，比上年减少3.82万元，下降100.00%，主要原因是：2024年未安排公用经费支出。</w:t>
      </w:r>
    </w:p>
    <w:p w14:paraId="78DE75B6">
      <w:pPr>
        <w:spacing w:line="640" w:lineRule="exact"/>
        <w:ind w:firstLine="640"/>
        <w:jc w:val="both"/>
        <w:outlineLvl w:val="3"/>
      </w:pPr>
      <w:r>
        <w:rPr>
          <w:rFonts w:ascii="楷体_GB2312" w:hAnsi="楷体_GB2312" w:eastAsia="楷体_GB2312"/>
          <w:b/>
          <w:sz w:val="32"/>
        </w:rPr>
        <w:t>（二）政府采购情况</w:t>
      </w:r>
    </w:p>
    <w:p w14:paraId="65242405">
      <w:pPr>
        <w:spacing w:line="580" w:lineRule="exact"/>
        <w:ind w:firstLine="640"/>
        <w:jc w:val="both"/>
      </w:pPr>
      <w:r>
        <w:rPr>
          <w:rFonts w:ascii="仿宋_GB2312" w:hAnsi="仿宋_GB2312" w:eastAsia="仿宋_GB2312"/>
          <w:b w:val="0"/>
          <w:sz w:val="32"/>
        </w:rPr>
        <w:t>2024年度政府采购支出总额23.40万元，其中：政府采购货物支出0.75万元、政府采购工程支出22.39万元、政府采购服务支出0.26万元。</w:t>
      </w:r>
    </w:p>
    <w:p w14:paraId="7CD28798">
      <w:pPr>
        <w:spacing w:line="580" w:lineRule="exact"/>
        <w:ind w:firstLine="640"/>
        <w:jc w:val="both"/>
      </w:pPr>
      <w:r>
        <w:rPr>
          <w:rFonts w:ascii="仿宋_GB2312" w:hAnsi="仿宋_GB2312" w:eastAsia="仿宋_GB2312"/>
          <w:b w:val="0"/>
          <w:sz w:val="32"/>
        </w:rPr>
        <w:t>授予中小企业合同金额23.40万元，占政府采购支出总额的100.00%，其中：授予小微企业合同金额23.40万元，占政府采购支出总额的100.00%。</w:t>
      </w:r>
    </w:p>
    <w:p w14:paraId="34571660">
      <w:pPr>
        <w:spacing w:line="640" w:lineRule="exact"/>
        <w:ind w:firstLine="640"/>
        <w:jc w:val="both"/>
        <w:outlineLvl w:val="3"/>
      </w:pPr>
      <w:r>
        <w:rPr>
          <w:rFonts w:ascii="楷体_GB2312" w:hAnsi="楷体_GB2312" w:eastAsia="楷体_GB2312"/>
          <w:b/>
          <w:sz w:val="32"/>
        </w:rPr>
        <w:t>（三）国有资产占用情况说明</w:t>
      </w:r>
    </w:p>
    <w:p w14:paraId="58F8D641">
      <w:pPr>
        <w:spacing w:line="580" w:lineRule="exact"/>
        <w:ind w:firstLine="640"/>
        <w:jc w:val="both"/>
      </w:pPr>
      <w:r>
        <w:rPr>
          <w:rFonts w:ascii="仿宋_GB2312" w:hAnsi="仿宋_GB2312" w:eastAsia="仿宋_GB2312"/>
          <w:b w:val="0"/>
          <w:sz w:val="32"/>
        </w:rPr>
        <w:t>截至2024年12月31日，房屋2,395.59平方米，价值436.42万元。车辆3辆，价值31.50万元，其中：副部（省）级及以上领导用车0辆、主要负责人用车0辆、机要通信用车0辆、应急保障用车0辆、执法执勤用车0辆、特种专业技术用车0辆、离退休干部服务用车0辆、其他用车3辆，其他用车主要是：本单位救护车。单价100万元（含）以上设备（不含车辆）0台（套）。</w:t>
      </w:r>
    </w:p>
    <w:p w14:paraId="7BC5EA1C">
      <w:pPr>
        <w:spacing w:line="640" w:lineRule="exact"/>
        <w:ind w:firstLine="640"/>
        <w:jc w:val="both"/>
        <w:outlineLvl w:val="2"/>
      </w:pPr>
      <w:r>
        <w:rPr>
          <w:rFonts w:ascii="黑体" w:hAnsi="黑体" w:eastAsia="黑体"/>
          <w:sz w:val="32"/>
        </w:rPr>
        <w:t>十一、预算绩效的情况说明</w:t>
      </w:r>
    </w:p>
    <w:p w14:paraId="6C2CCE3E">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32E0D36D">
      <w:r>
        <w:br w:type="page"/>
      </w:r>
    </w:p>
    <w:p w14:paraId="33EA22A1">
      <w:pPr>
        <w:spacing w:line="640" w:lineRule="exact"/>
        <w:ind w:firstLine="640"/>
        <w:jc w:val="both"/>
        <w:outlineLvl w:val="2"/>
      </w:pPr>
      <w:r>
        <w:rPr>
          <w:rFonts w:ascii="黑体" w:hAnsi="黑体" w:eastAsia="黑体"/>
          <w:sz w:val="32"/>
        </w:rPr>
        <w:t>十二、其他需说明的事项</w:t>
      </w:r>
    </w:p>
    <w:p w14:paraId="0AF6CEED">
      <w:pPr>
        <w:spacing w:line="580" w:lineRule="exact"/>
        <w:ind w:firstLine="640"/>
        <w:jc w:val="both"/>
      </w:pPr>
      <w:r>
        <w:rPr>
          <w:rFonts w:ascii="仿宋_GB2312" w:hAnsi="仿宋_GB2312" w:eastAsia="仿宋_GB2312"/>
          <w:b w:val="0"/>
          <w:sz w:val="32"/>
        </w:rPr>
        <w:t>本年度本单位整体绩效自评表由疏附县人民医院编报并公开。</w:t>
      </w:r>
    </w:p>
    <w:p w14:paraId="616F6B22">
      <w:r>
        <w:br w:type="page"/>
      </w:r>
    </w:p>
    <w:p w14:paraId="0F08D821">
      <w:pPr>
        <w:spacing w:line="240" w:lineRule="auto"/>
        <w:jc w:val="center"/>
        <w:outlineLvl w:val="1"/>
      </w:pPr>
      <w:r>
        <w:rPr>
          <w:rFonts w:ascii="黑体" w:hAnsi="黑体" w:eastAsia="黑体"/>
          <w:sz w:val="32"/>
        </w:rPr>
        <w:t>第三部分 专业名词解释</w:t>
      </w:r>
    </w:p>
    <w:p w14:paraId="6AFFC75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11EA64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584CAC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636EA0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690F3D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E1EA03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C058C1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C68646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F97EBF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26073C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7A7998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435408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D626F1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1FF297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33FE28A">
      <w:r>
        <w:br w:type="page"/>
      </w:r>
    </w:p>
    <w:p w14:paraId="3ECC3ADA">
      <w:pPr>
        <w:spacing w:line="240" w:lineRule="auto"/>
        <w:jc w:val="center"/>
        <w:outlineLvl w:val="1"/>
      </w:pPr>
      <w:r>
        <w:rPr>
          <w:rFonts w:ascii="黑体" w:hAnsi="黑体" w:eastAsia="黑体"/>
          <w:sz w:val="32"/>
        </w:rPr>
        <w:t>第四部分 部门决算报表（见附表）</w:t>
      </w:r>
    </w:p>
    <w:p w14:paraId="06FBE1A2">
      <w:pPr>
        <w:spacing w:line="240" w:lineRule="auto"/>
        <w:ind w:firstLine="640"/>
        <w:jc w:val="both"/>
      </w:pPr>
      <w:r>
        <w:rPr>
          <w:rFonts w:ascii="仿宋_GB2312" w:hAnsi="仿宋_GB2312" w:eastAsia="仿宋_GB2312"/>
          <w:b w:val="0"/>
          <w:sz w:val="32"/>
        </w:rPr>
        <w:t>一、《收入支出决算总表》</w:t>
      </w:r>
    </w:p>
    <w:p w14:paraId="06845E93">
      <w:pPr>
        <w:spacing w:line="240" w:lineRule="auto"/>
        <w:ind w:firstLine="640"/>
        <w:jc w:val="both"/>
      </w:pPr>
      <w:r>
        <w:rPr>
          <w:rFonts w:ascii="仿宋_GB2312" w:hAnsi="仿宋_GB2312" w:eastAsia="仿宋_GB2312"/>
          <w:b w:val="0"/>
          <w:sz w:val="32"/>
        </w:rPr>
        <w:t>二、《收入决算表》</w:t>
      </w:r>
    </w:p>
    <w:p w14:paraId="12EAF91D">
      <w:pPr>
        <w:spacing w:line="240" w:lineRule="auto"/>
        <w:ind w:firstLine="640"/>
        <w:jc w:val="both"/>
      </w:pPr>
      <w:r>
        <w:rPr>
          <w:rFonts w:ascii="仿宋_GB2312" w:hAnsi="仿宋_GB2312" w:eastAsia="仿宋_GB2312"/>
          <w:b w:val="0"/>
          <w:sz w:val="32"/>
        </w:rPr>
        <w:t>三、《支出决算表》</w:t>
      </w:r>
    </w:p>
    <w:p w14:paraId="03DE5FAF">
      <w:pPr>
        <w:spacing w:line="240" w:lineRule="auto"/>
        <w:ind w:firstLine="640"/>
        <w:jc w:val="both"/>
      </w:pPr>
      <w:r>
        <w:rPr>
          <w:rFonts w:ascii="仿宋_GB2312" w:hAnsi="仿宋_GB2312" w:eastAsia="仿宋_GB2312"/>
          <w:b w:val="0"/>
          <w:sz w:val="32"/>
        </w:rPr>
        <w:t>四、《财政拨款收入支出决算总表》</w:t>
      </w:r>
    </w:p>
    <w:p w14:paraId="31D5711E">
      <w:pPr>
        <w:spacing w:line="240" w:lineRule="auto"/>
        <w:ind w:firstLine="640"/>
        <w:jc w:val="both"/>
      </w:pPr>
      <w:r>
        <w:rPr>
          <w:rFonts w:ascii="仿宋_GB2312" w:hAnsi="仿宋_GB2312" w:eastAsia="仿宋_GB2312"/>
          <w:b w:val="0"/>
          <w:sz w:val="32"/>
        </w:rPr>
        <w:t>五、《一般公共预算财政拨款支出决算表》</w:t>
      </w:r>
    </w:p>
    <w:p w14:paraId="0A31677B">
      <w:pPr>
        <w:spacing w:line="240" w:lineRule="auto"/>
        <w:ind w:firstLine="640"/>
        <w:jc w:val="both"/>
      </w:pPr>
      <w:r>
        <w:rPr>
          <w:rFonts w:ascii="仿宋_GB2312" w:hAnsi="仿宋_GB2312" w:eastAsia="仿宋_GB2312"/>
          <w:b w:val="0"/>
          <w:sz w:val="32"/>
        </w:rPr>
        <w:t>六、《一般公共预算财政拨款基本支出决算表》</w:t>
      </w:r>
    </w:p>
    <w:p w14:paraId="7D7CCF65">
      <w:pPr>
        <w:spacing w:line="240" w:lineRule="auto"/>
        <w:ind w:firstLine="640"/>
        <w:jc w:val="both"/>
      </w:pPr>
      <w:r>
        <w:rPr>
          <w:rFonts w:ascii="仿宋_GB2312" w:hAnsi="仿宋_GB2312" w:eastAsia="仿宋_GB2312"/>
          <w:b w:val="0"/>
          <w:sz w:val="32"/>
        </w:rPr>
        <w:t>七、《政府性基金预算财政拨款收入支出决算表》</w:t>
      </w:r>
    </w:p>
    <w:p w14:paraId="09185EB4">
      <w:pPr>
        <w:spacing w:line="240" w:lineRule="auto"/>
        <w:ind w:firstLine="640"/>
        <w:jc w:val="both"/>
      </w:pPr>
      <w:r>
        <w:rPr>
          <w:rFonts w:ascii="仿宋_GB2312" w:hAnsi="仿宋_GB2312" w:eastAsia="仿宋_GB2312"/>
          <w:b w:val="0"/>
          <w:sz w:val="32"/>
        </w:rPr>
        <w:t>八、《国有资本经营预算财政拨款收入支出决算表》</w:t>
      </w:r>
    </w:p>
    <w:p w14:paraId="0A75D796">
      <w:pPr>
        <w:spacing w:line="240" w:lineRule="auto"/>
        <w:ind w:firstLine="640"/>
        <w:jc w:val="both"/>
      </w:pPr>
      <w:r>
        <w:rPr>
          <w:rFonts w:ascii="仿宋_GB2312" w:hAnsi="仿宋_GB2312" w:eastAsia="仿宋_GB2312"/>
          <w:b w:val="0"/>
          <w:sz w:val="32"/>
        </w:rPr>
        <w:t>九、《财政拨款“三公”经费支出决算表》</w:t>
      </w:r>
    </w:p>
    <w:p w14:paraId="2E827087">
      <w:pPr>
        <w:spacing w:line="240" w:lineRule="auto"/>
        <w:ind w:firstLine="640"/>
        <w:jc w:val="both"/>
      </w:pPr>
    </w:p>
    <w:p w14:paraId="77613804">
      <w:pPr>
        <w:spacing w:line="240" w:lineRule="auto"/>
        <w:ind w:firstLine="640"/>
        <w:jc w:val="both"/>
      </w:pPr>
    </w:p>
    <w:p w14:paraId="2EF89247">
      <w:pPr>
        <w:spacing w:line="240" w:lineRule="auto"/>
        <w:ind w:firstLine="640"/>
        <w:jc w:val="both"/>
      </w:pPr>
    </w:p>
    <w:p w14:paraId="09198138">
      <w:pPr>
        <w:spacing w:line="240" w:lineRule="auto"/>
        <w:ind w:firstLine="640"/>
        <w:jc w:val="both"/>
      </w:pPr>
    </w:p>
    <w:p w14:paraId="103C9E9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092E66"/>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5424</Words>
  <Characters>6140</Characters>
  <Lines>0</Lines>
  <Paragraphs>0</Paragraphs>
  <TotalTime>2</TotalTime>
  <ScaleCrop>false</ScaleCrop>
  <LinksUpToDate>false</LinksUpToDate>
  <CharactersWithSpaces>6150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2025-09-16T03:47:15Z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