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15B7C3">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疏附县卫生健康服务站</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B7AFA2C">
      <w:r>
        <w:br w:type="page"/>
      </w:r>
    </w:p>
    <w:p w14:paraId="0D2FB656">
      <w:pPr>
        <w:spacing w:line="640" w:lineRule="exact"/>
        <w:jc w:val="center"/>
        <w:outlineLvl w:val="1"/>
      </w:pPr>
      <w:r>
        <w:rPr>
          <w:rFonts w:ascii="黑体" w:hAnsi="黑体" w:eastAsia="黑体"/>
          <w:sz w:val="32"/>
        </w:rPr>
        <w:t>第一部分 单位概况</w:t>
      </w:r>
    </w:p>
    <w:p w14:paraId="5DD1525F">
      <w:pPr>
        <w:spacing w:line="640" w:lineRule="exact"/>
        <w:ind w:firstLine="640"/>
        <w:jc w:val="both"/>
        <w:outlineLvl w:val="2"/>
      </w:pPr>
      <w:r>
        <w:rPr>
          <w:rFonts w:ascii="黑体" w:hAnsi="黑体" w:eastAsia="黑体"/>
          <w:sz w:val="32"/>
        </w:rPr>
        <w:t>一、主要职能</w:t>
      </w:r>
    </w:p>
    <w:p w14:paraId="58DA6202">
      <w:pPr>
        <w:spacing w:line="580" w:lineRule="exact"/>
        <w:ind w:firstLine="640"/>
        <w:jc w:val="both"/>
      </w:pPr>
      <w:r>
        <w:rPr>
          <w:rFonts w:ascii="仿宋_GB2312" w:hAnsi="仿宋_GB2312" w:eastAsia="仿宋_GB2312"/>
          <w:sz w:val="32"/>
        </w:rPr>
        <w:t>开展卫生方面相关法律法规、政策的宣传教育普及工作，负责全县卫生健康教育，卫生健康服务工作，受行政部门委托，负责面向社会的公共卫生、</w:t>
      </w:r>
      <w:r>
        <w:rPr>
          <w:rFonts w:hint="eastAsia" w:ascii="仿宋_GB2312" w:hAnsi="仿宋_GB2312" w:eastAsia="仿宋_GB2312"/>
          <w:sz w:val="32"/>
          <w:lang w:eastAsia="zh-CN"/>
        </w:rPr>
        <w:t>供用水</w:t>
      </w:r>
      <w:r>
        <w:rPr>
          <w:rFonts w:ascii="仿宋_GB2312" w:hAnsi="仿宋_GB2312" w:eastAsia="仿宋_GB2312"/>
          <w:sz w:val="32"/>
        </w:rPr>
        <w:t>卫生、学校卫生、传染病、医疗机构等综合监督工作。</w:t>
      </w:r>
    </w:p>
    <w:p w14:paraId="0B584471">
      <w:pPr>
        <w:spacing w:line="640" w:lineRule="exact"/>
        <w:ind w:firstLine="640"/>
        <w:jc w:val="both"/>
        <w:outlineLvl w:val="2"/>
      </w:pPr>
      <w:r>
        <w:rPr>
          <w:rFonts w:ascii="黑体" w:hAnsi="黑体" w:eastAsia="黑体"/>
          <w:sz w:val="32"/>
        </w:rPr>
        <w:t>二、机构设置及人员情况</w:t>
      </w:r>
    </w:p>
    <w:p w14:paraId="3CDEA811">
      <w:pPr>
        <w:spacing w:line="580" w:lineRule="exact"/>
        <w:ind w:firstLine="640"/>
        <w:jc w:val="both"/>
      </w:pPr>
      <w:r>
        <w:rPr>
          <w:rFonts w:ascii="仿宋_GB2312" w:hAnsi="仿宋_GB2312" w:eastAsia="仿宋_GB2312"/>
          <w:sz w:val="32"/>
        </w:rPr>
        <w:t>疏附县卫生健康服务站2024年度，实有人数16人，其中：在职人员6人，减少3人；离休人员0人，增加0人；退休人员10人,增加3人。</w:t>
      </w:r>
    </w:p>
    <w:p w14:paraId="09336515">
      <w:pPr>
        <w:spacing w:line="580" w:lineRule="exact"/>
        <w:ind w:firstLine="640"/>
        <w:jc w:val="both"/>
      </w:pPr>
      <w:r>
        <w:rPr>
          <w:rFonts w:ascii="仿宋_GB2312" w:hAnsi="仿宋_GB2312" w:eastAsia="仿宋_GB2312"/>
          <w:sz w:val="32"/>
        </w:rPr>
        <w:t>疏附县卫生健康服务站无下属预算单位，下设2个科室，分别是：监督稽查科、财务室。</w:t>
      </w:r>
    </w:p>
    <w:p w14:paraId="3DB87C01">
      <w:r>
        <w:br w:type="page"/>
      </w:r>
    </w:p>
    <w:p w14:paraId="2682270F">
      <w:pPr>
        <w:spacing w:line="240" w:lineRule="auto"/>
        <w:jc w:val="center"/>
        <w:outlineLvl w:val="1"/>
      </w:pPr>
      <w:r>
        <w:rPr>
          <w:rFonts w:ascii="黑体" w:hAnsi="黑体" w:eastAsia="黑体"/>
          <w:sz w:val="32"/>
        </w:rPr>
        <w:t>第二部分 部门决算情况说明</w:t>
      </w:r>
    </w:p>
    <w:p w14:paraId="67B4A3AC">
      <w:pPr>
        <w:spacing w:line="640" w:lineRule="exact"/>
        <w:ind w:firstLine="640"/>
        <w:jc w:val="both"/>
        <w:outlineLvl w:val="2"/>
      </w:pPr>
      <w:r>
        <w:rPr>
          <w:rFonts w:ascii="黑体" w:hAnsi="黑体" w:eastAsia="黑体"/>
          <w:sz w:val="32"/>
        </w:rPr>
        <w:t>一、收入支出决算总体情况说明</w:t>
      </w:r>
    </w:p>
    <w:p w14:paraId="12E7A099">
      <w:pPr>
        <w:spacing w:line="580" w:lineRule="exact"/>
        <w:ind w:firstLine="640"/>
        <w:jc w:val="both"/>
      </w:pPr>
      <w:r>
        <w:rPr>
          <w:rFonts w:ascii="仿宋_GB2312" w:hAnsi="仿宋_GB2312" w:eastAsia="仿宋_GB2312"/>
          <w:b/>
          <w:sz w:val="32"/>
        </w:rPr>
        <w:t>2024年度收入总计155.73万元，</w:t>
      </w:r>
      <w:r>
        <w:rPr>
          <w:rFonts w:ascii="仿宋_GB2312" w:hAnsi="仿宋_GB2312" w:eastAsia="仿宋_GB2312"/>
          <w:b w:val="0"/>
          <w:sz w:val="32"/>
        </w:rPr>
        <w:t>其中：本年收入合计155.73万元，使用非财政拨款结余（含专用结余）0.00万元，年初结转和结余0.00万元。</w:t>
      </w:r>
    </w:p>
    <w:p w14:paraId="31285AB7">
      <w:pPr>
        <w:spacing w:line="580" w:lineRule="exact"/>
        <w:ind w:firstLine="640"/>
        <w:jc w:val="both"/>
      </w:pPr>
      <w:r>
        <w:rPr>
          <w:rFonts w:ascii="仿宋_GB2312" w:hAnsi="仿宋_GB2312" w:eastAsia="仿宋_GB2312"/>
          <w:b/>
          <w:sz w:val="32"/>
        </w:rPr>
        <w:t>2024年度支出总计155.73万元，</w:t>
      </w:r>
      <w:r>
        <w:rPr>
          <w:rFonts w:ascii="仿宋_GB2312" w:hAnsi="仿宋_GB2312" w:eastAsia="仿宋_GB2312"/>
          <w:b w:val="0"/>
          <w:sz w:val="32"/>
        </w:rPr>
        <w:t>其中：本年支出合计155.73万元，结余分配0.00万元，年末结转和结余0.00万元。</w:t>
      </w:r>
    </w:p>
    <w:p w14:paraId="63EAC758">
      <w:pPr>
        <w:spacing w:line="580" w:lineRule="exact"/>
        <w:ind w:firstLine="640"/>
        <w:jc w:val="both"/>
      </w:pPr>
      <w:r>
        <w:rPr>
          <w:rFonts w:ascii="仿宋_GB2312" w:hAnsi="仿宋_GB2312" w:eastAsia="仿宋_GB2312"/>
          <w:b w:val="0"/>
          <w:sz w:val="32"/>
        </w:rPr>
        <w:t>收入支出总体与上年相比，减少47.08万元，下降23.21%，主要原因是：本年在职人员减少，相关人员经费较上年减少。</w:t>
      </w:r>
    </w:p>
    <w:p w14:paraId="63580C75">
      <w:pPr>
        <w:spacing w:line="640" w:lineRule="exact"/>
        <w:ind w:firstLine="640"/>
        <w:jc w:val="both"/>
        <w:outlineLvl w:val="2"/>
      </w:pPr>
      <w:r>
        <w:rPr>
          <w:rFonts w:ascii="黑体" w:hAnsi="黑体" w:eastAsia="黑体"/>
          <w:sz w:val="32"/>
        </w:rPr>
        <w:t>二、收入决算情况说明</w:t>
      </w:r>
    </w:p>
    <w:p w14:paraId="1023BF70">
      <w:pPr>
        <w:spacing w:line="580" w:lineRule="exact"/>
        <w:ind w:firstLine="640"/>
        <w:jc w:val="both"/>
      </w:pPr>
      <w:r>
        <w:rPr>
          <w:rFonts w:ascii="仿宋_GB2312" w:hAnsi="仿宋_GB2312" w:eastAsia="仿宋_GB2312"/>
          <w:b/>
          <w:sz w:val="32"/>
        </w:rPr>
        <w:t>本年收入155.73万元，</w:t>
      </w:r>
      <w:r>
        <w:rPr>
          <w:rFonts w:ascii="仿宋_GB2312" w:hAnsi="仿宋_GB2312" w:eastAsia="仿宋_GB2312"/>
          <w:b w:val="0"/>
          <w:sz w:val="32"/>
        </w:rPr>
        <w:t>其中：财政拨款收入155.73万元，占100.00%；上级补助收入0.00万元，占0.00%；事业收入0.00万元，占0.00%；经营收入0.00万元，占0.00%；附属单位上缴收入0.00万元，占0.00%；其他收入0.00万元，占0.00%。</w:t>
      </w:r>
    </w:p>
    <w:p w14:paraId="3EC30655">
      <w:pPr>
        <w:spacing w:line="640" w:lineRule="exact"/>
        <w:ind w:firstLine="640"/>
        <w:jc w:val="both"/>
        <w:outlineLvl w:val="2"/>
      </w:pPr>
      <w:r>
        <w:rPr>
          <w:rFonts w:ascii="黑体" w:hAnsi="黑体" w:eastAsia="黑体"/>
          <w:sz w:val="32"/>
        </w:rPr>
        <w:t>三、支出决算情况说明</w:t>
      </w:r>
    </w:p>
    <w:p w14:paraId="4B4210AC">
      <w:pPr>
        <w:spacing w:line="580" w:lineRule="exact"/>
        <w:ind w:firstLine="640"/>
        <w:jc w:val="both"/>
      </w:pPr>
      <w:r>
        <w:rPr>
          <w:rFonts w:ascii="仿宋_GB2312" w:hAnsi="仿宋_GB2312" w:eastAsia="仿宋_GB2312"/>
          <w:b/>
          <w:sz w:val="32"/>
        </w:rPr>
        <w:t>本年支出155.73万元，</w:t>
      </w:r>
      <w:r>
        <w:rPr>
          <w:rFonts w:ascii="仿宋_GB2312" w:hAnsi="仿宋_GB2312" w:eastAsia="仿宋_GB2312"/>
          <w:b w:val="0"/>
          <w:sz w:val="32"/>
        </w:rPr>
        <w:t>其中：基本支出154.05万元，占98.92%；项目支出1.68万元，占1.08%；上缴上级支出0.00万元，占0.00%；经营支出0.00万元，占0.00%；对附属单位补助支出0.00万元，占0.00%。</w:t>
      </w:r>
    </w:p>
    <w:p w14:paraId="4228E523">
      <w:pPr>
        <w:spacing w:line="640" w:lineRule="exact"/>
        <w:ind w:firstLine="640"/>
        <w:jc w:val="both"/>
        <w:outlineLvl w:val="2"/>
      </w:pPr>
      <w:r>
        <w:rPr>
          <w:rFonts w:ascii="黑体" w:hAnsi="黑体" w:eastAsia="黑体"/>
          <w:sz w:val="32"/>
        </w:rPr>
        <w:t>四、财政拨款收入支出决算总体情况说明</w:t>
      </w:r>
    </w:p>
    <w:p w14:paraId="63D787BA">
      <w:pPr>
        <w:spacing w:line="580" w:lineRule="exact"/>
        <w:ind w:firstLine="640"/>
        <w:jc w:val="both"/>
      </w:pPr>
      <w:r>
        <w:rPr>
          <w:rFonts w:ascii="仿宋_GB2312" w:hAnsi="仿宋_GB2312" w:eastAsia="仿宋_GB2312"/>
          <w:b/>
          <w:sz w:val="32"/>
        </w:rPr>
        <w:t>2024年度财政拨款收入总计155.73万元，</w:t>
      </w:r>
      <w:r>
        <w:rPr>
          <w:rFonts w:ascii="仿宋_GB2312" w:hAnsi="仿宋_GB2312" w:eastAsia="仿宋_GB2312"/>
          <w:b w:val="0"/>
          <w:sz w:val="32"/>
        </w:rPr>
        <w:t>其中：年初财政拨款结转和结余0.00万元，本年财政拨款收入155.73万元。</w:t>
      </w:r>
      <w:r>
        <w:rPr>
          <w:rFonts w:ascii="仿宋_GB2312" w:hAnsi="仿宋_GB2312" w:eastAsia="仿宋_GB2312"/>
          <w:b/>
          <w:sz w:val="32"/>
        </w:rPr>
        <w:t>财政拨款支出总计155.73万元，</w:t>
      </w:r>
      <w:r>
        <w:rPr>
          <w:rFonts w:ascii="仿宋_GB2312" w:hAnsi="仿宋_GB2312" w:eastAsia="仿宋_GB2312"/>
          <w:b w:val="0"/>
          <w:sz w:val="32"/>
        </w:rPr>
        <w:t>其中：年末财政拨款结转和结余0.00万元，本年财政拨款支出155.73万元。</w:t>
      </w:r>
    </w:p>
    <w:p w14:paraId="2635405D">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减少47.08万元，下降23.21%，主要原因是：本年在职人员减少，相关人员经费较上年减少。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年初预算数194.26万元，决算数155.73万元，预决算差异率-19.83%，主要原因是：本年在职人员减少，年中调减人员经费，导致预决算存在差异。</w:t>
      </w:r>
    </w:p>
    <w:p w14:paraId="203DDBFA">
      <w:pPr>
        <w:spacing w:line="640" w:lineRule="exact"/>
        <w:ind w:firstLine="640"/>
        <w:jc w:val="both"/>
        <w:outlineLvl w:val="2"/>
      </w:pPr>
      <w:r>
        <w:rPr>
          <w:rFonts w:ascii="黑体" w:hAnsi="黑体" w:eastAsia="黑体"/>
          <w:sz w:val="32"/>
        </w:rPr>
        <w:t>五、一般公共预算财政拨款支出决算情况说明</w:t>
      </w:r>
    </w:p>
    <w:p w14:paraId="286A13AB">
      <w:pPr>
        <w:spacing w:line="640" w:lineRule="exact"/>
        <w:ind w:firstLine="640"/>
        <w:jc w:val="both"/>
        <w:outlineLvl w:val="3"/>
      </w:pPr>
      <w:r>
        <w:rPr>
          <w:rFonts w:ascii="楷体_GB2312" w:hAnsi="楷体_GB2312" w:eastAsia="楷体_GB2312"/>
          <w:b/>
          <w:sz w:val="32"/>
        </w:rPr>
        <w:t>（一）一般公共预算财政拨款支出决算总体情况</w:t>
      </w:r>
    </w:p>
    <w:p w14:paraId="3B19BE50">
      <w:pPr>
        <w:spacing w:line="580" w:lineRule="exact"/>
        <w:ind w:firstLine="640"/>
        <w:jc w:val="both"/>
      </w:pPr>
      <w:r>
        <w:rPr>
          <w:rFonts w:ascii="仿宋_GB2312" w:hAnsi="仿宋_GB2312" w:eastAsia="仿宋_GB2312"/>
          <w:b/>
          <w:sz w:val="32"/>
        </w:rPr>
        <w:t>2024年度一般公共预算财政拨款支出155.73万元，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减少47.08万元，下降23.21%，主要原因是：本年在职人员减少，相关人员经费较上年减少。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年初预算数194.26万元，决算数155.73万元，预决算差异率-19.83%，主要原因是：本年在职人员减少，年中调减人员经费，导致预决算存在差异。</w:t>
      </w:r>
    </w:p>
    <w:p w14:paraId="207E2ADC">
      <w:pPr>
        <w:spacing w:line="640" w:lineRule="exact"/>
        <w:ind w:firstLine="640"/>
        <w:jc w:val="both"/>
        <w:outlineLvl w:val="3"/>
      </w:pPr>
      <w:r>
        <w:rPr>
          <w:rFonts w:ascii="楷体_GB2312" w:hAnsi="楷体_GB2312" w:eastAsia="楷体_GB2312"/>
          <w:b/>
          <w:sz w:val="32"/>
        </w:rPr>
        <w:t>（二）一般公共预算财政拨款支出决算结构情况</w:t>
      </w:r>
    </w:p>
    <w:p w14:paraId="58BD9720">
      <w:pPr>
        <w:spacing w:line="580" w:lineRule="exact"/>
        <w:ind w:firstLine="640"/>
        <w:jc w:val="both"/>
      </w:pPr>
      <w:r>
        <w:rPr>
          <w:rFonts w:ascii="仿宋_GB2312" w:hAnsi="仿宋_GB2312" w:eastAsia="仿宋_GB2312"/>
          <w:b w:val="0"/>
          <w:sz w:val="32"/>
        </w:rPr>
        <w:t>1.社会保障和就业支出(类)48.76万元,占31.31%。</w:t>
      </w:r>
    </w:p>
    <w:p w14:paraId="5B665351">
      <w:pPr>
        <w:spacing w:line="580" w:lineRule="exact"/>
        <w:ind w:firstLine="640"/>
        <w:jc w:val="both"/>
      </w:pPr>
      <w:r>
        <w:rPr>
          <w:rFonts w:ascii="仿宋_GB2312" w:hAnsi="仿宋_GB2312" w:eastAsia="仿宋_GB2312"/>
          <w:b w:val="0"/>
          <w:sz w:val="32"/>
        </w:rPr>
        <w:t>2.卫生健康支出(类)97.90万元,占62.87%。</w:t>
      </w:r>
    </w:p>
    <w:p w14:paraId="0924B191">
      <w:pPr>
        <w:spacing w:line="580" w:lineRule="exact"/>
        <w:ind w:firstLine="640"/>
        <w:jc w:val="both"/>
      </w:pPr>
      <w:r>
        <w:rPr>
          <w:rFonts w:ascii="仿宋_GB2312" w:hAnsi="仿宋_GB2312" w:eastAsia="仿宋_GB2312"/>
          <w:b w:val="0"/>
          <w:sz w:val="32"/>
        </w:rPr>
        <w:t>3.住房保障支出(类)9.07万元,占5.82%。</w:t>
      </w:r>
    </w:p>
    <w:p w14:paraId="71DEEF71">
      <w:pPr>
        <w:spacing w:line="640" w:lineRule="exact"/>
        <w:ind w:firstLine="640"/>
        <w:jc w:val="both"/>
        <w:outlineLvl w:val="3"/>
      </w:pPr>
      <w:r>
        <w:rPr>
          <w:rFonts w:ascii="楷体_GB2312" w:hAnsi="楷体_GB2312" w:eastAsia="楷体_GB2312"/>
          <w:b/>
          <w:sz w:val="32"/>
        </w:rPr>
        <w:t>（三）一般公共预算财政拨款支出决算具体情况</w:t>
      </w:r>
    </w:p>
    <w:p w14:paraId="678FCC2D">
      <w:pPr>
        <w:spacing w:line="580" w:lineRule="exact"/>
        <w:ind w:firstLine="640"/>
        <w:jc w:val="both"/>
      </w:pPr>
      <w:r>
        <w:rPr>
          <w:rFonts w:ascii="仿宋_GB2312" w:hAnsi="仿宋_GB2312" w:eastAsia="仿宋_GB2312"/>
          <w:b w:val="0"/>
          <w:sz w:val="32"/>
        </w:rPr>
        <w:t>1.社会保障和就业支出(类)行政事业单位养老支出(款)行政单位离退休(项):支出决算数为0.53万元，比上年决算增加0.53万元，增长100.00%,主要原因是：本年功能科目调整，行政单位离退休上年度在事业单位离退休科目列支，本年单独列支，导致经费较上年增加。</w:t>
      </w:r>
    </w:p>
    <w:p w14:paraId="0E7F0E95">
      <w:pPr>
        <w:spacing w:line="580" w:lineRule="exact"/>
        <w:ind w:firstLine="640"/>
        <w:jc w:val="both"/>
      </w:pPr>
      <w:r>
        <w:rPr>
          <w:rFonts w:ascii="仿宋_GB2312" w:hAnsi="仿宋_GB2312" w:eastAsia="仿宋_GB2312"/>
          <w:b w:val="0"/>
          <w:sz w:val="32"/>
        </w:rPr>
        <w:t>2.社会保障和就业支出(类)行政事业单位养老支出(款)事业单位离退休(项):支出决算数为13.75万元，比上年决算增加6.40万元，增长87.07%,主要原因是：本年增加退休人员基础绩效奖，退休费支出增加。</w:t>
      </w:r>
    </w:p>
    <w:p w14:paraId="01E1C9F1">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11.37万元，比上年决算减少5.28万元，下降31.71%,主要原因是：本年在职人员减少，单位基本养老保险缴费较上年减少。</w:t>
      </w:r>
    </w:p>
    <w:p w14:paraId="51C3E4E1">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4.社会保障和就业支出(类)行政事业单位养老支出(款)机关事业单位职业年金缴费支出(项):支出决算数为23.11万元，比上年决算增加15.94万元，增长222.32%,主要原因是：本年新增退休人员、调出人员</w:t>
      </w:r>
      <w:r>
        <w:rPr>
          <w:rFonts w:hint="eastAsia" w:ascii="仿宋_GB2312" w:hAnsi="仿宋_GB2312" w:eastAsia="仿宋_GB2312"/>
          <w:b w:val="0"/>
          <w:sz w:val="32"/>
          <w:lang w:val="en-US" w:eastAsia="zh-CN"/>
        </w:rPr>
        <w:t>较上年增加</w:t>
      </w:r>
      <w:r>
        <w:rPr>
          <w:rFonts w:ascii="仿宋_GB2312" w:hAnsi="仿宋_GB2312" w:eastAsia="仿宋_GB2312"/>
          <w:b w:val="0"/>
          <w:sz w:val="32"/>
        </w:rPr>
        <w:t>，职业年金缴费支出增加。</w:t>
      </w:r>
    </w:p>
    <w:p w14:paraId="731B9C24">
      <w:pPr>
        <w:spacing w:line="580" w:lineRule="exact"/>
        <w:ind w:firstLine="640"/>
        <w:jc w:val="both"/>
      </w:pPr>
      <w:r>
        <w:rPr>
          <w:rFonts w:ascii="仿宋_GB2312" w:hAnsi="仿宋_GB2312" w:eastAsia="仿宋_GB2312"/>
          <w:b w:val="0"/>
          <w:sz w:val="32"/>
        </w:rPr>
        <w:t>5.卫生健康支出(类)公共卫生(款)卫生监督机构(项):支出决算数为89.91万元，比上年决算减少58.11万元，下降39.26%,主要原因是：本年在职人员减少，人员经费减少。</w:t>
      </w:r>
    </w:p>
    <w:p w14:paraId="4565318C">
      <w:pPr>
        <w:spacing w:line="580" w:lineRule="exact"/>
        <w:ind w:firstLine="640"/>
        <w:jc w:val="both"/>
      </w:pPr>
      <w:r>
        <w:rPr>
          <w:rFonts w:ascii="仿宋_GB2312" w:hAnsi="仿宋_GB2312" w:eastAsia="仿宋_GB2312"/>
          <w:b w:val="0"/>
          <w:sz w:val="32"/>
        </w:rPr>
        <w:t>6.卫生健康支出(类)公共卫生(款)基本公共卫生服务(项):支出决算数为1.18万元，比上年决算增加0.96万元，增长436.36%,主要原因是：本年增加2023年中央基本公共卫生服务补助项目、2024年自治区基本公共卫生服务补助资金（第二批）项目。</w:t>
      </w:r>
    </w:p>
    <w:p w14:paraId="55621ECA">
      <w:pPr>
        <w:spacing w:line="580" w:lineRule="exact"/>
        <w:ind w:firstLine="640"/>
        <w:jc w:val="both"/>
      </w:pPr>
      <w:r>
        <w:rPr>
          <w:rFonts w:ascii="仿宋_GB2312" w:hAnsi="仿宋_GB2312" w:eastAsia="仿宋_GB2312"/>
          <w:b w:val="0"/>
          <w:sz w:val="32"/>
        </w:rPr>
        <w:t>7.卫生健康支出(类)公共卫生(款)其他公共卫生支出(项):支出决算数为0.50万元，比上年决算增加0.50万元，增长100.00%,主要原因是：本年增加双随机检查项目资金。</w:t>
      </w:r>
    </w:p>
    <w:p w14:paraId="3C3FB1F0">
      <w:pPr>
        <w:spacing w:line="580" w:lineRule="exact"/>
        <w:ind w:firstLine="640"/>
        <w:jc w:val="both"/>
      </w:pPr>
      <w:r>
        <w:rPr>
          <w:rFonts w:ascii="仿宋_GB2312" w:hAnsi="仿宋_GB2312" w:eastAsia="仿宋_GB2312"/>
          <w:b w:val="0"/>
          <w:sz w:val="32"/>
        </w:rPr>
        <w:t>8.卫生健康支出(类)行政事业单位医疗(款)事业单位医疗(项):支出决算数为4.89万元，比上年决算减少2.61万元，下降34.80%,主要原因是：本年在职人员减少，事业单位医疗支出较上年减少。</w:t>
      </w:r>
    </w:p>
    <w:p w14:paraId="4BD68170">
      <w:pPr>
        <w:spacing w:line="580" w:lineRule="exact"/>
        <w:ind w:firstLine="640"/>
        <w:jc w:val="both"/>
      </w:pPr>
      <w:r>
        <w:rPr>
          <w:rFonts w:ascii="仿宋_GB2312" w:hAnsi="仿宋_GB2312" w:eastAsia="仿宋_GB2312"/>
          <w:b w:val="0"/>
          <w:sz w:val="32"/>
        </w:rPr>
        <w:t>9.卫生健康支出(类)行政事业单位医疗(款)公务员医疗补助(项):支出决算数为1.42万元，比上年决算减少0.76万元，下降34.86%,主要原因是：本年在职人员减少，公务员医疗补助较上年减少。</w:t>
      </w:r>
    </w:p>
    <w:p w14:paraId="3E37FD6E">
      <w:pPr>
        <w:spacing w:line="580" w:lineRule="exact"/>
        <w:ind w:firstLine="640"/>
        <w:jc w:val="both"/>
      </w:pPr>
      <w:r>
        <w:rPr>
          <w:rFonts w:ascii="仿宋_GB2312" w:hAnsi="仿宋_GB2312" w:eastAsia="仿宋_GB2312"/>
          <w:b w:val="0"/>
          <w:sz w:val="32"/>
        </w:rPr>
        <w:t>10.住房保障支出(类)住房改革支出(款)住房公积金(项):支出决算数为9.07万元，比上年决算减少4.65万元，下降33.89%,主要原因是：本年在职人员减少，住房公积金缴费较上年减少。</w:t>
      </w:r>
    </w:p>
    <w:p w14:paraId="145A631F">
      <w:pPr>
        <w:spacing w:line="640" w:lineRule="exact"/>
        <w:ind w:firstLine="640"/>
        <w:jc w:val="both"/>
        <w:outlineLvl w:val="2"/>
      </w:pPr>
      <w:r>
        <w:rPr>
          <w:rFonts w:ascii="黑体" w:hAnsi="黑体" w:eastAsia="黑体"/>
          <w:sz w:val="32"/>
        </w:rPr>
        <w:t>六、一般公共预算财政拨款基本支出决算情况说明</w:t>
      </w:r>
    </w:p>
    <w:p w14:paraId="537A87A4">
      <w:pPr>
        <w:spacing w:line="580" w:lineRule="exact"/>
        <w:ind w:firstLine="640"/>
        <w:jc w:val="both"/>
      </w:pPr>
      <w:r>
        <w:rPr>
          <w:rFonts w:ascii="仿宋_GB2312" w:hAnsi="仿宋_GB2312" w:eastAsia="仿宋_GB2312"/>
          <w:b w:val="0"/>
          <w:sz w:val="32"/>
        </w:rPr>
        <w:t>2024年度一般公共预算财政拨款基本支出154.05万元，其中：</w:t>
      </w:r>
      <w:r>
        <w:rPr>
          <w:rFonts w:ascii="仿宋_GB2312" w:hAnsi="仿宋_GB2312" w:eastAsia="仿宋_GB2312"/>
          <w:b/>
          <w:sz w:val="32"/>
        </w:rPr>
        <w:t>人员经费153.12万元，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包括：基本工资、津贴补贴、奖金、机关事业单位基本养老保险缴费、职业年金缴费、职工基本医疗保险缴费、公务员医疗补助缴费、其他社会保障缴费、住房公积金、退休费、抚恤金。</w:t>
      </w:r>
    </w:p>
    <w:p w14:paraId="39CF53E6">
      <w:pPr>
        <w:spacing w:line="580" w:lineRule="exact"/>
        <w:ind w:firstLine="640"/>
        <w:jc w:val="both"/>
      </w:pPr>
      <w:r>
        <w:rPr>
          <w:rFonts w:ascii="仿宋_GB2312" w:hAnsi="仿宋_GB2312" w:eastAsia="仿宋_GB2312"/>
          <w:b/>
          <w:sz w:val="32"/>
        </w:rPr>
        <w:t>公用经费0.93万元，</w:t>
      </w:r>
      <w:r>
        <w:rPr>
          <w:rFonts w:ascii="仿宋_GB2312" w:hAnsi="仿宋_GB2312" w:eastAsia="仿宋_GB2312"/>
          <w:b w:val="0"/>
          <w:sz w:val="32"/>
        </w:rPr>
        <w:t>包括：办公费、水费、电费、公务用车运行维护费。</w:t>
      </w:r>
    </w:p>
    <w:p w14:paraId="555A2669">
      <w:pPr>
        <w:spacing w:line="640" w:lineRule="exact"/>
        <w:ind w:firstLine="640"/>
        <w:jc w:val="both"/>
        <w:outlineLvl w:val="2"/>
      </w:pPr>
      <w:r>
        <w:rPr>
          <w:rFonts w:ascii="黑体" w:hAnsi="黑体" w:eastAsia="黑体"/>
          <w:sz w:val="32"/>
        </w:rPr>
        <w:t>七、政府性基金预算财政拨款收入支出决算情况说明</w:t>
      </w:r>
    </w:p>
    <w:p w14:paraId="46F84426">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172E6C34">
      <w:pPr>
        <w:spacing w:line="640" w:lineRule="exact"/>
        <w:ind w:firstLine="640"/>
        <w:jc w:val="both"/>
        <w:outlineLvl w:val="2"/>
      </w:pPr>
      <w:r>
        <w:rPr>
          <w:rFonts w:ascii="黑体" w:hAnsi="黑体" w:eastAsia="黑体"/>
          <w:sz w:val="32"/>
        </w:rPr>
        <w:t>八、国有资本经营预算财政拨款收入支出决算情况说明</w:t>
      </w:r>
    </w:p>
    <w:p w14:paraId="12BC2254">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41F9603">
      <w:pPr>
        <w:spacing w:line="640" w:lineRule="exact"/>
        <w:ind w:firstLine="640"/>
        <w:jc w:val="both"/>
        <w:outlineLvl w:val="2"/>
      </w:pPr>
      <w:r>
        <w:rPr>
          <w:rFonts w:ascii="黑体" w:hAnsi="黑体" w:eastAsia="黑体"/>
          <w:sz w:val="32"/>
        </w:rPr>
        <w:t>九、财政拨款“三公”经费支出决算情况说明</w:t>
      </w:r>
    </w:p>
    <w:p w14:paraId="48D194F2">
      <w:pPr>
        <w:spacing w:line="580" w:lineRule="exact"/>
        <w:ind w:firstLine="640"/>
        <w:jc w:val="both"/>
      </w:pPr>
      <w:r>
        <w:rPr>
          <w:rFonts w:ascii="仿宋_GB2312" w:hAnsi="仿宋_GB2312" w:eastAsia="仿宋_GB2312"/>
          <w:b/>
          <w:sz w:val="32"/>
        </w:rPr>
        <w:t>2024年度财政拨款“三公”经费支出0.31万元，</w:t>
      </w:r>
      <w:r>
        <w:rPr>
          <w:rFonts w:ascii="仿宋_GB2312" w:hAnsi="仿宋_GB2312" w:eastAsia="仿宋_GB2312"/>
          <w:b w:val="0"/>
          <w:sz w:val="32"/>
        </w:rPr>
        <w:t>比上年减少0.49万元，下降61.25%，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0.31万元，占100.00%，比上年减少0.49万元，下降61.25%，主要原因是：严格落实中央八项规定精神，厉行节约，减少公务用车运行维护费。公务接待费支出0.00万元，占0.00%，比上年增加0.00万元，增长0.00%，主要原因是：2023年与2024年均未安排公务接待费支出。</w:t>
      </w:r>
    </w:p>
    <w:p w14:paraId="21AE37D9">
      <w:pPr>
        <w:spacing w:line="580" w:lineRule="exact"/>
        <w:ind w:firstLine="640"/>
        <w:jc w:val="both"/>
      </w:pPr>
      <w:r>
        <w:rPr>
          <w:rFonts w:ascii="仿宋_GB2312" w:hAnsi="仿宋_GB2312" w:eastAsia="仿宋_GB2312"/>
          <w:b/>
          <w:sz w:val="32"/>
        </w:rPr>
        <w:t>具体情况如下：</w:t>
      </w:r>
    </w:p>
    <w:p w14:paraId="613B1F1E">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4F19AB6">
      <w:pPr>
        <w:spacing w:line="580" w:lineRule="exact"/>
        <w:ind w:firstLine="640"/>
        <w:jc w:val="both"/>
      </w:pPr>
      <w:r>
        <w:rPr>
          <w:rFonts w:ascii="仿宋_GB2312" w:hAnsi="仿宋_GB2312" w:eastAsia="仿宋_GB2312"/>
          <w:b w:val="0"/>
          <w:sz w:val="32"/>
        </w:rPr>
        <w:t>公务用车购置及运行维护费0.31万元，其中：公务用车购置费0.00万元，公务用车运行维护费0.31万元。公务用车运行维护费开支内容包括单位公车保险费。公务用车购置数0辆，公务用车保有量1辆。国有资产占用情况中固定资产车辆0辆，与公务用车保有量差异原因是：借用其他单位车辆，车辆费用由本单位支付。</w:t>
      </w:r>
    </w:p>
    <w:p w14:paraId="6F71DC04">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377F64CD">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0.31万元，决算数0.31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0.31万元，决算数0.31万元，预决算差异率0.00%，主要原因是：严格按照预算执行，预决算无差异。公务接待费全年预算数0.00万元，决算数0.00万元，预决算差异率0.00%，主要原因是：本单位无公务接待费。</w:t>
      </w:r>
    </w:p>
    <w:p w14:paraId="69979368">
      <w:pPr>
        <w:spacing w:line="640" w:lineRule="exact"/>
        <w:ind w:firstLine="640"/>
        <w:jc w:val="both"/>
        <w:outlineLvl w:val="2"/>
      </w:pPr>
      <w:r>
        <w:rPr>
          <w:rFonts w:ascii="黑体" w:hAnsi="黑体" w:eastAsia="黑体"/>
          <w:sz w:val="32"/>
        </w:rPr>
        <w:t>十、其他重要事项的情况说明</w:t>
      </w:r>
    </w:p>
    <w:p w14:paraId="5F964BB2">
      <w:pPr>
        <w:spacing w:line="640" w:lineRule="exact"/>
        <w:ind w:firstLine="640"/>
        <w:jc w:val="both"/>
        <w:outlineLvl w:val="3"/>
      </w:pPr>
      <w:r>
        <w:rPr>
          <w:rFonts w:ascii="楷体_GB2312" w:hAnsi="楷体_GB2312" w:eastAsia="楷体_GB2312"/>
          <w:b/>
          <w:sz w:val="32"/>
        </w:rPr>
        <w:t>（一）机关运行经费及公用经费支出情况</w:t>
      </w:r>
    </w:p>
    <w:p w14:paraId="74B8E6AF">
      <w:pPr>
        <w:spacing w:line="580" w:lineRule="exact"/>
        <w:ind w:firstLine="640"/>
        <w:jc w:val="both"/>
      </w:pPr>
      <w:r>
        <w:rPr>
          <w:rFonts w:ascii="仿宋_GB2312" w:hAnsi="仿宋_GB2312" w:eastAsia="仿宋_GB2312"/>
          <w:b w:val="0"/>
          <w:sz w:val="32"/>
        </w:rPr>
        <w:t>2024年度疏附县卫生健康服务站（行政单位和参照公务员法管理事业单位）机关运行经费支出0.93万元，比上年减少1.93万元，下降67.48%，主要原因是：严格控制公用经费，合理节约办公用品，减少不必要开支。</w:t>
      </w:r>
    </w:p>
    <w:p w14:paraId="1A472416">
      <w:pPr>
        <w:spacing w:line="640" w:lineRule="exact"/>
        <w:ind w:firstLine="640"/>
        <w:jc w:val="both"/>
        <w:outlineLvl w:val="3"/>
      </w:pPr>
      <w:r>
        <w:rPr>
          <w:rFonts w:ascii="楷体_GB2312" w:hAnsi="楷体_GB2312" w:eastAsia="楷体_GB2312"/>
          <w:b/>
          <w:sz w:val="32"/>
        </w:rPr>
        <w:t>（二）政府采购情况</w:t>
      </w:r>
    </w:p>
    <w:p w14:paraId="38BCD5C0">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215093AB">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5930C1A5">
      <w:pPr>
        <w:spacing w:line="640" w:lineRule="exact"/>
        <w:ind w:firstLine="640"/>
        <w:jc w:val="both"/>
        <w:outlineLvl w:val="3"/>
      </w:pPr>
      <w:r>
        <w:rPr>
          <w:rFonts w:ascii="楷体_GB2312" w:hAnsi="楷体_GB2312" w:eastAsia="楷体_GB2312"/>
          <w:b/>
          <w:sz w:val="32"/>
        </w:rPr>
        <w:t>（三）国有资产占用情况说明</w:t>
      </w:r>
    </w:p>
    <w:p w14:paraId="55FF6107">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5C25B120">
      <w:pPr>
        <w:spacing w:line="640" w:lineRule="exact"/>
        <w:ind w:firstLine="640"/>
        <w:jc w:val="both"/>
        <w:outlineLvl w:val="2"/>
      </w:pPr>
      <w:r>
        <w:rPr>
          <w:rFonts w:ascii="黑体" w:hAnsi="黑体" w:eastAsia="黑体"/>
          <w:sz w:val="32"/>
        </w:rPr>
        <w:t>十一、预算绩效的情况说明</w:t>
      </w:r>
    </w:p>
    <w:p w14:paraId="2B3CCB2B">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209.11万元，实际执行总额170.59万元；预算绩效评价项目3个，全年预算数15.96万元，全年执行数15.96万元。预算绩效管理取得的成效：</w:t>
      </w:r>
      <w:r>
        <w:rPr>
          <w:rFonts w:hint="eastAsia" w:ascii="仿宋_GB2312" w:hAnsi="仿宋_GB2312" w:eastAsia="仿宋_GB2312"/>
          <w:b w:val="0"/>
          <w:sz w:val="32"/>
          <w:lang w:val="en-US" w:eastAsia="zh-CN"/>
        </w:rPr>
        <w:t>1、</w:t>
      </w:r>
      <w:bookmarkStart w:id="0" w:name="_GoBack"/>
      <w:bookmarkEnd w:id="0"/>
      <w:r>
        <w:rPr>
          <w:rFonts w:ascii="仿宋_GB2312" w:hAnsi="仿宋_GB2312" w:eastAsia="仿宋_GB2312"/>
          <w:b w:val="0"/>
          <w:sz w:val="32"/>
        </w:rPr>
        <w:t>初步树立了绩效理念。通过绩效评价，</w:t>
      </w:r>
      <w:r>
        <w:rPr>
          <w:rFonts w:hint="eastAsia" w:ascii="仿宋_GB2312" w:hAnsi="仿宋_GB2312" w:eastAsia="仿宋_GB2312"/>
          <w:b w:val="0"/>
          <w:sz w:val="32"/>
          <w:lang w:eastAsia="zh-CN"/>
        </w:rPr>
        <w:t>本单位</w:t>
      </w:r>
      <w:r>
        <w:rPr>
          <w:rFonts w:ascii="仿宋_GB2312" w:hAnsi="仿宋_GB2312" w:eastAsia="仿宋_GB2312"/>
          <w:b w:val="0"/>
          <w:sz w:val="32"/>
        </w:rPr>
        <w:t>开始重视财政支出的绩效问题；2、增强了部门的责任意识，通过设定绩效目标，清楚地了解实施项目所取得的效果；3、提高了</w:t>
      </w:r>
      <w:r>
        <w:rPr>
          <w:rFonts w:hint="eastAsia" w:ascii="仿宋_GB2312" w:hAnsi="仿宋_GB2312" w:eastAsia="仿宋_GB2312"/>
          <w:b w:val="0"/>
          <w:sz w:val="32"/>
          <w:lang w:eastAsia="zh-CN"/>
        </w:rPr>
        <w:t>财政资金使用</w:t>
      </w:r>
      <w:r>
        <w:rPr>
          <w:rFonts w:ascii="仿宋_GB2312" w:hAnsi="仿宋_GB2312" w:eastAsia="仿宋_GB2312"/>
          <w:b w:val="0"/>
          <w:sz w:val="32"/>
        </w:rPr>
        <w:t>效益，做计划、优化财政支出结构。发现的问题及原因：一是支出进度与绩效目标不一致。二是年中调整随意。有些工作未开展、出现计划不如变化的情况。下一步改进措施：一是加强预算绩效目标管理工作，明确预算项目绩效目标</w:t>
      </w:r>
      <w:r>
        <w:rPr>
          <w:rFonts w:hint="eastAsia" w:ascii="仿宋_GB2312" w:hAnsi="仿宋_GB2312" w:eastAsia="仿宋_GB2312"/>
          <w:b w:val="0"/>
          <w:sz w:val="32"/>
          <w:lang w:eastAsia="zh-CN"/>
        </w:rPr>
        <w:t>编制</w:t>
      </w:r>
      <w:r>
        <w:rPr>
          <w:rFonts w:ascii="仿宋_GB2312" w:hAnsi="仿宋_GB2312" w:eastAsia="仿宋_GB2312"/>
          <w:b w:val="0"/>
          <w:sz w:val="32"/>
        </w:rPr>
        <w:t>要求分类别建立合理、细化量化、突出结果导向、重点考核实绩。二是加强绩效业务学习及培训，提高业务人员绩效管理意识。三是通过强化专业培训、学习考察、业务交流等措施帮助和促进</w:t>
      </w:r>
      <w:r>
        <w:rPr>
          <w:rFonts w:hint="eastAsia" w:ascii="仿宋_GB2312" w:hAnsi="仿宋_GB2312" w:eastAsia="仿宋_GB2312"/>
          <w:b w:val="0"/>
          <w:sz w:val="32"/>
          <w:lang w:eastAsia="zh-CN"/>
        </w:rPr>
        <w:t>本单位</w:t>
      </w:r>
      <w:r>
        <w:rPr>
          <w:rFonts w:ascii="仿宋_GB2312" w:hAnsi="仿宋_GB2312" w:eastAsia="仿宋_GB2312"/>
          <w:b w:val="0"/>
          <w:sz w:val="32"/>
        </w:rPr>
        <w:t>现有人员提高绩效管理业务水平。具体附整体支出绩效自评表，项目支出绩效自评表。</w:t>
      </w:r>
    </w:p>
    <w:p w14:paraId="279BD4EF">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1B871B3">
        <w:tblPrEx>
          <w:tblCellMar>
            <w:top w:w="0" w:type="dxa"/>
            <w:left w:w="108" w:type="dxa"/>
            <w:bottom w:w="0" w:type="dxa"/>
            <w:right w:w="108" w:type="dxa"/>
          </w:tblCellMar>
        </w:tblPrEx>
        <w:tc>
          <w:tcPr>
            <w:tcW w:w="8847" w:type="dxa"/>
            <w:gridSpan w:val="9"/>
            <w:vAlign w:val="center"/>
          </w:tcPr>
          <w:p w14:paraId="0F8FD40B">
            <w:pPr>
              <w:jc w:val="center"/>
            </w:pPr>
            <w:r>
              <w:rPr>
                <w:rFonts w:ascii="宋体" w:hAnsi="宋体" w:eastAsia="宋体"/>
                <w:sz w:val="24"/>
              </w:rPr>
              <w:t>单位整体支出绩效自评表</w:t>
            </w:r>
          </w:p>
        </w:tc>
      </w:tr>
      <w:tr w14:paraId="70F05E33">
        <w:tblPrEx>
          <w:tblCellMar>
            <w:top w:w="0" w:type="dxa"/>
            <w:left w:w="108" w:type="dxa"/>
            <w:bottom w:w="0" w:type="dxa"/>
            <w:right w:w="108" w:type="dxa"/>
          </w:tblCellMar>
        </w:tblPrEx>
        <w:tc>
          <w:tcPr>
            <w:tcW w:w="8847" w:type="dxa"/>
            <w:gridSpan w:val="9"/>
            <w:vAlign w:val="center"/>
          </w:tcPr>
          <w:p w14:paraId="0491C61A">
            <w:pPr>
              <w:jc w:val="center"/>
            </w:pPr>
            <w:r>
              <w:rPr>
                <w:rFonts w:ascii="宋体" w:hAnsi="宋体" w:eastAsia="宋体"/>
                <w:sz w:val="24"/>
              </w:rPr>
              <w:t>（2024年度）</w:t>
            </w:r>
          </w:p>
        </w:tc>
      </w:tr>
      <w:tr w14:paraId="7977EEB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33D8AE">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962B4DE">
            <w:pPr>
              <w:jc w:val="center"/>
            </w:pPr>
            <w:r>
              <w:rPr>
                <w:rFonts w:ascii="宋体" w:hAnsi="宋体" w:eastAsia="宋体"/>
                <w:sz w:val="16"/>
              </w:rPr>
              <w:t>疏附县卫生健康服务站</w:t>
            </w:r>
          </w:p>
        </w:tc>
      </w:tr>
      <w:tr w14:paraId="4436FF9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18AC56">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CA3512">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D775C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D298A9">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54A409">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F5A76A">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442641">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03F5B">
            <w:pPr>
              <w:jc w:val="center"/>
            </w:pPr>
            <w:r>
              <w:rPr>
                <w:rFonts w:ascii="宋体" w:hAnsi="宋体" w:eastAsia="宋体"/>
                <w:sz w:val="16"/>
              </w:rPr>
              <w:t>得分</w:t>
            </w:r>
          </w:p>
        </w:tc>
      </w:tr>
      <w:tr w14:paraId="6A3213B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74BF8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075F44">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687449">
            <w:pPr>
              <w:jc w:val="center"/>
            </w:pPr>
            <w:r>
              <w:rPr>
                <w:rFonts w:ascii="宋体" w:hAnsi="宋体" w:eastAsia="宋体"/>
                <w:sz w:val="16"/>
              </w:rPr>
              <w:t>194.25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3F4057">
            <w:pPr>
              <w:jc w:val="center"/>
            </w:pPr>
            <w:r>
              <w:rPr>
                <w:rFonts w:ascii="宋体" w:hAnsi="宋体" w:eastAsia="宋体"/>
                <w:sz w:val="16"/>
              </w:rPr>
              <w:t>209.11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15B310">
            <w:pPr>
              <w:jc w:val="center"/>
            </w:pPr>
            <w:r>
              <w:rPr>
                <w:rFonts w:ascii="宋体" w:hAnsi="宋体" w:eastAsia="宋体"/>
                <w:sz w:val="16"/>
              </w:rPr>
              <w:t>170.59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17E66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A01DA1">
            <w:pPr>
              <w:jc w:val="center"/>
            </w:pPr>
            <w:r>
              <w:rPr>
                <w:rFonts w:ascii="宋体" w:hAnsi="宋体" w:eastAsia="宋体"/>
                <w:sz w:val="16"/>
              </w:rPr>
              <w:t>81.58%</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7E836">
            <w:pPr>
              <w:jc w:val="center"/>
            </w:pPr>
            <w:r>
              <w:rPr>
                <w:rFonts w:ascii="宋体" w:hAnsi="宋体" w:eastAsia="宋体"/>
                <w:sz w:val="16"/>
              </w:rPr>
              <w:t>8.2</w:t>
            </w:r>
          </w:p>
        </w:tc>
      </w:tr>
      <w:tr w14:paraId="79CDD65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2EFA7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B6402B">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CD93E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C51EC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63025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7628B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B97808">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4E80F8">
            <w:pPr>
              <w:jc w:val="center"/>
            </w:pPr>
            <w:r>
              <w:rPr>
                <w:rFonts w:ascii="宋体" w:hAnsi="宋体" w:eastAsia="宋体"/>
                <w:sz w:val="16"/>
              </w:rPr>
              <w:t>—</w:t>
            </w:r>
          </w:p>
        </w:tc>
      </w:tr>
      <w:tr w14:paraId="23E85A0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BB769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ACF8F9">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B0F349">
            <w:pPr>
              <w:jc w:val="center"/>
            </w:pPr>
            <w:r>
              <w:rPr>
                <w:rFonts w:ascii="宋体" w:hAnsi="宋体" w:eastAsia="宋体"/>
                <w:sz w:val="16"/>
              </w:rPr>
              <w:t>194.25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5A9787">
            <w:pPr>
              <w:jc w:val="center"/>
            </w:pPr>
            <w:r>
              <w:rPr>
                <w:rFonts w:ascii="宋体" w:hAnsi="宋体" w:eastAsia="宋体"/>
                <w:sz w:val="16"/>
              </w:rPr>
              <w:t>194.25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024D7B">
            <w:pPr>
              <w:jc w:val="center"/>
            </w:pPr>
            <w:r>
              <w:rPr>
                <w:rFonts w:ascii="宋体" w:hAnsi="宋体" w:eastAsia="宋体"/>
                <w:sz w:val="16"/>
              </w:rPr>
              <w:t>155.73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FF15E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8A114C">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D8F00">
            <w:pPr>
              <w:jc w:val="center"/>
            </w:pPr>
            <w:r>
              <w:rPr>
                <w:rFonts w:ascii="宋体" w:hAnsi="宋体" w:eastAsia="宋体"/>
                <w:sz w:val="16"/>
              </w:rPr>
              <w:t>—</w:t>
            </w:r>
          </w:p>
        </w:tc>
      </w:tr>
      <w:tr w14:paraId="026CCD4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0CE56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D55C36">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D68AA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987B24">
            <w:pPr>
              <w:jc w:val="center"/>
            </w:pPr>
            <w:r>
              <w:rPr>
                <w:rFonts w:ascii="宋体" w:hAnsi="宋体" w:eastAsia="宋体"/>
                <w:sz w:val="16"/>
              </w:rPr>
              <w:t>14.86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560E74">
            <w:pPr>
              <w:jc w:val="center"/>
            </w:pPr>
            <w:r>
              <w:rPr>
                <w:rFonts w:ascii="宋体" w:hAnsi="宋体" w:eastAsia="宋体"/>
                <w:sz w:val="16"/>
              </w:rPr>
              <w:t>14.86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80D58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16898C">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E8A47">
            <w:pPr>
              <w:jc w:val="center"/>
            </w:pPr>
            <w:r>
              <w:rPr>
                <w:rFonts w:ascii="宋体" w:hAnsi="宋体" w:eastAsia="宋体"/>
                <w:sz w:val="16"/>
              </w:rPr>
              <w:t>—</w:t>
            </w:r>
          </w:p>
        </w:tc>
      </w:tr>
      <w:tr w14:paraId="2AFAD58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B3CF26">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BE85DA9">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05F322">
            <w:pPr>
              <w:jc w:val="center"/>
            </w:pPr>
            <w:r>
              <w:rPr>
                <w:rFonts w:ascii="宋体" w:hAnsi="宋体" w:eastAsia="宋体"/>
                <w:sz w:val="16"/>
              </w:rPr>
              <w:t>实际完成情况</w:t>
            </w:r>
          </w:p>
        </w:tc>
      </w:tr>
      <w:tr w14:paraId="4B105F0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A0FA71"/>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A0DBE81">
            <w:pPr>
              <w:jc w:val="both"/>
            </w:pPr>
            <w:r>
              <w:rPr>
                <w:rFonts w:ascii="宋体" w:hAnsi="宋体" w:eastAsia="宋体"/>
                <w:sz w:val="16"/>
              </w:rPr>
              <w:t>2024年，疏附县卫生健康服务站以党的二十大精神为指导，紧紧围绕社会和群众关心的热点和难点问题，强化以医疗机构、生活饮用水卫生、公共场所卫生、学校卫生、职业卫生、传染病防治监督等为重点的公共卫生监管职责，进一步加大卫生行政执法力度，切实维护广大人民群众的健康权益。一是建立健全政务公开机制。认真落实信息公开制度，紧密结合为民服务、阳光行动的开展，坚持“公开为常态、不公开为例外”原则，依法推进决策公开、执行公开、管理公开、服务公开和结果公开，由专人负责政务公开工作，及时、准确、主动公开相关信息，全面落实卫生健康行政许可、行政处罚“双公示”工作。二是畅通监督投诉渠道， 及时处理群众诉求。三是自觉接受党内监督、人大监督、民主监督、司法监督、社会监督、舆论监督，推动完善政府内部层级监督和专门监督。</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2DD90F">
            <w:pPr>
              <w:jc w:val="both"/>
            </w:pPr>
            <w:r>
              <w:rPr>
                <w:rFonts w:hint="eastAsia" w:ascii="宋体" w:hAnsi="宋体"/>
                <w:sz w:val="16"/>
                <w:lang w:eastAsia="zh-CN"/>
              </w:rPr>
              <w:t>截至2024</w:t>
            </w:r>
            <w:r>
              <w:rPr>
                <w:rFonts w:ascii="宋体" w:hAnsi="宋体" w:eastAsia="宋体"/>
                <w:sz w:val="16"/>
              </w:rPr>
              <w:t>年12月31日按要求完成各项检查任务，医疗机构依法执业监督检查覆盖率100%，县城量化分级管理率100%，乡镇量化分级管理率50%，力争检查频3次/年，</w:t>
            </w:r>
            <w:r>
              <w:rPr>
                <w:rFonts w:hint="eastAsia" w:ascii="宋体" w:hAnsi="宋体"/>
                <w:sz w:val="16"/>
                <w:lang w:eastAsia="zh-CN"/>
              </w:rPr>
              <w:t>双随机</w:t>
            </w:r>
            <w:r>
              <w:rPr>
                <w:rFonts w:ascii="宋体" w:hAnsi="宋体" w:eastAsia="宋体"/>
                <w:sz w:val="16"/>
              </w:rPr>
              <w:t>抽查任务检查率100%.</w:t>
            </w:r>
          </w:p>
        </w:tc>
      </w:tr>
      <w:tr w14:paraId="6DF3A05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718A3F">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7F0235">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8CF2A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1158B7">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3398B5">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53A965">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DCD80">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7841A2">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4A025B">
            <w:pPr>
              <w:jc w:val="center"/>
            </w:pPr>
            <w:r>
              <w:rPr>
                <w:rFonts w:ascii="宋体" w:hAnsi="宋体" w:eastAsia="宋体"/>
                <w:sz w:val="16"/>
              </w:rPr>
              <w:t>得分</w:t>
            </w:r>
          </w:p>
        </w:tc>
      </w:tr>
      <w:tr w14:paraId="4DFAC88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AFA789">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27469E">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21CB55">
            <w:pPr>
              <w:jc w:val="center"/>
            </w:pPr>
            <w:r>
              <w:rPr>
                <w:rFonts w:ascii="宋体" w:hAnsi="宋体" w:eastAsia="宋体"/>
                <w:sz w:val="16"/>
              </w:rPr>
              <w:t>医疗机构依法执业</w:t>
            </w:r>
            <w:r>
              <w:rPr>
                <w:rFonts w:hint="eastAsia" w:ascii="宋体" w:hAnsi="宋体"/>
                <w:sz w:val="16"/>
                <w:lang w:eastAsia="zh-CN"/>
              </w:rPr>
              <w:t>监督</w:t>
            </w:r>
            <w:r>
              <w:rPr>
                <w:rFonts w:ascii="宋体" w:hAnsi="宋体" w:eastAsia="宋体"/>
                <w:sz w:val="16"/>
              </w:rPr>
              <w:t>检查覆盖率（%）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DDC99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0824D1">
            <w:pPr>
              <w:jc w:val="center"/>
            </w:pPr>
            <w:r>
              <w:rPr>
                <w:rFonts w:ascii="宋体" w:hAnsi="宋体" w:eastAsia="宋体"/>
                <w:sz w:val="16"/>
              </w:rPr>
              <w:t>卫生健康服务站2024年度工作计划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23223C">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590C8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C0861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393A83">
            <w:pPr>
              <w:jc w:val="center"/>
            </w:pPr>
            <w:r>
              <w:rPr>
                <w:rFonts w:ascii="宋体" w:hAnsi="宋体" w:eastAsia="宋体"/>
                <w:sz w:val="16"/>
              </w:rPr>
              <w:t>18</w:t>
            </w:r>
          </w:p>
        </w:tc>
      </w:tr>
      <w:tr w14:paraId="01824CD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3A28F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35A20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BE8483">
            <w:pPr>
              <w:jc w:val="center"/>
            </w:pPr>
            <w:r>
              <w:rPr>
                <w:rFonts w:ascii="宋体" w:hAnsi="宋体" w:eastAsia="宋体"/>
                <w:sz w:val="16"/>
              </w:rPr>
              <w:t>县城量化分级管理率（%）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871C5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C4A098">
            <w:pPr>
              <w:jc w:val="center"/>
            </w:pPr>
            <w:r>
              <w:rPr>
                <w:rFonts w:ascii="宋体" w:hAnsi="宋体" w:eastAsia="宋体"/>
                <w:sz w:val="16"/>
              </w:rPr>
              <w:t>卫生健康服务站2024年度工作计划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654CAD">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D43B8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B31D1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1E38CF">
            <w:pPr>
              <w:jc w:val="center"/>
            </w:pPr>
            <w:r>
              <w:rPr>
                <w:rFonts w:ascii="宋体" w:hAnsi="宋体" w:eastAsia="宋体"/>
                <w:sz w:val="16"/>
              </w:rPr>
              <w:t>18</w:t>
            </w:r>
          </w:p>
        </w:tc>
      </w:tr>
      <w:tr w14:paraId="694E3DD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61670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5B80D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BDC7AD">
            <w:pPr>
              <w:jc w:val="center"/>
            </w:pPr>
            <w:r>
              <w:rPr>
                <w:rFonts w:ascii="宋体" w:hAnsi="宋体" w:eastAsia="宋体"/>
                <w:sz w:val="16"/>
              </w:rPr>
              <w:t>乡镇量化分级管理率（%）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A9CA1A">
            <w:pPr>
              <w:jc w:val="center"/>
            </w:pPr>
            <w:r>
              <w:rPr>
                <w:rFonts w:ascii="宋体" w:hAnsi="宋体" w:eastAsia="宋体"/>
                <w:sz w:val="16"/>
              </w:rPr>
              <w:t>&gt;=50%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7441B1">
            <w:pPr>
              <w:jc w:val="center"/>
            </w:pPr>
            <w:r>
              <w:rPr>
                <w:rFonts w:ascii="宋体" w:hAnsi="宋体" w:eastAsia="宋体"/>
                <w:sz w:val="16"/>
              </w:rPr>
              <w:t>卫生健康服务站2024年度工作计划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518BE6">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FFE828">
            <w:pPr>
              <w:jc w:val="center"/>
            </w:pPr>
            <w:r>
              <w:rPr>
                <w:rFonts w:ascii="宋体" w:hAnsi="宋体" w:eastAsia="宋体"/>
                <w:sz w:val="16"/>
              </w:rPr>
              <w:t>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086D2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F1B09A">
            <w:pPr>
              <w:jc w:val="center"/>
            </w:pPr>
            <w:r>
              <w:rPr>
                <w:rFonts w:ascii="宋体" w:hAnsi="宋体" w:eastAsia="宋体"/>
                <w:sz w:val="16"/>
              </w:rPr>
              <w:t>18</w:t>
            </w:r>
          </w:p>
        </w:tc>
      </w:tr>
      <w:tr w14:paraId="696B3ED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C9840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8AD7B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DA0CA1">
            <w:pPr>
              <w:jc w:val="center"/>
            </w:pPr>
            <w:r>
              <w:rPr>
                <w:rFonts w:ascii="宋体" w:hAnsi="宋体" w:eastAsia="宋体"/>
                <w:sz w:val="16"/>
              </w:rPr>
              <w:t>力争检查频次（次/年）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5FCBA5">
            <w:pPr>
              <w:jc w:val="center"/>
            </w:pPr>
            <w:r>
              <w:rPr>
                <w:rFonts w:ascii="宋体" w:hAnsi="宋体" w:eastAsia="宋体"/>
                <w:sz w:val="16"/>
              </w:rPr>
              <w:t>&gt;=3次/年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C51AB2">
            <w:pPr>
              <w:jc w:val="center"/>
            </w:pPr>
            <w:r>
              <w:rPr>
                <w:rFonts w:ascii="宋体" w:hAnsi="宋体" w:eastAsia="宋体"/>
                <w:sz w:val="16"/>
              </w:rPr>
              <w:t>卫生健康服务站2024年度工作计划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88025A">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273FE8">
            <w:pPr>
              <w:jc w:val="center"/>
            </w:pPr>
            <w:r>
              <w:rPr>
                <w:rFonts w:ascii="宋体" w:hAnsi="宋体" w:eastAsia="宋体"/>
                <w:sz w:val="16"/>
              </w:rPr>
              <w:t>3次/年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F7476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41B33E">
            <w:pPr>
              <w:jc w:val="center"/>
            </w:pPr>
            <w:r>
              <w:rPr>
                <w:rFonts w:ascii="宋体" w:hAnsi="宋体" w:eastAsia="宋体"/>
                <w:sz w:val="16"/>
              </w:rPr>
              <w:t>18</w:t>
            </w:r>
          </w:p>
        </w:tc>
      </w:tr>
      <w:tr w14:paraId="10A367B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4A759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B014D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A7824B">
            <w:pPr>
              <w:jc w:val="center"/>
            </w:pPr>
            <w:r>
              <w:rPr>
                <w:rFonts w:ascii="宋体" w:hAnsi="宋体" w:eastAsia="宋体"/>
                <w:sz w:val="16"/>
              </w:rPr>
              <w:t>双随机抽查任务检查率（%）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F8BF1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3765BC">
            <w:pPr>
              <w:jc w:val="center"/>
            </w:pPr>
            <w:r>
              <w:rPr>
                <w:rFonts w:ascii="宋体" w:hAnsi="宋体" w:eastAsia="宋体"/>
                <w:sz w:val="16"/>
              </w:rPr>
              <w:t>卫生健康服务站2024年度工作计划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A78F3F">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7BCB9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388E0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3D301A">
            <w:pPr>
              <w:jc w:val="center"/>
            </w:pPr>
            <w:r>
              <w:rPr>
                <w:rFonts w:ascii="宋体" w:hAnsi="宋体" w:eastAsia="宋体"/>
                <w:sz w:val="16"/>
              </w:rPr>
              <w:t>18</w:t>
            </w:r>
          </w:p>
        </w:tc>
      </w:tr>
    </w:tbl>
    <w:p w14:paraId="4426159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362DDC6B">
        <w:tblPrEx>
          <w:tblCellMar>
            <w:top w:w="0" w:type="dxa"/>
            <w:left w:w="108" w:type="dxa"/>
            <w:bottom w:w="0" w:type="dxa"/>
            <w:right w:w="108" w:type="dxa"/>
          </w:tblCellMar>
        </w:tblPrEx>
        <w:tc>
          <w:tcPr>
            <w:tcW w:w="8848" w:type="dxa"/>
            <w:gridSpan w:val="14"/>
            <w:vAlign w:val="center"/>
          </w:tcPr>
          <w:p w14:paraId="418FAADB">
            <w:pPr>
              <w:jc w:val="center"/>
            </w:pPr>
            <w:r>
              <w:rPr>
                <w:rFonts w:ascii="宋体" w:hAnsi="宋体" w:eastAsia="宋体"/>
                <w:sz w:val="24"/>
              </w:rPr>
              <w:t>项目支出绩效自评表</w:t>
            </w:r>
          </w:p>
        </w:tc>
      </w:tr>
      <w:tr w14:paraId="3B29FA32">
        <w:tblPrEx>
          <w:tblCellMar>
            <w:top w:w="0" w:type="dxa"/>
            <w:left w:w="108" w:type="dxa"/>
            <w:bottom w:w="0" w:type="dxa"/>
            <w:right w:w="108" w:type="dxa"/>
          </w:tblCellMar>
        </w:tblPrEx>
        <w:tc>
          <w:tcPr>
            <w:tcW w:w="8848" w:type="dxa"/>
            <w:gridSpan w:val="14"/>
            <w:vAlign w:val="center"/>
          </w:tcPr>
          <w:p w14:paraId="5DEF5308">
            <w:pPr>
              <w:jc w:val="center"/>
            </w:pPr>
            <w:r>
              <w:rPr>
                <w:rFonts w:ascii="宋体" w:hAnsi="宋体" w:eastAsia="宋体"/>
                <w:sz w:val="24"/>
              </w:rPr>
              <w:t>(2024年度)</w:t>
            </w:r>
          </w:p>
        </w:tc>
      </w:tr>
      <w:tr w14:paraId="5B30B6F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18F7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F8B0C58">
            <w:pPr>
              <w:jc w:val="center"/>
            </w:pPr>
            <w:r>
              <w:rPr>
                <w:rFonts w:ascii="宋体" w:hAnsi="宋体" w:eastAsia="宋体"/>
                <w:sz w:val="16"/>
              </w:rPr>
              <w:t>2024年“双随机、一公开”卫生监督工作项目</w:t>
            </w:r>
          </w:p>
        </w:tc>
      </w:tr>
      <w:tr w14:paraId="33A6B0E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E2A9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DE3A51">
            <w:pPr>
              <w:jc w:val="center"/>
            </w:pPr>
            <w:r>
              <w:rPr>
                <w:rFonts w:ascii="宋体" w:hAnsi="宋体" w:eastAsia="宋体"/>
                <w:sz w:val="16"/>
              </w:rPr>
              <w:t>新疆维吾尔自治区卫生厅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C4A8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A256AD">
            <w:pPr>
              <w:jc w:val="center"/>
            </w:pPr>
            <w:r>
              <w:rPr>
                <w:rFonts w:ascii="宋体" w:hAnsi="宋体" w:eastAsia="宋体"/>
                <w:sz w:val="16"/>
              </w:rPr>
              <w:t>疏附县卫生健康服务站</w:t>
            </w:r>
          </w:p>
        </w:tc>
      </w:tr>
      <w:tr w14:paraId="17192B0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4D4D4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510F5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ED5CA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5FA2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9CBF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9C94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C88D9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311E3">
            <w:pPr>
              <w:jc w:val="center"/>
            </w:pPr>
            <w:r>
              <w:rPr>
                <w:rFonts w:ascii="宋体" w:hAnsi="宋体" w:eastAsia="宋体"/>
                <w:sz w:val="16"/>
              </w:rPr>
              <w:t>得分</w:t>
            </w:r>
          </w:p>
        </w:tc>
      </w:tr>
      <w:tr w14:paraId="03573E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7D117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746F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0A8A5">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33097">
            <w:pPr>
              <w:jc w:val="center"/>
            </w:pPr>
            <w:r>
              <w:rPr>
                <w:rFonts w:ascii="宋体" w:hAnsi="宋体" w:eastAsia="宋体"/>
                <w:sz w:val="16"/>
              </w:rPr>
              <w:t>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CD7BB">
            <w:pPr>
              <w:jc w:val="center"/>
            </w:pPr>
            <w:r>
              <w:rPr>
                <w:rFonts w:ascii="宋体" w:hAnsi="宋体" w:eastAsia="宋体"/>
                <w:sz w:val="16"/>
              </w:rPr>
              <w:t>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A243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FB38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F345B">
            <w:pPr>
              <w:jc w:val="center"/>
            </w:pPr>
            <w:r>
              <w:rPr>
                <w:rFonts w:ascii="宋体" w:hAnsi="宋体" w:eastAsia="宋体"/>
                <w:sz w:val="16"/>
              </w:rPr>
              <w:t>10.00分</w:t>
            </w:r>
          </w:p>
        </w:tc>
      </w:tr>
      <w:tr w14:paraId="7634E2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622B9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871F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ED4BD3">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5AF1D9">
            <w:pPr>
              <w:jc w:val="center"/>
            </w:pPr>
            <w:r>
              <w:rPr>
                <w:rFonts w:ascii="宋体" w:hAnsi="宋体" w:eastAsia="宋体"/>
                <w:sz w:val="16"/>
              </w:rPr>
              <w:t>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4B780">
            <w:pPr>
              <w:jc w:val="center"/>
            </w:pPr>
            <w:r>
              <w:rPr>
                <w:rFonts w:ascii="宋体" w:hAnsi="宋体" w:eastAsia="宋体"/>
                <w:sz w:val="16"/>
              </w:rPr>
              <w:t>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865E5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DC7B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1BDD2">
            <w:pPr>
              <w:jc w:val="center"/>
            </w:pPr>
            <w:r>
              <w:rPr>
                <w:rFonts w:ascii="宋体" w:hAnsi="宋体" w:eastAsia="宋体"/>
                <w:sz w:val="16"/>
              </w:rPr>
              <w:t>—</w:t>
            </w:r>
          </w:p>
        </w:tc>
      </w:tr>
      <w:tr w14:paraId="03B2B7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6DE54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D0D7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906F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A7598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18E05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F43DB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C6D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2A497">
            <w:pPr>
              <w:jc w:val="center"/>
            </w:pPr>
            <w:r>
              <w:rPr>
                <w:rFonts w:ascii="宋体" w:hAnsi="宋体" w:eastAsia="宋体"/>
                <w:sz w:val="16"/>
              </w:rPr>
              <w:t>—</w:t>
            </w:r>
          </w:p>
        </w:tc>
      </w:tr>
      <w:tr w14:paraId="38203E6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721ED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CB8E1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8ABD00A">
            <w:pPr>
              <w:jc w:val="center"/>
            </w:pPr>
            <w:r>
              <w:rPr>
                <w:rFonts w:ascii="宋体" w:hAnsi="宋体" w:eastAsia="宋体"/>
                <w:sz w:val="16"/>
              </w:rPr>
              <w:t>实际完成情况</w:t>
            </w:r>
          </w:p>
        </w:tc>
      </w:tr>
      <w:tr w14:paraId="40B941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C3368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5FE7DA">
            <w:pPr>
              <w:jc w:val="both"/>
            </w:pPr>
            <w:r>
              <w:rPr>
                <w:rFonts w:ascii="宋体" w:hAnsi="宋体" w:eastAsia="宋体"/>
                <w:sz w:val="16"/>
              </w:rPr>
              <w:t>推进“双随机、一公开”是贯彻落实党中央、国务院关于深化行政体制改革，加快转变政府职能，推进简政放权、放管结合、优化服务决策部署的重要举措，各科室要充分认识此项工作的重要性和必要性，认真谋划，协调配合，确保工作顺利进行，全周期守护人民群众的健康权益，制定贯穿全年的一系列专项检查行动方案，依法打击违法违规行为，项目实施后，有效保障公共卫生安全和医疗安全，受益人员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62486DD">
            <w:pPr>
              <w:jc w:val="both"/>
            </w:pPr>
            <w:r>
              <w:rPr>
                <w:rFonts w:hint="eastAsia" w:ascii="宋体" w:hAnsi="宋体"/>
                <w:sz w:val="16"/>
                <w:lang w:eastAsia="zh-CN"/>
              </w:rPr>
              <w:t>截至</w:t>
            </w:r>
            <w:r>
              <w:rPr>
                <w:rFonts w:ascii="宋体" w:hAnsi="宋体" w:eastAsia="宋体"/>
                <w:sz w:val="16"/>
              </w:rPr>
              <w:t>2024年12月31日，本项目“双随机、一公开”检查开展次数12次，“双随机、一公开”卫生监督培训次数4次。项目卫生监督办公经费0.3万元，“双随机、一公开”卫生监督所保障车辆运行费0.2万元。通过本项目保障了公共卫生安全和医疗安全，满意度达到95%。</w:t>
            </w:r>
          </w:p>
        </w:tc>
      </w:tr>
      <w:tr w14:paraId="4C1CF5D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73F66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7760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14E5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61D1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BD69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5CA2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DA74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8DF2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94A6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628B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45E4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0DD2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505E0C">
            <w:pPr>
              <w:jc w:val="center"/>
            </w:pPr>
            <w:r>
              <w:rPr>
                <w:rFonts w:ascii="宋体" w:hAnsi="宋体" w:eastAsia="宋体"/>
                <w:sz w:val="16"/>
              </w:rPr>
              <w:t>偏差原因分析及改进措施</w:t>
            </w:r>
          </w:p>
        </w:tc>
      </w:tr>
      <w:tr w14:paraId="5706EAF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7EA37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9A9E5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AE796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6476E">
            <w:pPr>
              <w:jc w:val="center"/>
            </w:pPr>
            <w:r>
              <w:rPr>
                <w:rFonts w:ascii="宋体" w:hAnsi="宋体" w:eastAsia="宋体"/>
                <w:sz w:val="16"/>
              </w:rPr>
              <w:t>“双随机、一公开”检查开展次数（次）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6320B">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F4A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B328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46C8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B29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9CA76">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DF7DF">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D718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CDA14B">
            <w:pPr>
              <w:jc w:val="center"/>
            </w:pPr>
          </w:p>
        </w:tc>
      </w:tr>
      <w:tr w14:paraId="1D4C6E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0C1C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A1DD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59A9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D89EB">
            <w:pPr>
              <w:jc w:val="center"/>
            </w:pPr>
            <w:r>
              <w:rPr>
                <w:rFonts w:ascii="宋体" w:hAnsi="宋体" w:eastAsia="宋体"/>
                <w:sz w:val="16"/>
              </w:rPr>
              <w:t>“双随机、一公开”卫生监督培训次数（次）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C64BD">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853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A64F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E45C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2A2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A62C2">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A4E88">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7CEA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C9E648">
            <w:pPr>
              <w:jc w:val="center"/>
            </w:pPr>
          </w:p>
        </w:tc>
      </w:tr>
      <w:tr w14:paraId="6ABB60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37C9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3B3D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6DFC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D9034">
            <w:pPr>
              <w:jc w:val="center"/>
            </w:pPr>
            <w:r>
              <w:rPr>
                <w:rFonts w:ascii="宋体" w:hAnsi="宋体" w:eastAsia="宋体"/>
                <w:sz w:val="16"/>
              </w:rPr>
              <w:t>“双随机、一公开”卫生监督保障车辆（辆）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67F4E">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C1B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D04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9653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E91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2B146">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1EE53">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0953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CBBA7">
            <w:pPr>
              <w:jc w:val="center"/>
            </w:pPr>
          </w:p>
        </w:tc>
      </w:tr>
      <w:tr w14:paraId="413DF7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BE18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2412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4F77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EBBA6">
            <w:pPr>
              <w:jc w:val="center"/>
            </w:pPr>
            <w:r>
              <w:rPr>
                <w:rFonts w:ascii="宋体" w:hAnsi="宋体" w:eastAsia="宋体"/>
                <w:sz w:val="16"/>
              </w:rPr>
              <w:t>“双随机、一公开”卫生监督检查覆盖率（%）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70B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03A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AB5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0329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B7B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38726">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453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1861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864E6">
            <w:pPr>
              <w:jc w:val="center"/>
            </w:pPr>
          </w:p>
        </w:tc>
      </w:tr>
      <w:tr w14:paraId="5B2C76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6655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4AA29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91284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3152F">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32E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601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FCD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48E6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29E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A11C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265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DB7DA">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881ED">
            <w:pPr>
              <w:jc w:val="center"/>
            </w:pPr>
          </w:p>
        </w:tc>
      </w:tr>
      <w:tr w14:paraId="2262B3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98FE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C21E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6419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B0DEC">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4819C">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FEC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0185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F47A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A83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D58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2345E">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D8032">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E8510">
            <w:pPr>
              <w:jc w:val="center"/>
            </w:pPr>
          </w:p>
        </w:tc>
      </w:tr>
      <w:tr w14:paraId="2F7067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8A680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DBB73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4AFF1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7EB7A">
            <w:pPr>
              <w:jc w:val="center"/>
            </w:pPr>
            <w:r>
              <w:rPr>
                <w:rFonts w:ascii="宋体" w:hAnsi="宋体" w:eastAsia="宋体"/>
                <w:sz w:val="16"/>
              </w:rPr>
              <w:t>卫生监督办公经费（元）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62D48">
            <w:pPr>
              <w:jc w:val="center"/>
            </w:pPr>
            <w:r>
              <w:rPr>
                <w:rFonts w:ascii="宋体" w:hAnsi="宋体" w:eastAsia="宋体"/>
                <w:sz w:val="16"/>
              </w:rPr>
              <w:t>&lt;=3000元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0502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48F2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1F2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AB7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C201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D72D4">
            <w:pPr>
              <w:jc w:val="center"/>
            </w:pPr>
            <w:r>
              <w:rPr>
                <w:rFonts w:ascii="宋体" w:hAnsi="宋体" w:eastAsia="宋体"/>
                <w:sz w:val="16"/>
              </w:rPr>
              <w:t>=3000元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E366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70723B">
            <w:pPr>
              <w:jc w:val="center"/>
            </w:pPr>
          </w:p>
        </w:tc>
      </w:tr>
      <w:tr w14:paraId="77212B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0168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A4BE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0F1F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83209">
            <w:pPr>
              <w:jc w:val="center"/>
            </w:pPr>
            <w:r>
              <w:rPr>
                <w:rFonts w:ascii="宋体" w:hAnsi="宋体" w:eastAsia="宋体"/>
                <w:sz w:val="16"/>
              </w:rPr>
              <w:t>“双随机、一公开”卫生监督所保障车辆运行费（元）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1B239">
            <w:pPr>
              <w:jc w:val="center"/>
            </w:pPr>
            <w:r>
              <w:rPr>
                <w:rFonts w:ascii="宋体" w:hAnsi="宋体" w:eastAsia="宋体"/>
                <w:sz w:val="16"/>
              </w:rPr>
              <w:t>&lt;=2000元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0FDC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818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C3B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9DD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C67B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2C32D">
            <w:pPr>
              <w:jc w:val="center"/>
            </w:pPr>
            <w:r>
              <w:rPr>
                <w:rFonts w:ascii="宋体" w:hAnsi="宋体" w:eastAsia="宋体"/>
                <w:sz w:val="16"/>
              </w:rPr>
              <w:t>=2000元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43EA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D5C0D5">
            <w:pPr>
              <w:jc w:val="center"/>
            </w:pPr>
          </w:p>
        </w:tc>
      </w:tr>
      <w:tr w14:paraId="627388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424A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8DC0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61AA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62267">
            <w:pPr>
              <w:jc w:val="center"/>
            </w:pPr>
            <w:r>
              <w:rPr>
                <w:rFonts w:ascii="宋体" w:hAnsi="宋体" w:eastAsia="宋体"/>
                <w:sz w:val="16"/>
              </w:rPr>
              <w:t>保障公共卫生安全和医疗安全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AFC51">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5B6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5BC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B35B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0D6C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0D96A">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A660B">
            <w:pPr>
              <w:jc w:val="center"/>
            </w:pPr>
            <w:r>
              <w:rPr>
                <w:rFonts w:ascii="宋体" w:hAnsi="宋体" w:eastAsia="宋体"/>
                <w:sz w:val="16"/>
              </w:rPr>
              <w:t>与预期目标值保持一致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88F4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0527DE">
            <w:pPr>
              <w:jc w:val="center"/>
            </w:pPr>
          </w:p>
        </w:tc>
      </w:tr>
      <w:tr w14:paraId="31FC01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4CFB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7B53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18A8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E8315">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303C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647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639F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179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3F2A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40EA5">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86AD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E27E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63A4F2">
            <w:pPr>
              <w:jc w:val="center"/>
            </w:pPr>
          </w:p>
        </w:tc>
      </w:tr>
      <w:tr w14:paraId="5B8DBBA3">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1716D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A7B21">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C8AC2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18AD7">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F6DFAAD"/>
        </w:tc>
      </w:tr>
    </w:tbl>
    <w:p w14:paraId="431CC883">
      <w:r>
        <w:br w:type="page"/>
      </w:r>
    </w:p>
    <w:tbl>
      <w:tblPr>
        <w:tblStyle w:val="9"/>
        <w:tblW w:w="9180" w:type="dxa"/>
        <w:tblInd w:w="0" w:type="dxa"/>
        <w:tblLayout w:type="autofit"/>
        <w:tblCellMar>
          <w:top w:w="0" w:type="dxa"/>
          <w:left w:w="108" w:type="dxa"/>
          <w:bottom w:w="0" w:type="dxa"/>
          <w:right w:w="108" w:type="dxa"/>
        </w:tblCellMar>
      </w:tblPr>
      <w:tblGrid>
        <w:gridCol w:w="646"/>
        <w:gridCol w:w="646"/>
        <w:gridCol w:w="646"/>
        <w:gridCol w:w="711"/>
        <w:gridCol w:w="712"/>
        <w:gridCol w:w="646"/>
        <w:gridCol w:w="646"/>
        <w:gridCol w:w="648"/>
        <w:gridCol w:w="646"/>
        <w:gridCol w:w="646"/>
        <w:gridCol w:w="646"/>
        <w:gridCol w:w="646"/>
        <w:gridCol w:w="646"/>
        <w:gridCol w:w="649"/>
      </w:tblGrid>
      <w:tr w14:paraId="456EA492">
        <w:tblPrEx>
          <w:tblCellMar>
            <w:top w:w="0" w:type="dxa"/>
            <w:left w:w="108" w:type="dxa"/>
            <w:bottom w:w="0" w:type="dxa"/>
            <w:right w:w="108" w:type="dxa"/>
          </w:tblCellMar>
        </w:tblPrEx>
        <w:trPr>
          <w:trHeight w:val="141" w:hRule="atLeast"/>
        </w:trPr>
        <w:tc>
          <w:tcPr>
            <w:tcW w:w="9180" w:type="dxa"/>
            <w:gridSpan w:val="14"/>
            <w:vAlign w:val="center"/>
          </w:tcPr>
          <w:p w14:paraId="0506512B">
            <w:pPr>
              <w:jc w:val="center"/>
            </w:pPr>
            <w:r>
              <w:rPr>
                <w:rFonts w:ascii="宋体" w:hAnsi="宋体" w:eastAsia="宋体"/>
                <w:sz w:val="24"/>
              </w:rPr>
              <w:t>项目支出绩效自评表</w:t>
            </w:r>
          </w:p>
        </w:tc>
      </w:tr>
      <w:tr w14:paraId="1291624E">
        <w:tblPrEx>
          <w:tblCellMar>
            <w:top w:w="0" w:type="dxa"/>
            <w:left w:w="108" w:type="dxa"/>
            <w:bottom w:w="0" w:type="dxa"/>
            <w:right w:w="108" w:type="dxa"/>
          </w:tblCellMar>
        </w:tblPrEx>
        <w:trPr>
          <w:trHeight w:val="141" w:hRule="atLeast"/>
        </w:trPr>
        <w:tc>
          <w:tcPr>
            <w:tcW w:w="9180" w:type="dxa"/>
            <w:gridSpan w:val="14"/>
            <w:vAlign w:val="center"/>
          </w:tcPr>
          <w:p w14:paraId="04401949">
            <w:pPr>
              <w:jc w:val="center"/>
            </w:pPr>
            <w:r>
              <w:rPr>
                <w:rFonts w:ascii="宋体" w:hAnsi="宋体" w:eastAsia="宋体"/>
                <w:sz w:val="24"/>
              </w:rPr>
              <w:t>(2024年度)</w:t>
            </w:r>
          </w:p>
        </w:tc>
      </w:tr>
      <w:tr w14:paraId="0F1CC3DF">
        <w:tblPrEx>
          <w:tblCellMar>
            <w:top w:w="0" w:type="dxa"/>
            <w:left w:w="108" w:type="dxa"/>
            <w:bottom w:w="0" w:type="dxa"/>
            <w:right w:w="108" w:type="dxa"/>
          </w:tblCellMar>
        </w:tblPrEx>
        <w:trPr>
          <w:trHeight w:val="292" w:hRule="atLeast"/>
        </w:trPr>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7C24E9C1">
            <w:pPr>
              <w:jc w:val="center"/>
            </w:pPr>
            <w:r>
              <w:rPr>
                <w:rFonts w:ascii="宋体" w:hAnsi="宋体" w:eastAsia="宋体"/>
                <w:sz w:val="16"/>
              </w:rPr>
              <w:t>项目名称</w:t>
            </w:r>
          </w:p>
        </w:tc>
        <w:tc>
          <w:tcPr>
            <w:tcW w:w="853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5361971">
            <w:pPr>
              <w:jc w:val="center"/>
            </w:pPr>
            <w:r>
              <w:rPr>
                <w:rFonts w:ascii="宋体" w:hAnsi="宋体" w:eastAsia="宋体"/>
                <w:sz w:val="16"/>
              </w:rPr>
              <w:t>2024年中央基本公共卫生服务补助资金食品安全标准跟踪评价项目</w:t>
            </w:r>
          </w:p>
        </w:tc>
      </w:tr>
      <w:tr w14:paraId="0F55F970">
        <w:tblPrEx>
          <w:tblCellMar>
            <w:top w:w="0" w:type="dxa"/>
            <w:left w:w="108" w:type="dxa"/>
            <w:bottom w:w="0" w:type="dxa"/>
            <w:right w:w="108" w:type="dxa"/>
          </w:tblCellMar>
        </w:tblPrEx>
        <w:trPr>
          <w:trHeight w:val="292" w:hRule="atLeast"/>
        </w:trPr>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460A3F10">
            <w:pPr>
              <w:jc w:val="center"/>
            </w:pPr>
            <w:r>
              <w:rPr>
                <w:rFonts w:ascii="宋体" w:hAnsi="宋体" w:eastAsia="宋体"/>
                <w:sz w:val="16"/>
              </w:rPr>
              <w:t>主管部门</w:t>
            </w:r>
          </w:p>
        </w:tc>
        <w:tc>
          <w:tcPr>
            <w:tcW w:w="465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86FDCF">
            <w:pPr>
              <w:jc w:val="center"/>
            </w:pPr>
            <w:r>
              <w:rPr>
                <w:rFonts w:ascii="宋体" w:hAnsi="宋体" w:eastAsia="宋体"/>
                <w:sz w:val="16"/>
              </w:rPr>
              <w:t>新疆维吾尔自治区卫生厅</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27668829">
            <w:pPr>
              <w:jc w:val="center"/>
            </w:pPr>
            <w:r>
              <w:rPr>
                <w:rFonts w:ascii="宋体" w:hAnsi="宋体" w:eastAsia="宋体"/>
                <w:sz w:val="16"/>
              </w:rPr>
              <w:t>实施单位</w:t>
            </w:r>
          </w:p>
        </w:tc>
        <w:tc>
          <w:tcPr>
            <w:tcW w:w="3233"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C70AEF4">
            <w:pPr>
              <w:jc w:val="center"/>
            </w:pPr>
            <w:r>
              <w:rPr>
                <w:rFonts w:ascii="宋体" w:hAnsi="宋体" w:eastAsia="宋体"/>
                <w:sz w:val="16"/>
              </w:rPr>
              <w:t>疏附县卫生健康服务站</w:t>
            </w:r>
          </w:p>
        </w:tc>
      </w:tr>
      <w:tr w14:paraId="3CC82642">
        <w:tblPrEx>
          <w:tblCellMar>
            <w:top w:w="0" w:type="dxa"/>
            <w:left w:w="108" w:type="dxa"/>
            <w:bottom w:w="0" w:type="dxa"/>
            <w:right w:w="108" w:type="dxa"/>
          </w:tblCellMar>
        </w:tblPrEx>
        <w:trPr>
          <w:trHeight w:val="292" w:hRule="atLeast"/>
        </w:trPr>
        <w:tc>
          <w:tcPr>
            <w:tcW w:w="64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C741E9">
            <w:pPr>
              <w:jc w:val="center"/>
            </w:pPr>
            <w:r>
              <w:rPr>
                <w:rFonts w:ascii="宋体" w:hAnsi="宋体" w:eastAsia="宋体"/>
                <w:sz w:val="16"/>
              </w:rPr>
              <w:t>项目资金 （万元）</w:t>
            </w:r>
          </w:p>
        </w:tc>
        <w:tc>
          <w:tcPr>
            <w:tcW w:w="12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20B26">
            <w:pPr>
              <w:jc w:val="center"/>
            </w:pPr>
          </w:p>
        </w:tc>
        <w:tc>
          <w:tcPr>
            <w:tcW w:w="142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265D95">
            <w:pPr>
              <w:jc w:val="center"/>
            </w:pPr>
            <w:r>
              <w:rPr>
                <w:rFonts w:ascii="宋体" w:hAnsi="宋体" w:eastAsia="宋体"/>
                <w:sz w:val="16"/>
              </w:rPr>
              <w:t>年初预算数</w:t>
            </w:r>
          </w:p>
        </w:tc>
        <w:tc>
          <w:tcPr>
            <w:tcW w:w="12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2775F3">
            <w:pPr>
              <w:jc w:val="center"/>
            </w:pPr>
            <w:r>
              <w:rPr>
                <w:rFonts w:ascii="宋体" w:hAnsi="宋体" w:eastAsia="宋体"/>
                <w:sz w:val="16"/>
              </w:rPr>
              <w:t>全年预算数</w:t>
            </w:r>
          </w:p>
        </w:tc>
        <w:tc>
          <w:tcPr>
            <w:tcW w:w="129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8E3683">
            <w:pPr>
              <w:jc w:val="center"/>
            </w:pPr>
            <w:r>
              <w:rPr>
                <w:rFonts w:ascii="宋体" w:hAnsi="宋体" w:eastAsia="宋体"/>
                <w:sz w:val="16"/>
              </w:rPr>
              <w:t>全年执行数</w:t>
            </w:r>
          </w:p>
        </w:tc>
        <w:tc>
          <w:tcPr>
            <w:tcW w:w="12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006C24">
            <w:pPr>
              <w:jc w:val="center"/>
            </w:pPr>
            <w:r>
              <w:rPr>
                <w:rFonts w:ascii="宋体" w:hAnsi="宋体" w:eastAsia="宋体"/>
                <w:sz w:val="16"/>
              </w:rPr>
              <w:t>分值</w:t>
            </w:r>
          </w:p>
        </w:tc>
        <w:tc>
          <w:tcPr>
            <w:tcW w:w="12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F2F4C0">
            <w:pPr>
              <w:jc w:val="center"/>
            </w:pPr>
            <w:r>
              <w:rPr>
                <w:rFonts w:ascii="宋体" w:hAnsi="宋体" w:eastAsia="宋体"/>
                <w:sz w:val="16"/>
              </w:rPr>
              <w:t>执行率</w:t>
            </w:r>
          </w:p>
        </w:tc>
        <w:tc>
          <w:tcPr>
            <w:tcW w:w="649" w:type="dxa"/>
            <w:tcBorders>
              <w:top w:val="single" w:color="auto" w:sz="10" w:space="0"/>
              <w:left w:val="single" w:color="auto" w:sz="10" w:space="0"/>
              <w:bottom w:val="single" w:color="auto" w:sz="10" w:space="0"/>
              <w:right w:val="single" w:color="auto" w:sz="10" w:space="0"/>
              <w:insideV w:val="single" w:sz="10" w:space="0"/>
            </w:tcBorders>
            <w:vAlign w:val="center"/>
          </w:tcPr>
          <w:p w14:paraId="00A3B0AF">
            <w:pPr>
              <w:jc w:val="center"/>
            </w:pPr>
            <w:r>
              <w:rPr>
                <w:rFonts w:ascii="宋体" w:hAnsi="宋体" w:eastAsia="宋体"/>
                <w:sz w:val="16"/>
              </w:rPr>
              <w:t>得分</w:t>
            </w:r>
          </w:p>
        </w:tc>
      </w:tr>
      <w:tr w14:paraId="37493683">
        <w:tblPrEx>
          <w:tblCellMar>
            <w:top w:w="0" w:type="dxa"/>
            <w:left w:w="108" w:type="dxa"/>
            <w:bottom w:w="0" w:type="dxa"/>
            <w:right w:w="108" w:type="dxa"/>
          </w:tblCellMar>
        </w:tblPrEx>
        <w:trPr>
          <w:trHeight w:val="292" w:hRule="atLeast"/>
        </w:trPr>
        <w:tc>
          <w:tcPr>
            <w:tcW w:w="646" w:type="dxa"/>
            <w:vMerge w:val="continue"/>
            <w:tcBorders>
              <w:top w:val="single" w:color="auto" w:sz="10" w:space="0"/>
              <w:left w:val="single" w:color="auto" w:sz="10" w:space="0"/>
              <w:bottom w:val="single" w:color="auto" w:sz="10" w:space="0"/>
              <w:right w:val="single" w:color="auto" w:sz="10" w:space="0"/>
              <w:insideV w:val="single" w:sz="10" w:space="0"/>
            </w:tcBorders>
          </w:tcPr>
          <w:p w14:paraId="0FE7D03D"/>
        </w:tc>
        <w:tc>
          <w:tcPr>
            <w:tcW w:w="12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AD5DAB">
            <w:pPr>
              <w:jc w:val="center"/>
            </w:pPr>
            <w:r>
              <w:rPr>
                <w:rFonts w:ascii="宋体" w:hAnsi="宋体" w:eastAsia="宋体"/>
                <w:sz w:val="16"/>
              </w:rPr>
              <w:t>年度资金总额</w:t>
            </w:r>
          </w:p>
        </w:tc>
        <w:tc>
          <w:tcPr>
            <w:tcW w:w="142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E2C591">
            <w:pPr>
              <w:jc w:val="center"/>
            </w:pPr>
            <w:r>
              <w:rPr>
                <w:rFonts w:ascii="宋体" w:hAnsi="宋体" w:eastAsia="宋体"/>
                <w:sz w:val="16"/>
              </w:rPr>
              <w:t>0.60</w:t>
            </w:r>
          </w:p>
        </w:tc>
        <w:tc>
          <w:tcPr>
            <w:tcW w:w="12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BE9F66">
            <w:pPr>
              <w:jc w:val="center"/>
            </w:pPr>
            <w:r>
              <w:rPr>
                <w:rFonts w:ascii="宋体" w:hAnsi="宋体" w:eastAsia="宋体"/>
                <w:sz w:val="16"/>
              </w:rPr>
              <w:t>0.60</w:t>
            </w:r>
          </w:p>
        </w:tc>
        <w:tc>
          <w:tcPr>
            <w:tcW w:w="129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229BC3">
            <w:pPr>
              <w:jc w:val="center"/>
            </w:pPr>
            <w:r>
              <w:rPr>
                <w:rFonts w:ascii="宋体" w:hAnsi="宋体" w:eastAsia="宋体"/>
                <w:sz w:val="16"/>
              </w:rPr>
              <w:t>0.60</w:t>
            </w:r>
          </w:p>
        </w:tc>
        <w:tc>
          <w:tcPr>
            <w:tcW w:w="12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06B11">
            <w:pPr>
              <w:jc w:val="center"/>
            </w:pPr>
            <w:r>
              <w:rPr>
                <w:rFonts w:ascii="宋体" w:hAnsi="宋体" w:eastAsia="宋体"/>
                <w:sz w:val="16"/>
              </w:rPr>
              <w:t>10</w:t>
            </w:r>
          </w:p>
        </w:tc>
        <w:tc>
          <w:tcPr>
            <w:tcW w:w="12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DC5804">
            <w:pPr>
              <w:jc w:val="center"/>
            </w:pPr>
            <w:r>
              <w:rPr>
                <w:rFonts w:ascii="宋体" w:hAnsi="宋体" w:eastAsia="宋体"/>
                <w:sz w:val="16"/>
              </w:rPr>
              <w:t>100.0%</w:t>
            </w:r>
          </w:p>
        </w:tc>
        <w:tc>
          <w:tcPr>
            <w:tcW w:w="649" w:type="dxa"/>
            <w:tcBorders>
              <w:top w:val="single" w:color="auto" w:sz="10" w:space="0"/>
              <w:left w:val="single" w:color="auto" w:sz="10" w:space="0"/>
              <w:bottom w:val="single" w:color="auto" w:sz="10" w:space="0"/>
              <w:right w:val="single" w:color="auto" w:sz="10" w:space="0"/>
              <w:insideV w:val="single" w:sz="10" w:space="0"/>
            </w:tcBorders>
            <w:vAlign w:val="center"/>
          </w:tcPr>
          <w:p w14:paraId="705A7835">
            <w:pPr>
              <w:jc w:val="center"/>
            </w:pPr>
            <w:r>
              <w:rPr>
                <w:rFonts w:ascii="宋体" w:hAnsi="宋体" w:eastAsia="宋体"/>
                <w:sz w:val="16"/>
              </w:rPr>
              <w:t>10.00分</w:t>
            </w:r>
          </w:p>
        </w:tc>
      </w:tr>
      <w:tr w14:paraId="7FB6953E">
        <w:tblPrEx>
          <w:tblCellMar>
            <w:top w:w="0" w:type="dxa"/>
            <w:left w:w="108" w:type="dxa"/>
            <w:bottom w:w="0" w:type="dxa"/>
            <w:right w:w="108" w:type="dxa"/>
          </w:tblCellMar>
        </w:tblPrEx>
        <w:trPr>
          <w:trHeight w:val="292" w:hRule="atLeast"/>
        </w:trPr>
        <w:tc>
          <w:tcPr>
            <w:tcW w:w="646" w:type="dxa"/>
            <w:vMerge w:val="continue"/>
            <w:tcBorders>
              <w:top w:val="single" w:color="auto" w:sz="10" w:space="0"/>
              <w:left w:val="single" w:color="auto" w:sz="10" w:space="0"/>
              <w:bottom w:val="single" w:color="auto" w:sz="10" w:space="0"/>
              <w:right w:val="single" w:color="auto" w:sz="10" w:space="0"/>
              <w:insideV w:val="single" w:sz="10" w:space="0"/>
            </w:tcBorders>
          </w:tcPr>
          <w:p w14:paraId="71ECEF2A"/>
        </w:tc>
        <w:tc>
          <w:tcPr>
            <w:tcW w:w="12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0D8086">
            <w:pPr>
              <w:jc w:val="center"/>
            </w:pPr>
            <w:r>
              <w:rPr>
                <w:rFonts w:ascii="宋体" w:hAnsi="宋体" w:eastAsia="宋体"/>
                <w:sz w:val="16"/>
              </w:rPr>
              <w:t>其中：当年财政拨款</w:t>
            </w:r>
          </w:p>
        </w:tc>
        <w:tc>
          <w:tcPr>
            <w:tcW w:w="142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EA396">
            <w:pPr>
              <w:jc w:val="center"/>
            </w:pPr>
            <w:r>
              <w:rPr>
                <w:rFonts w:ascii="宋体" w:hAnsi="宋体" w:eastAsia="宋体"/>
                <w:sz w:val="16"/>
              </w:rPr>
              <w:t>0.60</w:t>
            </w:r>
          </w:p>
        </w:tc>
        <w:tc>
          <w:tcPr>
            <w:tcW w:w="12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1701DE">
            <w:pPr>
              <w:jc w:val="center"/>
            </w:pPr>
            <w:r>
              <w:rPr>
                <w:rFonts w:ascii="宋体" w:hAnsi="宋体" w:eastAsia="宋体"/>
                <w:sz w:val="16"/>
              </w:rPr>
              <w:t>0.60</w:t>
            </w:r>
          </w:p>
        </w:tc>
        <w:tc>
          <w:tcPr>
            <w:tcW w:w="129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1BD1E">
            <w:pPr>
              <w:jc w:val="center"/>
            </w:pPr>
            <w:r>
              <w:rPr>
                <w:rFonts w:ascii="宋体" w:hAnsi="宋体" w:eastAsia="宋体"/>
                <w:sz w:val="16"/>
              </w:rPr>
              <w:t>0.60</w:t>
            </w:r>
          </w:p>
        </w:tc>
        <w:tc>
          <w:tcPr>
            <w:tcW w:w="12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01B116">
            <w:pPr>
              <w:jc w:val="center"/>
            </w:pPr>
            <w:r>
              <w:rPr>
                <w:rFonts w:ascii="宋体" w:hAnsi="宋体" w:eastAsia="宋体"/>
                <w:sz w:val="16"/>
              </w:rPr>
              <w:t>—</w:t>
            </w:r>
          </w:p>
        </w:tc>
        <w:tc>
          <w:tcPr>
            <w:tcW w:w="12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342F47">
            <w:pPr>
              <w:jc w:val="center"/>
            </w:pPr>
            <w:r>
              <w:rPr>
                <w:rFonts w:ascii="宋体" w:hAnsi="宋体" w:eastAsia="宋体"/>
                <w:sz w:val="16"/>
              </w:rPr>
              <w:t>—</w:t>
            </w:r>
          </w:p>
        </w:tc>
        <w:tc>
          <w:tcPr>
            <w:tcW w:w="649" w:type="dxa"/>
            <w:tcBorders>
              <w:top w:val="single" w:color="auto" w:sz="10" w:space="0"/>
              <w:left w:val="single" w:color="auto" w:sz="10" w:space="0"/>
              <w:bottom w:val="single" w:color="auto" w:sz="10" w:space="0"/>
              <w:right w:val="single" w:color="auto" w:sz="10" w:space="0"/>
              <w:insideV w:val="single" w:sz="10" w:space="0"/>
            </w:tcBorders>
            <w:vAlign w:val="center"/>
          </w:tcPr>
          <w:p w14:paraId="7CF9FD56">
            <w:pPr>
              <w:jc w:val="center"/>
            </w:pPr>
            <w:r>
              <w:rPr>
                <w:rFonts w:ascii="宋体" w:hAnsi="宋体" w:eastAsia="宋体"/>
                <w:sz w:val="16"/>
              </w:rPr>
              <w:t>—</w:t>
            </w:r>
          </w:p>
        </w:tc>
      </w:tr>
      <w:tr w14:paraId="5EC244F7">
        <w:tblPrEx>
          <w:tblCellMar>
            <w:top w:w="0" w:type="dxa"/>
            <w:left w:w="108" w:type="dxa"/>
            <w:bottom w:w="0" w:type="dxa"/>
            <w:right w:w="108" w:type="dxa"/>
          </w:tblCellMar>
        </w:tblPrEx>
        <w:trPr>
          <w:trHeight w:val="152" w:hRule="atLeast"/>
        </w:trPr>
        <w:tc>
          <w:tcPr>
            <w:tcW w:w="646" w:type="dxa"/>
            <w:vMerge w:val="continue"/>
            <w:tcBorders>
              <w:top w:val="single" w:color="auto" w:sz="10" w:space="0"/>
              <w:left w:val="single" w:color="auto" w:sz="10" w:space="0"/>
              <w:bottom w:val="single" w:color="auto" w:sz="10" w:space="0"/>
              <w:right w:val="single" w:color="auto" w:sz="10" w:space="0"/>
              <w:insideV w:val="single" w:sz="10" w:space="0"/>
            </w:tcBorders>
          </w:tcPr>
          <w:p w14:paraId="58FD6A5F"/>
        </w:tc>
        <w:tc>
          <w:tcPr>
            <w:tcW w:w="12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4CAA01">
            <w:pPr>
              <w:jc w:val="center"/>
            </w:pPr>
            <w:r>
              <w:rPr>
                <w:rFonts w:ascii="宋体" w:hAnsi="宋体" w:eastAsia="宋体"/>
                <w:sz w:val="16"/>
              </w:rPr>
              <w:t xml:space="preserve">  其他资金</w:t>
            </w:r>
          </w:p>
        </w:tc>
        <w:tc>
          <w:tcPr>
            <w:tcW w:w="142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16BA7A">
            <w:pPr>
              <w:jc w:val="center"/>
            </w:pPr>
            <w:r>
              <w:rPr>
                <w:rFonts w:ascii="宋体" w:hAnsi="宋体" w:eastAsia="宋体"/>
                <w:sz w:val="16"/>
              </w:rPr>
              <w:t>0.00</w:t>
            </w:r>
          </w:p>
        </w:tc>
        <w:tc>
          <w:tcPr>
            <w:tcW w:w="12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562FB2">
            <w:pPr>
              <w:jc w:val="center"/>
            </w:pPr>
            <w:r>
              <w:rPr>
                <w:rFonts w:ascii="宋体" w:hAnsi="宋体" w:eastAsia="宋体"/>
                <w:sz w:val="16"/>
              </w:rPr>
              <w:t>0.00</w:t>
            </w:r>
          </w:p>
        </w:tc>
        <w:tc>
          <w:tcPr>
            <w:tcW w:w="129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DFAC60">
            <w:pPr>
              <w:jc w:val="center"/>
            </w:pPr>
            <w:r>
              <w:rPr>
                <w:rFonts w:ascii="宋体" w:hAnsi="宋体" w:eastAsia="宋体"/>
                <w:sz w:val="16"/>
              </w:rPr>
              <w:t>0.00</w:t>
            </w:r>
          </w:p>
        </w:tc>
        <w:tc>
          <w:tcPr>
            <w:tcW w:w="12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F4B566">
            <w:pPr>
              <w:jc w:val="center"/>
            </w:pPr>
            <w:r>
              <w:rPr>
                <w:rFonts w:ascii="宋体" w:hAnsi="宋体" w:eastAsia="宋体"/>
                <w:sz w:val="16"/>
              </w:rPr>
              <w:t>—</w:t>
            </w:r>
          </w:p>
        </w:tc>
        <w:tc>
          <w:tcPr>
            <w:tcW w:w="12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7769D">
            <w:pPr>
              <w:jc w:val="center"/>
            </w:pPr>
            <w:r>
              <w:rPr>
                <w:rFonts w:ascii="宋体" w:hAnsi="宋体" w:eastAsia="宋体"/>
                <w:sz w:val="16"/>
              </w:rPr>
              <w:t>—</w:t>
            </w:r>
          </w:p>
        </w:tc>
        <w:tc>
          <w:tcPr>
            <w:tcW w:w="649" w:type="dxa"/>
            <w:tcBorders>
              <w:top w:val="single" w:color="auto" w:sz="10" w:space="0"/>
              <w:left w:val="single" w:color="auto" w:sz="10" w:space="0"/>
              <w:bottom w:val="single" w:color="auto" w:sz="10" w:space="0"/>
              <w:right w:val="single" w:color="auto" w:sz="10" w:space="0"/>
              <w:insideV w:val="single" w:sz="10" w:space="0"/>
            </w:tcBorders>
            <w:vAlign w:val="center"/>
          </w:tcPr>
          <w:p w14:paraId="15581D93">
            <w:pPr>
              <w:jc w:val="center"/>
            </w:pPr>
            <w:r>
              <w:rPr>
                <w:rFonts w:ascii="宋体" w:hAnsi="宋体" w:eastAsia="宋体"/>
                <w:sz w:val="16"/>
              </w:rPr>
              <w:t>—</w:t>
            </w:r>
          </w:p>
        </w:tc>
      </w:tr>
      <w:tr w14:paraId="05CE489A">
        <w:tblPrEx>
          <w:tblCellMar>
            <w:top w:w="0" w:type="dxa"/>
            <w:left w:w="108" w:type="dxa"/>
            <w:bottom w:w="0" w:type="dxa"/>
            <w:right w:w="108" w:type="dxa"/>
          </w:tblCellMar>
        </w:tblPrEx>
        <w:trPr>
          <w:trHeight w:val="152" w:hRule="atLeast"/>
        </w:trPr>
        <w:tc>
          <w:tcPr>
            <w:tcW w:w="64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1EB014">
            <w:pPr>
              <w:jc w:val="center"/>
            </w:pPr>
            <w:r>
              <w:rPr>
                <w:rFonts w:ascii="宋体" w:hAnsi="宋体" w:eastAsia="宋体"/>
                <w:sz w:val="16"/>
              </w:rPr>
              <w:t>三、目标完成情况</w:t>
            </w:r>
          </w:p>
        </w:tc>
        <w:tc>
          <w:tcPr>
            <w:tcW w:w="465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FDBC60">
            <w:pPr>
              <w:jc w:val="center"/>
            </w:pPr>
            <w:r>
              <w:rPr>
                <w:rFonts w:ascii="宋体" w:hAnsi="宋体" w:eastAsia="宋体"/>
                <w:sz w:val="16"/>
              </w:rPr>
              <w:t>预期目标</w:t>
            </w:r>
          </w:p>
        </w:tc>
        <w:tc>
          <w:tcPr>
            <w:tcW w:w="3879"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2D6884A">
            <w:pPr>
              <w:jc w:val="center"/>
            </w:pPr>
            <w:r>
              <w:rPr>
                <w:rFonts w:ascii="宋体" w:hAnsi="宋体" w:eastAsia="宋体"/>
                <w:sz w:val="16"/>
              </w:rPr>
              <w:t>实际完成情况</w:t>
            </w:r>
          </w:p>
        </w:tc>
      </w:tr>
      <w:tr w14:paraId="6EF406DF">
        <w:tblPrEx>
          <w:tblCellMar>
            <w:top w:w="0" w:type="dxa"/>
            <w:left w:w="108" w:type="dxa"/>
            <w:bottom w:w="0" w:type="dxa"/>
            <w:right w:w="108" w:type="dxa"/>
          </w:tblCellMar>
        </w:tblPrEx>
        <w:trPr>
          <w:trHeight w:val="1274" w:hRule="atLeast"/>
        </w:trPr>
        <w:tc>
          <w:tcPr>
            <w:tcW w:w="646" w:type="dxa"/>
            <w:vMerge w:val="continue"/>
            <w:tcBorders>
              <w:top w:val="single" w:color="auto" w:sz="10" w:space="0"/>
              <w:left w:val="single" w:color="auto" w:sz="10" w:space="0"/>
              <w:bottom w:val="single" w:color="auto" w:sz="10" w:space="0"/>
              <w:right w:val="single" w:color="auto" w:sz="10" w:space="0"/>
              <w:insideV w:val="single" w:sz="10" w:space="0"/>
            </w:tcBorders>
          </w:tcPr>
          <w:p w14:paraId="6BA8B558"/>
        </w:tc>
        <w:tc>
          <w:tcPr>
            <w:tcW w:w="465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F007B5">
            <w:pPr>
              <w:jc w:val="both"/>
            </w:pPr>
            <w:r>
              <w:rPr>
                <w:rFonts w:ascii="宋体" w:hAnsi="宋体" w:eastAsia="宋体"/>
                <w:sz w:val="16"/>
              </w:rPr>
              <w:t>根据食品安全跟踪评价任务，派出执法人员在全县卫生监督范围内进行食品安全跟踪调查评价，计划食品安全标准跟踪评价企业数5家，食品安全标准问卷评价数3家，食品安全标准宣传次数2次，食品安全标准培训次数1次。通过项目实施实现</w:t>
            </w:r>
            <w:r>
              <w:rPr>
                <w:rFonts w:hint="eastAsia" w:ascii="宋体" w:hAnsi="宋体"/>
                <w:sz w:val="16"/>
                <w:lang w:eastAsia="zh-CN"/>
              </w:rPr>
              <w:t>对</w:t>
            </w:r>
            <w:r>
              <w:rPr>
                <w:rFonts w:ascii="宋体" w:hAnsi="宋体" w:eastAsia="宋体"/>
                <w:sz w:val="16"/>
              </w:rPr>
              <w:t>本地食品安全的跟踪监督，保障群众食品安全，食品安全标准</w:t>
            </w:r>
            <w:r>
              <w:rPr>
                <w:rFonts w:hint="eastAsia" w:ascii="宋体" w:hAnsi="宋体"/>
                <w:sz w:val="16"/>
                <w:lang w:eastAsia="zh-CN"/>
              </w:rPr>
              <w:t>跟踪</w:t>
            </w:r>
            <w:r>
              <w:rPr>
                <w:rFonts w:ascii="宋体" w:hAnsi="宋体" w:eastAsia="宋体"/>
                <w:sz w:val="16"/>
              </w:rPr>
              <w:t>企业满意度预计能达到95%。</w:t>
            </w:r>
          </w:p>
        </w:tc>
        <w:tc>
          <w:tcPr>
            <w:tcW w:w="3879"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814C82">
            <w:pPr>
              <w:jc w:val="both"/>
            </w:pPr>
            <w:r>
              <w:rPr>
                <w:rFonts w:hint="eastAsia" w:ascii="宋体" w:hAnsi="宋体"/>
                <w:sz w:val="16"/>
                <w:lang w:eastAsia="zh-CN"/>
              </w:rPr>
              <w:t>截至2024</w:t>
            </w:r>
            <w:r>
              <w:rPr>
                <w:rFonts w:ascii="宋体" w:hAnsi="宋体" w:eastAsia="宋体"/>
                <w:sz w:val="16"/>
              </w:rPr>
              <w:t>年12月31日，根据食品安全跟踪评价任务，派出执法人员在全县卫生监督范围内进行食品安全跟踪调查评价，计划食品安全标准跟踪评价企业数5家，食品安全标准问卷评价数3家完成值100%，食品安全标准宣传次数2次完成值100%，食品安全标准培训次数1次完成值100%。通过项目实施实现</w:t>
            </w:r>
            <w:r>
              <w:rPr>
                <w:rFonts w:hint="eastAsia" w:ascii="宋体" w:hAnsi="宋体"/>
                <w:sz w:val="16"/>
                <w:lang w:eastAsia="zh-CN"/>
              </w:rPr>
              <w:t>对</w:t>
            </w:r>
            <w:r>
              <w:rPr>
                <w:rFonts w:ascii="宋体" w:hAnsi="宋体" w:eastAsia="宋体"/>
                <w:sz w:val="16"/>
              </w:rPr>
              <w:t>本地食品安全的跟踪监督，保障群众食品安全，食品安全标准</w:t>
            </w:r>
            <w:r>
              <w:rPr>
                <w:rFonts w:hint="eastAsia" w:ascii="宋体" w:hAnsi="宋体"/>
                <w:sz w:val="16"/>
                <w:lang w:eastAsia="zh-CN"/>
              </w:rPr>
              <w:t>跟踪</w:t>
            </w:r>
            <w:r>
              <w:rPr>
                <w:rFonts w:ascii="宋体" w:hAnsi="宋体" w:eastAsia="宋体"/>
                <w:sz w:val="16"/>
              </w:rPr>
              <w:t>企业满意度预计能达到95%完成值100%</w:t>
            </w:r>
          </w:p>
        </w:tc>
      </w:tr>
      <w:tr w14:paraId="529A2D91">
        <w:tblPrEx>
          <w:tblCellMar>
            <w:top w:w="0" w:type="dxa"/>
            <w:left w:w="108" w:type="dxa"/>
            <w:bottom w:w="0" w:type="dxa"/>
            <w:right w:w="108" w:type="dxa"/>
          </w:tblCellMar>
        </w:tblPrEx>
        <w:trPr>
          <w:trHeight w:val="573" w:hRule="atLeast"/>
        </w:trPr>
        <w:tc>
          <w:tcPr>
            <w:tcW w:w="646" w:type="dxa"/>
            <w:tcBorders>
              <w:top w:val="single" w:color="auto" w:sz="10" w:space="0"/>
              <w:left w:val="single" w:color="auto" w:sz="10" w:space="0"/>
              <w:bottom w:val="single" w:color="auto" w:sz="10" w:space="0"/>
              <w:right w:val="single" w:color="auto" w:sz="10" w:space="0"/>
              <w:insideV w:val="single" w:sz="10" w:space="0"/>
            </w:tcBorders>
          </w:tcPr>
          <w:p w14:paraId="27383882"/>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4F05A699">
            <w:pPr>
              <w:jc w:val="center"/>
            </w:pPr>
            <w:r>
              <w:rPr>
                <w:rFonts w:ascii="宋体" w:hAnsi="宋体" w:eastAsia="宋体"/>
                <w:sz w:val="16"/>
              </w:rPr>
              <w:t>一级指标</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361D7974">
            <w:pPr>
              <w:jc w:val="center"/>
            </w:pPr>
            <w:r>
              <w:rPr>
                <w:rFonts w:ascii="宋体" w:hAnsi="宋体" w:eastAsia="宋体"/>
                <w:sz w:val="16"/>
              </w:rPr>
              <w:t>二级指标</w:t>
            </w:r>
          </w:p>
        </w:tc>
        <w:tc>
          <w:tcPr>
            <w:tcW w:w="711" w:type="dxa"/>
            <w:tcBorders>
              <w:top w:val="single" w:color="auto" w:sz="10" w:space="0"/>
              <w:left w:val="single" w:color="auto" w:sz="10" w:space="0"/>
              <w:bottom w:val="single" w:color="auto" w:sz="10" w:space="0"/>
              <w:right w:val="single" w:color="auto" w:sz="10" w:space="0"/>
              <w:insideV w:val="single" w:sz="10" w:space="0"/>
            </w:tcBorders>
            <w:vAlign w:val="center"/>
          </w:tcPr>
          <w:p w14:paraId="104FE48B">
            <w:pPr>
              <w:jc w:val="center"/>
            </w:pPr>
            <w:r>
              <w:rPr>
                <w:rFonts w:ascii="宋体" w:hAnsi="宋体" w:eastAsia="宋体"/>
                <w:sz w:val="16"/>
              </w:rPr>
              <w:t>三级指标</w:t>
            </w:r>
          </w:p>
        </w:tc>
        <w:tc>
          <w:tcPr>
            <w:tcW w:w="712" w:type="dxa"/>
            <w:tcBorders>
              <w:top w:val="single" w:color="auto" w:sz="10" w:space="0"/>
              <w:left w:val="single" w:color="auto" w:sz="10" w:space="0"/>
              <w:bottom w:val="single" w:color="auto" w:sz="10" w:space="0"/>
              <w:right w:val="single" w:color="auto" w:sz="10" w:space="0"/>
              <w:insideV w:val="single" w:sz="10" w:space="0"/>
            </w:tcBorders>
            <w:vAlign w:val="center"/>
          </w:tcPr>
          <w:p w14:paraId="726FDE4E">
            <w:pPr>
              <w:jc w:val="center"/>
            </w:pPr>
            <w:r>
              <w:rPr>
                <w:rFonts w:ascii="宋体" w:hAnsi="宋体" w:eastAsia="宋体"/>
                <w:sz w:val="16"/>
              </w:rPr>
              <w:t>年度指标值</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0CE2F0B8">
            <w:pPr>
              <w:jc w:val="center"/>
            </w:pPr>
            <w:r>
              <w:rPr>
                <w:rFonts w:ascii="宋体" w:hAnsi="宋体" w:eastAsia="宋体"/>
                <w:sz w:val="16"/>
              </w:rPr>
              <w:t>指标值设定依据</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1CBE68E7">
            <w:pPr>
              <w:jc w:val="center"/>
            </w:pPr>
            <w:r>
              <w:rPr>
                <w:rFonts w:ascii="宋体" w:hAnsi="宋体" w:eastAsia="宋体"/>
                <w:sz w:val="16"/>
              </w:rPr>
              <w:t>上年完成情况</w:t>
            </w:r>
          </w:p>
        </w:tc>
        <w:tc>
          <w:tcPr>
            <w:tcW w:w="648" w:type="dxa"/>
            <w:tcBorders>
              <w:top w:val="single" w:color="auto" w:sz="10" w:space="0"/>
              <w:left w:val="single" w:color="auto" w:sz="10" w:space="0"/>
              <w:bottom w:val="single" w:color="auto" w:sz="10" w:space="0"/>
              <w:right w:val="single" w:color="auto" w:sz="10" w:space="0"/>
              <w:insideV w:val="single" w:sz="10" w:space="0"/>
            </w:tcBorders>
            <w:vAlign w:val="center"/>
          </w:tcPr>
          <w:p w14:paraId="66CCE972">
            <w:pPr>
              <w:jc w:val="center"/>
            </w:pPr>
            <w:r>
              <w:rPr>
                <w:rFonts w:ascii="宋体" w:hAnsi="宋体" w:eastAsia="宋体"/>
                <w:sz w:val="16"/>
              </w:rPr>
              <w:t>权重</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2FDB6A7E">
            <w:pPr>
              <w:jc w:val="center"/>
            </w:pPr>
            <w:r>
              <w:rPr>
                <w:rFonts w:ascii="宋体" w:hAnsi="宋体" w:eastAsia="宋体"/>
                <w:sz w:val="16"/>
              </w:rPr>
              <w:t>赋分规则</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53D6600A">
            <w:pPr>
              <w:jc w:val="center"/>
            </w:pPr>
            <w:r>
              <w:rPr>
                <w:rFonts w:ascii="宋体" w:hAnsi="宋体" w:eastAsia="宋体"/>
                <w:sz w:val="16"/>
              </w:rPr>
              <w:t>佐证资料</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18DFAD27">
            <w:pPr>
              <w:jc w:val="center"/>
            </w:pPr>
            <w:r>
              <w:rPr>
                <w:rFonts w:ascii="宋体" w:hAnsi="宋体" w:eastAsia="宋体"/>
                <w:sz w:val="16"/>
              </w:rPr>
              <w:t>实际完成值</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22603443">
            <w:pPr>
              <w:jc w:val="center"/>
            </w:pPr>
            <w:r>
              <w:rPr>
                <w:rFonts w:ascii="宋体" w:hAnsi="宋体" w:eastAsia="宋体"/>
                <w:sz w:val="16"/>
              </w:rPr>
              <w:t>得分</w:t>
            </w:r>
          </w:p>
        </w:tc>
        <w:tc>
          <w:tcPr>
            <w:tcW w:w="129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B1BA6">
            <w:pPr>
              <w:jc w:val="center"/>
            </w:pPr>
            <w:r>
              <w:rPr>
                <w:rFonts w:ascii="宋体" w:hAnsi="宋体" w:eastAsia="宋体"/>
                <w:sz w:val="16"/>
              </w:rPr>
              <w:t>偏差原因分析及改进措施</w:t>
            </w:r>
          </w:p>
        </w:tc>
      </w:tr>
      <w:tr w14:paraId="7A0D9534">
        <w:tblPrEx>
          <w:tblCellMar>
            <w:top w:w="0" w:type="dxa"/>
            <w:left w:w="108" w:type="dxa"/>
            <w:bottom w:w="0" w:type="dxa"/>
            <w:right w:w="108" w:type="dxa"/>
          </w:tblCellMar>
        </w:tblPrEx>
        <w:trPr>
          <w:trHeight w:val="713" w:hRule="atLeast"/>
        </w:trPr>
        <w:tc>
          <w:tcPr>
            <w:tcW w:w="64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6923C6">
            <w:pPr>
              <w:jc w:val="center"/>
            </w:pPr>
            <w:r>
              <w:rPr>
                <w:rFonts w:ascii="宋体" w:hAnsi="宋体" w:eastAsia="宋体"/>
                <w:sz w:val="16"/>
              </w:rPr>
              <w:t>年度绩效指标完成情况</w:t>
            </w:r>
          </w:p>
        </w:tc>
        <w:tc>
          <w:tcPr>
            <w:tcW w:w="64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494915">
            <w:pPr>
              <w:jc w:val="center"/>
            </w:pPr>
            <w:r>
              <w:rPr>
                <w:rFonts w:ascii="宋体" w:hAnsi="宋体" w:eastAsia="宋体"/>
                <w:sz w:val="16"/>
              </w:rPr>
              <w:t>产出指标</w:t>
            </w:r>
          </w:p>
        </w:tc>
        <w:tc>
          <w:tcPr>
            <w:tcW w:w="64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CBDE7B">
            <w:pPr>
              <w:jc w:val="center"/>
            </w:pPr>
            <w:r>
              <w:rPr>
                <w:rFonts w:ascii="宋体" w:hAnsi="宋体" w:eastAsia="宋体"/>
                <w:sz w:val="16"/>
              </w:rPr>
              <w:t>数量指标</w:t>
            </w:r>
          </w:p>
        </w:tc>
        <w:tc>
          <w:tcPr>
            <w:tcW w:w="711" w:type="dxa"/>
            <w:tcBorders>
              <w:top w:val="single" w:color="auto" w:sz="10" w:space="0"/>
              <w:left w:val="single" w:color="auto" w:sz="10" w:space="0"/>
              <w:bottom w:val="single" w:color="auto" w:sz="10" w:space="0"/>
              <w:right w:val="single" w:color="auto" w:sz="10" w:space="0"/>
              <w:insideV w:val="single" w:sz="10" w:space="0"/>
            </w:tcBorders>
            <w:vAlign w:val="center"/>
          </w:tcPr>
          <w:p w14:paraId="2C211D33">
            <w:pPr>
              <w:jc w:val="center"/>
            </w:pPr>
            <w:r>
              <w:rPr>
                <w:rFonts w:ascii="宋体" w:hAnsi="宋体" w:eastAsia="宋体"/>
                <w:sz w:val="16"/>
              </w:rPr>
              <w:t>食品安全标准跟踪评价企业数（家）</w:t>
            </w:r>
          </w:p>
        </w:tc>
        <w:tc>
          <w:tcPr>
            <w:tcW w:w="712" w:type="dxa"/>
            <w:tcBorders>
              <w:top w:val="single" w:color="auto" w:sz="10" w:space="0"/>
              <w:left w:val="single" w:color="auto" w:sz="10" w:space="0"/>
              <w:bottom w:val="single" w:color="auto" w:sz="10" w:space="0"/>
              <w:right w:val="single" w:color="auto" w:sz="10" w:space="0"/>
              <w:insideV w:val="single" w:sz="10" w:space="0"/>
            </w:tcBorders>
            <w:vAlign w:val="center"/>
          </w:tcPr>
          <w:p w14:paraId="0FE525D0">
            <w:pPr>
              <w:jc w:val="center"/>
            </w:pPr>
            <w:r>
              <w:rPr>
                <w:rFonts w:ascii="宋体" w:hAnsi="宋体" w:eastAsia="宋体"/>
                <w:sz w:val="16"/>
              </w:rPr>
              <w:t>&gt;=5家</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1940B35F">
            <w:pPr>
              <w:jc w:val="center"/>
            </w:pPr>
            <w:r>
              <w:rPr>
                <w:rFonts w:ascii="宋体" w:hAnsi="宋体" w:eastAsia="宋体"/>
                <w:sz w:val="16"/>
              </w:rPr>
              <w:t>计划标准</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60A2F12F">
            <w:pPr>
              <w:jc w:val="center"/>
            </w:pPr>
            <w:r>
              <w:rPr>
                <w:rFonts w:ascii="宋体" w:hAnsi="宋体" w:eastAsia="宋体"/>
                <w:sz w:val="16"/>
              </w:rPr>
              <w:t>新增</w:t>
            </w:r>
          </w:p>
        </w:tc>
        <w:tc>
          <w:tcPr>
            <w:tcW w:w="648" w:type="dxa"/>
            <w:tcBorders>
              <w:top w:val="single" w:color="auto" w:sz="10" w:space="0"/>
              <w:left w:val="single" w:color="auto" w:sz="10" w:space="0"/>
              <w:bottom w:val="single" w:color="auto" w:sz="10" w:space="0"/>
              <w:right w:val="single" w:color="auto" w:sz="10" w:space="0"/>
              <w:insideV w:val="single" w:sz="10" w:space="0"/>
            </w:tcBorders>
            <w:vAlign w:val="center"/>
          </w:tcPr>
          <w:p w14:paraId="6B8F0DBB">
            <w:pPr>
              <w:jc w:val="center"/>
            </w:pPr>
            <w:r>
              <w:rPr>
                <w:rFonts w:ascii="宋体" w:hAnsi="宋体" w:eastAsia="宋体"/>
                <w:sz w:val="16"/>
              </w:rPr>
              <w:t>6</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6D091938">
            <w:pPr>
              <w:jc w:val="center"/>
            </w:pPr>
            <w:r>
              <w:rPr>
                <w:rFonts w:ascii="宋体" w:hAnsi="宋体" w:eastAsia="宋体"/>
                <w:sz w:val="16"/>
              </w:rPr>
              <w:t>按照完成比例赋分</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49491F17">
            <w:pPr>
              <w:jc w:val="center"/>
            </w:pPr>
            <w:r>
              <w:rPr>
                <w:rFonts w:ascii="宋体" w:hAnsi="宋体" w:eastAsia="宋体"/>
                <w:sz w:val="16"/>
              </w:rPr>
              <w:t>工作资料</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55C808D2">
            <w:pPr>
              <w:jc w:val="center"/>
            </w:pPr>
            <w:r>
              <w:rPr>
                <w:rFonts w:ascii="宋体" w:hAnsi="宋体" w:eastAsia="宋体"/>
                <w:sz w:val="16"/>
              </w:rPr>
              <w:t>=5家</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5F226846">
            <w:pPr>
              <w:jc w:val="center"/>
            </w:pPr>
            <w:r>
              <w:rPr>
                <w:rFonts w:ascii="宋体" w:hAnsi="宋体" w:eastAsia="宋体"/>
                <w:sz w:val="16"/>
              </w:rPr>
              <w:t>6</w:t>
            </w:r>
          </w:p>
        </w:tc>
        <w:tc>
          <w:tcPr>
            <w:tcW w:w="129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B2E0D">
            <w:pPr>
              <w:jc w:val="center"/>
            </w:pPr>
          </w:p>
        </w:tc>
      </w:tr>
      <w:tr w14:paraId="00F47D7E">
        <w:tblPrEx>
          <w:tblCellMar>
            <w:top w:w="0" w:type="dxa"/>
            <w:left w:w="108" w:type="dxa"/>
            <w:bottom w:w="0" w:type="dxa"/>
            <w:right w:w="108" w:type="dxa"/>
          </w:tblCellMar>
        </w:tblPrEx>
        <w:trPr>
          <w:trHeight w:val="713" w:hRule="atLeast"/>
        </w:trPr>
        <w:tc>
          <w:tcPr>
            <w:tcW w:w="646" w:type="dxa"/>
            <w:vMerge w:val="continue"/>
            <w:tcBorders>
              <w:top w:val="single" w:color="auto" w:sz="10" w:space="0"/>
              <w:left w:val="single" w:color="auto" w:sz="10" w:space="0"/>
              <w:bottom w:val="single" w:color="auto" w:sz="10" w:space="0"/>
              <w:right w:val="single" w:color="auto" w:sz="10" w:space="0"/>
              <w:insideV w:val="single" w:sz="10" w:space="0"/>
            </w:tcBorders>
          </w:tcPr>
          <w:p w14:paraId="543EE7E7"/>
        </w:tc>
        <w:tc>
          <w:tcPr>
            <w:tcW w:w="646" w:type="dxa"/>
            <w:vMerge w:val="continue"/>
            <w:tcBorders>
              <w:top w:val="single" w:color="auto" w:sz="10" w:space="0"/>
              <w:left w:val="single" w:color="auto" w:sz="10" w:space="0"/>
              <w:bottom w:val="single" w:color="auto" w:sz="10" w:space="0"/>
              <w:right w:val="single" w:color="auto" w:sz="10" w:space="0"/>
              <w:insideV w:val="single" w:sz="10" w:space="0"/>
            </w:tcBorders>
          </w:tcPr>
          <w:p w14:paraId="560F3F5F"/>
        </w:tc>
        <w:tc>
          <w:tcPr>
            <w:tcW w:w="646" w:type="dxa"/>
            <w:vMerge w:val="continue"/>
            <w:tcBorders>
              <w:top w:val="single" w:color="auto" w:sz="10" w:space="0"/>
              <w:left w:val="single" w:color="auto" w:sz="10" w:space="0"/>
              <w:bottom w:val="single" w:color="auto" w:sz="10" w:space="0"/>
              <w:right w:val="single" w:color="auto" w:sz="10" w:space="0"/>
              <w:insideV w:val="single" w:sz="10" w:space="0"/>
            </w:tcBorders>
          </w:tcPr>
          <w:p w14:paraId="0C98CF4E"/>
        </w:tc>
        <w:tc>
          <w:tcPr>
            <w:tcW w:w="711" w:type="dxa"/>
            <w:tcBorders>
              <w:top w:val="single" w:color="auto" w:sz="10" w:space="0"/>
              <w:left w:val="single" w:color="auto" w:sz="10" w:space="0"/>
              <w:bottom w:val="single" w:color="auto" w:sz="10" w:space="0"/>
              <w:right w:val="single" w:color="auto" w:sz="10" w:space="0"/>
              <w:insideV w:val="single" w:sz="10" w:space="0"/>
            </w:tcBorders>
            <w:vAlign w:val="center"/>
          </w:tcPr>
          <w:p w14:paraId="52D63C53">
            <w:pPr>
              <w:jc w:val="center"/>
            </w:pPr>
            <w:r>
              <w:rPr>
                <w:rFonts w:ascii="宋体" w:hAnsi="宋体" w:eastAsia="宋体"/>
                <w:sz w:val="16"/>
              </w:rPr>
              <w:t>食品安全标准问卷评价数（家）</w:t>
            </w:r>
          </w:p>
        </w:tc>
        <w:tc>
          <w:tcPr>
            <w:tcW w:w="712" w:type="dxa"/>
            <w:tcBorders>
              <w:top w:val="single" w:color="auto" w:sz="10" w:space="0"/>
              <w:left w:val="single" w:color="auto" w:sz="10" w:space="0"/>
              <w:bottom w:val="single" w:color="auto" w:sz="10" w:space="0"/>
              <w:right w:val="single" w:color="auto" w:sz="10" w:space="0"/>
              <w:insideV w:val="single" w:sz="10" w:space="0"/>
            </w:tcBorders>
            <w:vAlign w:val="center"/>
          </w:tcPr>
          <w:p w14:paraId="4A34AF97">
            <w:pPr>
              <w:jc w:val="center"/>
            </w:pPr>
            <w:r>
              <w:rPr>
                <w:rFonts w:ascii="宋体" w:hAnsi="宋体" w:eastAsia="宋体"/>
                <w:sz w:val="16"/>
              </w:rPr>
              <w:t>&gt;=3家</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060F3C24">
            <w:pPr>
              <w:jc w:val="center"/>
            </w:pPr>
            <w:r>
              <w:rPr>
                <w:rFonts w:ascii="宋体" w:hAnsi="宋体" w:eastAsia="宋体"/>
                <w:sz w:val="16"/>
              </w:rPr>
              <w:t>计划标准</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52E0500F">
            <w:pPr>
              <w:jc w:val="center"/>
            </w:pPr>
            <w:r>
              <w:rPr>
                <w:rFonts w:ascii="宋体" w:hAnsi="宋体" w:eastAsia="宋体"/>
                <w:sz w:val="16"/>
              </w:rPr>
              <w:t>新增</w:t>
            </w:r>
          </w:p>
        </w:tc>
        <w:tc>
          <w:tcPr>
            <w:tcW w:w="648" w:type="dxa"/>
            <w:tcBorders>
              <w:top w:val="single" w:color="auto" w:sz="10" w:space="0"/>
              <w:left w:val="single" w:color="auto" w:sz="10" w:space="0"/>
              <w:bottom w:val="single" w:color="auto" w:sz="10" w:space="0"/>
              <w:right w:val="single" w:color="auto" w:sz="10" w:space="0"/>
              <w:insideV w:val="single" w:sz="10" w:space="0"/>
            </w:tcBorders>
            <w:vAlign w:val="center"/>
          </w:tcPr>
          <w:p w14:paraId="071B054C">
            <w:pPr>
              <w:jc w:val="center"/>
            </w:pPr>
            <w:r>
              <w:rPr>
                <w:rFonts w:ascii="宋体" w:hAnsi="宋体" w:eastAsia="宋体"/>
                <w:sz w:val="16"/>
              </w:rPr>
              <w:t>6</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4886A57B">
            <w:pPr>
              <w:jc w:val="center"/>
            </w:pPr>
            <w:r>
              <w:rPr>
                <w:rFonts w:ascii="宋体" w:hAnsi="宋体" w:eastAsia="宋体"/>
                <w:sz w:val="16"/>
              </w:rPr>
              <w:t>按照完成比例赋分</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439DA042">
            <w:pPr>
              <w:jc w:val="center"/>
            </w:pPr>
            <w:r>
              <w:rPr>
                <w:rFonts w:ascii="宋体" w:hAnsi="宋体" w:eastAsia="宋体"/>
                <w:sz w:val="16"/>
              </w:rPr>
              <w:t>工作资料</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480C3C96">
            <w:pPr>
              <w:jc w:val="center"/>
            </w:pPr>
            <w:r>
              <w:rPr>
                <w:rFonts w:ascii="宋体" w:hAnsi="宋体" w:eastAsia="宋体"/>
                <w:sz w:val="16"/>
              </w:rPr>
              <w:t>=3家</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7A2E90F9">
            <w:pPr>
              <w:jc w:val="center"/>
            </w:pPr>
            <w:r>
              <w:rPr>
                <w:rFonts w:ascii="宋体" w:hAnsi="宋体" w:eastAsia="宋体"/>
                <w:sz w:val="16"/>
              </w:rPr>
              <w:t>6</w:t>
            </w:r>
          </w:p>
        </w:tc>
        <w:tc>
          <w:tcPr>
            <w:tcW w:w="129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A1203A">
            <w:pPr>
              <w:jc w:val="center"/>
            </w:pPr>
          </w:p>
        </w:tc>
      </w:tr>
      <w:tr w14:paraId="4438B8BD">
        <w:tblPrEx>
          <w:tblCellMar>
            <w:top w:w="0" w:type="dxa"/>
            <w:left w:w="108" w:type="dxa"/>
            <w:bottom w:w="0" w:type="dxa"/>
            <w:right w:w="108" w:type="dxa"/>
          </w:tblCellMar>
        </w:tblPrEx>
        <w:trPr>
          <w:trHeight w:val="292" w:hRule="atLeast"/>
        </w:trPr>
        <w:tc>
          <w:tcPr>
            <w:tcW w:w="646" w:type="dxa"/>
            <w:vMerge w:val="continue"/>
            <w:tcBorders>
              <w:top w:val="single" w:color="auto" w:sz="10" w:space="0"/>
              <w:left w:val="single" w:color="auto" w:sz="10" w:space="0"/>
              <w:bottom w:val="single" w:color="auto" w:sz="10" w:space="0"/>
              <w:right w:val="single" w:color="auto" w:sz="10" w:space="0"/>
              <w:insideV w:val="single" w:sz="10" w:space="0"/>
            </w:tcBorders>
          </w:tcPr>
          <w:p w14:paraId="0C5EDB79"/>
        </w:tc>
        <w:tc>
          <w:tcPr>
            <w:tcW w:w="646" w:type="dxa"/>
            <w:vMerge w:val="continue"/>
            <w:tcBorders>
              <w:top w:val="single" w:color="auto" w:sz="10" w:space="0"/>
              <w:left w:val="single" w:color="auto" w:sz="10" w:space="0"/>
              <w:bottom w:val="single" w:color="auto" w:sz="10" w:space="0"/>
              <w:right w:val="single" w:color="auto" w:sz="10" w:space="0"/>
              <w:insideV w:val="single" w:sz="10" w:space="0"/>
            </w:tcBorders>
          </w:tcPr>
          <w:p w14:paraId="31723628"/>
        </w:tc>
        <w:tc>
          <w:tcPr>
            <w:tcW w:w="646" w:type="dxa"/>
            <w:vMerge w:val="continue"/>
            <w:tcBorders>
              <w:top w:val="single" w:color="auto" w:sz="10" w:space="0"/>
              <w:left w:val="single" w:color="auto" w:sz="10" w:space="0"/>
              <w:bottom w:val="single" w:color="auto" w:sz="10" w:space="0"/>
              <w:right w:val="single" w:color="auto" w:sz="10" w:space="0"/>
              <w:insideV w:val="single" w:sz="10" w:space="0"/>
            </w:tcBorders>
          </w:tcPr>
          <w:p w14:paraId="53A2F073"/>
        </w:tc>
        <w:tc>
          <w:tcPr>
            <w:tcW w:w="711" w:type="dxa"/>
            <w:tcBorders>
              <w:top w:val="single" w:color="auto" w:sz="10" w:space="0"/>
              <w:left w:val="single" w:color="auto" w:sz="10" w:space="0"/>
              <w:bottom w:val="single" w:color="auto" w:sz="10" w:space="0"/>
              <w:right w:val="single" w:color="auto" w:sz="10" w:space="0"/>
              <w:insideV w:val="single" w:sz="10" w:space="0"/>
            </w:tcBorders>
            <w:vAlign w:val="center"/>
          </w:tcPr>
          <w:p w14:paraId="79976170">
            <w:pPr>
              <w:jc w:val="center"/>
            </w:pPr>
            <w:r>
              <w:rPr>
                <w:rFonts w:ascii="宋体" w:hAnsi="宋体" w:eastAsia="宋体"/>
                <w:sz w:val="16"/>
              </w:rPr>
              <w:t>食品安全标准宣传次数（次）</w:t>
            </w:r>
          </w:p>
        </w:tc>
        <w:tc>
          <w:tcPr>
            <w:tcW w:w="712" w:type="dxa"/>
            <w:tcBorders>
              <w:top w:val="single" w:color="auto" w:sz="10" w:space="0"/>
              <w:left w:val="single" w:color="auto" w:sz="10" w:space="0"/>
              <w:bottom w:val="single" w:color="auto" w:sz="10" w:space="0"/>
              <w:right w:val="single" w:color="auto" w:sz="10" w:space="0"/>
              <w:insideV w:val="single" w:sz="10" w:space="0"/>
            </w:tcBorders>
            <w:vAlign w:val="center"/>
          </w:tcPr>
          <w:p w14:paraId="51246D74">
            <w:pPr>
              <w:jc w:val="center"/>
            </w:pPr>
            <w:r>
              <w:rPr>
                <w:rFonts w:ascii="宋体" w:hAnsi="宋体" w:eastAsia="宋体"/>
                <w:sz w:val="16"/>
              </w:rPr>
              <w:t>&gt;=2次</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6AFE1E83">
            <w:pPr>
              <w:jc w:val="center"/>
            </w:pPr>
            <w:r>
              <w:rPr>
                <w:rFonts w:ascii="宋体" w:hAnsi="宋体" w:eastAsia="宋体"/>
                <w:sz w:val="16"/>
              </w:rPr>
              <w:t>计划标准</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4C9610E5">
            <w:pPr>
              <w:jc w:val="center"/>
            </w:pPr>
            <w:r>
              <w:rPr>
                <w:rFonts w:ascii="宋体" w:hAnsi="宋体" w:eastAsia="宋体"/>
                <w:sz w:val="16"/>
              </w:rPr>
              <w:t>新增</w:t>
            </w:r>
          </w:p>
        </w:tc>
        <w:tc>
          <w:tcPr>
            <w:tcW w:w="648" w:type="dxa"/>
            <w:tcBorders>
              <w:top w:val="single" w:color="auto" w:sz="10" w:space="0"/>
              <w:left w:val="single" w:color="auto" w:sz="10" w:space="0"/>
              <w:bottom w:val="single" w:color="auto" w:sz="10" w:space="0"/>
              <w:right w:val="single" w:color="auto" w:sz="10" w:space="0"/>
              <w:insideV w:val="single" w:sz="10" w:space="0"/>
            </w:tcBorders>
            <w:vAlign w:val="center"/>
          </w:tcPr>
          <w:p w14:paraId="208F03B2">
            <w:pPr>
              <w:jc w:val="center"/>
            </w:pPr>
            <w:r>
              <w:rPr>
                <w:rFonts w:ascii="宋体" w:hAnsi="宋体" w:eastAsia="宋体"/>
                <w:sz w:val="16"/>
              </w:rPr>
              <w:t>6</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25F4D74F">
            <w:pPr>
              <w:jc w:val="center"/>
            </w:pPr>
            <w:r>
              <w:rPr>
                <w:rFonts w:ascii="宋体" w:hAnsi="宋体" w:eastAsia="宋体"/>
                <w:sz w:val="16"/>
              </w:rPr>
              <w:t>按照完成比例赋分</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55BEBBDD">
            <w:pPr>
              <w:jc w:val="center"/>
            </w:pPr>
            <w:r>
              <w:rPr>
                <w:rFonts w:ascii="宋体" w:hAnsi="宋体" w:eastAsia="宋体"/>
                <w:sz w:val="16"/>
              </w:rPr>
              <w:t>工作资料</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5B20400C">
            <w:pPr>
              <w:jc w:val="center"/>
            </w:pPr>
            <w:r>
              <w:rPr>
                <w:rFonts w:ascii="宋体" w:hAnsi="宋体" w:eastAsia="宋体"/>
                <w:sz w:val="16"/>
              </w:rPr>
              <w:t>=2次</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7267A4F5">
            <w:pPr>
              <w:jc w:val="center"/>
            </w:pPr>
            <w:r>
              <w:rPr>
                <w:rFonts w:ascii="宋体" w:hAnsi="宋体" w:eastAsia="宋体"/>
                <w:sz w:val="16"/>
              </w:rPr>
              <w:t>6</w:t>
            </w:r>
          </w:p>
        </w:tc>
        <w:tc>
          <w:tcPr>
            <w:tcW w:w="129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C46F75">
            <w:pPr>
              <w:jc w:val="center"/>
            </w:pPr>
          </w:p>
        </w:tc>
      </w:tr>
      <w:tr w14:paraId="6419A182">
        <w:tblPrEx>
          <w:tblCellMar>
            <w:top w:w="0" w:type="dxa"/>
            <w:left w:w="108" w:type="dxa"/>
            <w:bottom w:w="0" w:type="dxa"/>
            <w:right w:w="108" w:type="dxa"/>
          </w:tblCellMar>
        </w:tblPrEx>
        <w:trPr>
          <w:trHeight w:val="573" w:hRule="atLeast"/>
        </w:trPr>
        <w:tc>
          <w:tcPr>
            <w:tcW w:w="646" w:type="dxa"/>
            <w:vMerge w:val="continue"/>
            <w:tcBorders>
              <w:top w:val="single" w:color="auto" w:sz="10" w:space="0"/>
              <w:left w:val="single" w:color="auto" w:sz="10" w:space="0"/>
              <w:bottom w:val="single" w:color="auto" w:sz="10" w:space="0"/>
              <w:right w:val="single" w:color="auto" w:sz="10" w:space="0"/>
              <w:insideV w:val="single" w:sz="10" w:space="0"/>
            </w:tcBorders>
          </w:tcPr>
          <w:p w14:paraId="33F7FE2C"/>
        </w:tc>
        <w:tc>
          <w:tcPr>
            <w:tcW w:w="646" w:type="dxa"/>
            <w:vMerge w:val="continue"/>
            <w:tcBorders>
              <w:top w:val="single" w:color="auto" w:sz="10" w:space="0"/>
              <w:left w:val="single" w:color="auto" w:sz="10" w:space="0"/>
              <w:bottom w:val="single" w:color="auto" w:sz="10" w:space="0"/>
              <w:right w:val="single" w:color="auto" w:sz="10" w:space="0"/>
              <w:insideV w:val="single" w:sz="10" w:space="0"/>
            </w:tcBorders>
          </w:tcPr>
          <w:p w14:paraId="3B1EA000"/>
        </w:tc>
        <w:tc>
          <w:tcPr>
            <w:tcW w:w="646" w:type="dxa"/>
            <w:vMerge w:val="continue"/>
            <w:tcBorders>
              <w:top w:val="single" w:color="auto" w:sz="10" w:space="0"/>
              <w:left w:val="single" w:color="auto" w:sz="10" w:space="0"/>
              <w:bottom w:val="single" w:color="auto" w:sz="10" w:space="0"/>
              <w:right w:val="single" w:color="auto" w:sz="10" w:space="0"/>
              <w:insideV w:val="single" w:sz="10" w:space="0"/>
            </w:tcBorders>
          </w:tcPr>
          <w:p w14:paraId="1706C231"/>
        </w:tc>
        <w:tc>
          <w:tcPr>
            <w:tcW w:w="711" w:type="dxa"/>
            <w:tcBorders>
              <w:top w:val="single" w:color="auto" w:sz="10" w:space="0"/>
              <w:left w:val="single" w:color="auto" w:sz="10" w:space="0"/>
              <w:bottom w:val="single" w:color="auto" w:sz="10" w:space="0"/>
              <w:right w:val="single" w:color="auto" w:sz="10" w:space="0"/>
              <w:insideV w:val="single" w:sz="10" w:space="0"/>
            </w:tcBorders>
            <w:vAlign w:val="center"/>
          </w:tcPr>
          <w:p w14:paraId="7648AA9B">
            <w:pPr>
              <w:jc w:val="center"/>
            </w:pPr>
            <w:r>
              <w:rPr>
                <w:rFonts w:ascii="宋体" w:hAnsi="宋体" w:eastAsia="宋体"/>
                <w:sz w:val="16"/>
              </w:rPr>
              <w:t>食品安全标准培训次数（次）</w:t>
            </w:r>
          </w:p>
        </w:tc>
        <w:tc>
          <w:tcPr>
            <w:tcW w:w="712" w:type="dxa"/>
            <w:tcBorders>
              <w:top w:val="single" w:color="auto" w:sz="10" w:space="0"/>
              <w:left w:val="single" w:color="auto" w:sz="10" w:space="0"/>
              <w:bottom w:val="single" w:color="auto" w:sz="10" w:space="0"/>
              <w:right w:val="single" w:color="auto" w:sz="10" w:space="0"/>
              <w:insideV w:val="single" w:sz="10" w:space="0"/>
            </w:tcBorders>
            <w:vAlign w:val="center"/>
          </w:tcPr>
          <w:p w14:paraId="7C17083E">
            <w:pPr>
              <w:jc w:val="center"/>
            </w:pPr>
            <w:r>
              <w:rPr>
                <w:rFonts w:ascii="宋体" w:hAnsi="宋体" w:eastAsia="宋体"/>
                <w:sz w:val="16"/>
              </w:rPr>
              <w:t>&gt;=1次</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7F12A0A0">
            <w:pPr>
              <w:jc w:val="center"/>
            </w:pPr>
            <w:r>
              <w:rPr>
                <w:rFonts w:ascii="宋体" w:hAnsi="宋体" w:eastAsia="宋体"/>
                <w:sz w:val="16"/>
              </w:rPr>
              <w:t>计划标准</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6AB3AE5B">
            <w:pPr>
              <w:jc w:val="center"/>
            </w:pPr>
            <w:r>
              <w:rPr>
                <w:rFonts w:ascii="宋体" w:hAnsi="宋体" w:eastAsia="宋体"/>
                <w:sz w:val="16"/>
              </w:rPr>
              <w:t>新增</w:t>
            </w:r>
          </w:p>
        </w:tc>
        <w:tc>
          <w:tcPr>
            <w:tcW w:w="648" w:type="dxa"/>
            <w:tcBorders>
              <w:top w:val="single" w:color="auto" w:sz="10" w:space="0"/>
              <w:left w:val="single" w:color="auto" w:sz="10" w:space="0"/>
              <w:bottom w:val="single" w:color="auto" w:sz="10" w:space="0"/>
              <w:right w:val="single" w:color="auto" w:sz="10" w:space="0"/>
              <w:insideV w:val="single" w:sz="10" w:space="0"/>
            </w:tcBorders>
            <w:vAlign w:val="center"/>
          </w:tcPr>
          <w:p w14:paraId="385A123B">
            <w:pPr>
              <w:jc w:val="center"/>
            </w:pPr>
            <w:r>
              <w:rPr>
                <w:rFonts w:ascii="宋体" w:hAnsi="宋体" w:eastAsia="宋体"/>
                <w:sz w:val="16"/>
              </w:rPr>
              <w:t>6</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3D1C7379">
            <w:pPr>
              <w:jc w:val="center"/>
            </w:pPr>
            <w:r>
              <w:rPr>
                <w:rFonts w:ascii="宋体" w:hAnsi="宋体" w:eastAsia="宋体"/>
                <w:sz w:val="16"/>
              </w:rPr>
              <w:t>按照完成比例赋分</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12B03B23">
            <w:pPr>
              <w:jc w:val="center"/>
            </w:pPr>
            <w:r>
              <w:rPr>
                <w:rFonts w:ascii="宋体" w:hAnsi="宋体" w:eastAsia="宋体"/>
                <w:sz w:val="16"/>
              </w:rPr>
              <w:t>工作资料</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6D6D2D2A">
            <w:pPr>
              <w:jc w:val="center"/>
            </w:pPr>
            <w:r>
              <w:rPr>
                <w:rFonts w:ascii="宋体" w:hAnsi="宋体" w:eastAsia="宋体"/>
                <w:sz w:val="16"/>
              </w:rPr>
              <w:t>=1次</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689DF012">
            <w:pPr>
              <w:jc w:val="center"/>
            </w:pPr>
            <w:r>
              <w:rPr>
                <w:rFonts w:ascii="宋体" w:hAnsi="宋体" w:eastAsia="宋体"/>
                <w:sz w:val="16"/>
              </w:rPr>
              <w:t>6</w:t>
            </w:r>
          </w:p>
        </w:tc>
        <w:tc>
          <w:tcPr>
            <w:tcW w:w="129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3DD53">
            <w:pPr>
              <w:jc w:val="center"/>
            </w:pPr>
          </w:p>
        </w:tc>
      </w:tr>
      <w:tr w14:paraId="76618847">
        <w:tblPrEx>
          <w:tblCellMar>
            <w:top w:w="0" w:type="dxa"/>
            <w:left w:w="108" w:type="dxa"/>
            <w:bottom w:w="0" w:type="dxa"/>
            <w:right w:w="108" w:type="dxa"/>
          </w:tblCellMar>
        </w:tblPrEx>
        <w:trPr>
          <w:trHeight w:val="573" w:hRule="atLeast"/>
        </w:trPr>
        <w:tc>
          <w:tcPr>
            <w:tcW w:w="646" w:type="dxa"/>
            <w:vMerge w:val="continue"/>
            <w:tcBorders>
              <w:top w:val="single" w:color="auto" w:sz="10" w:space="0"/>
              <w:left w:val="single" w:color="auto" w:sz="10" w:space="0"/>
              <w:bottom w:val="single" w:color="auto" w:sz="10" w:space="0"/>
              <w:right w:val="single" w:color="auto" w:sz="10" w:space="0"/>
              <w:insideV w:val="single" w:sz="10" w:space="0"/>
            </w:tcBorders>
          </w:tcPr>
          <w:p w14:paraId="2018CD82"/>
        </w:tc>
        <w:tc>
          <w:tcPr>
            <w:tcW w:w="646" w:type="dxa"/>
            <w:vMerge w:val="continue"/>
            <w:tcBorders>
              <w:top w:val="single" w:color="auto" w:sz="10" w:space="0"/>
              <w:left w:val="single" w:color="auto" w:sz="10" w:space="0"/>
              <w:bottom w:val="single" w:color="auto" w:sz="10" w:space="0"/>
              <w:right w:val="single" w:color="auto" w:sz="10" w:space="0"/>
              <w:insideV w:val="single" w:sz="10" w:space="0"/>
            </w:tcBorders>
          </w:tcPr>
          <w:p w14:paraId="1884EE8E"/>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100E56E0">
            <w:pPr>
              <w:jc w:val="center"/>
            </w:pPr>
            <w:r>
              <w:rPr>
                <w:rFonts w:ascii="宋体" w:hAnsi="宋体" w:eastAsia="宋体"/>
                <w:sz w:val="16"/>
              </w:rPr>
              <w:t>质量指标</w:t>
            </w:r>
          </w:p>
        </w:tc>
        <w:tc>
          <w:tcPr>
            <w:tcW w:w="711" w:type="dxa"/>
            <w:tcBorders>
              <w:top w:val="single" w:color="auto" w:sz="10" w:space="0"/>
              <w:left w:val="single" w:color="auto" w:sz="10" w:space="0"/>
              <w:bottom w:val="single" w:color="auto" w:sz="10" w:space="0"/>
              <w:right w:val="single" w:color="auto" w:sz="10" w:space="0"/>
              <w:insideV w:val="single" w:sz="10" w:space="0"/>
            </w:tcBorders>
            <w:vAlign w:val="center"/>
          </w:tcPr>
          <w:p w14:paraId="55B226F6">
            <w:pPr>
              <w:jc w:val="center"/>
            </w:pPr>
            <w:r>
              <w:rPr>
                <w:rFonts w:ascii="宋体" w:hAnsi="宋体" w:eastAsia="宋体"/>
                <w:sz w:val="16"/>
              </w:rPr>
              <w:t>资金使用准确率（%）</w:t>
            </w:r>
          </w:p>
        </w:tc>
        <w:tc>
          <w:tcPr>
            <w:tcW w:w="712" w:type="dxa"/>
            <w:tcBorders>
              <w:top w:val="single" w:color="auto" w:sz="10" w:space="0"/>
              <w:left w:val="single" w:color="auto" w:sz="10" w:space="0"/>
              <w:bottom w:val="single" w:color="auto" w:sz="10" w:space="0"/>
              <w:right w:val="single" w:color="auto" w:sz="10" w:space="0"/>
              <w:insideV w:val="single" w:sz="10" w:space="0"/>
            </w:tcBorders>
            <w:vAlign w:val="center"/>
          </w:tcPr>
          <w:p w14:paraId="279D3100">
            <w:pPr>
              <w:jc w:val="center"/>
            </w:pPr>
            <w:r>
              <w:rPr>
                <w:rFonts w:ascii="宋体" w:hAnsi="宋体" w:eastAsia="宋体"/>
                <w:sz w:val="16"/>
              </w:rPr>
              <w:t>=100%</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0DCB5A5C">
            <w:pPr>
              <w:jc w:val="center"/>
            </w:pPr>
            <w:r>
              <w:rPr>
                <w:rFonts w:ascii="宋体" w:hAnsi="宋体" w:eastAsia="宋体"/>
                <w:sz w:val="16"/>
              </w:rPr>
              <w:t>计划标准</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616AB56B">
            <w:pPr>
              <w:jc w:val="center"/>
            </w:pPr>
            <w:r>
              <w:rPr>
                <w:rFonts w:ascii="宋体" w:hAnsi="宋体" w:eastAsia="宋体"/>
                <w:sz w:val="16"/>
              </w:rPr>
              <w:t>新增</w:t>
            </w:r>
          </w:p>
        </w:tc>
        <w:tc>
          <w:tcPr>
            <w:tcW w:w="648" w:type="dxa"/>
            <w:tcBorders>
              <w:top w:val="single" w:color="auto" w:sz="10" w:space="0"/>
              <w:left w:val="single" w:color="auto" w:sz="10" w:space="0"/>
              <w:bottom w:val="single" w:color="auto" w:sz="10" w:space="0"/>
              <w:right w:val="single" w:color="auto" w:sz="10" w:space="0"/>
              <w:insideV w:val="single" w:sz="10" w:space="0"/>
            </w:tcBorders>
            <w:vAlign w:val="center"/>
          </w:tcPr>
          <w:p w14:paraId="674405F6">
            <w:pPr>
              <w:jc w:val="center"/>
            </w:pPr>
            <w:r>
              <w:rPr>
                <w:rFonts w:ascii="宋体" w:hAnsi="宋体" w:eastAsia="宋体"/>
                <w:sz w:val="16"/>
              </w:rPr>
              <w:t>6</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24737CA8">
            <w:pPr>
              <w:jc w:val="center"/>
            </w:pPr>
            <w:r>
              <w:rPr>
                <w:rFonts w:ascii="宋体" w:hAnsi="宋体" w:eastAsia="宋体"/>
                <w:sz w:val="16"/>
              </w:rPr>
              <w:t>按照完成比例赋分</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4F0B9174">
            <w:pPr>
              <w:jc w:val="center"/>
            </w:pPr>
            <w:r>
              <w:rPr>
                <w:rFonts w:ascii="宋体" w:hAnsi="宋体" w:eastAsia="宋体"/>
                <w:sz w:val="16"/>
              </w:rPr>
              <w:t>工作资料</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06AF5FF4">
            <w:pPr>
              <w:jc w:val="center"/>
            </w:pPr>
            <w:r>
              <w:rPr>
                <w:rFonts w:ascii="宋体" w:hAnsi="宋体" w:eastAsia="宋体"/>
                <w:sz w:val="16"/>
              </w:rPr>
              <w:t>=100%</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35ADF545">
            <w:pPr>
              <w:jc w:val="center"/>
            </w:pPr>
            <w:r>
              <w:rPr>
                <w:rFonts w:ascii="宋体" w:hAnsi="宋体" w:eastAsia="宋体"/>
                <w:sz w:val="16"/>
              </w:rPr>
              <w:t>6</w:t>
            </w:r>
          </w:p>
        </w:tc>
        <w:tc>
          <w:tcPr>
            <w:tcW w:w="129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CB6EC6">
            <w:pPr>
              <w:jc w:val="center"/>
            </w:pPr>
          </w:p>
        </w:tc>
      </w:tr>
      <w:tr w14:paraId="79912F37">
        <w:tblPrEx>
          <w:tblCellMar>
            <w:top w:w="0" w:type="dxa"/>
            <w:left w:w="108" w:type="dxa"/>
            <w:bottom w:w="0" w:type="dxa"/>
            <w:right w:w="108" w:type="dxa"/>
          </w:tblCellMar>
        </w:tblPrEx>
        <w:trPr>
          <w:trHeight w:val="573" w:hRule="atLeast"/>
        </w:trPr>
        <w:tc>
          <w:tcPr>
            <w:tcW w:w="646" w:type="dxa"/>
            <w:vMerge w:val="continue"/>
            <w:tcBorders>
              <w:top w:val="single" w:color="auto" w:sz="10" w:space="0"/>
              <w:left w:val="single" w:color="auto" w:sz="10" w:space="0"/>
              <w:bottom w:val="single" w:color="auto" w:sz="10" w:space="0"/>
              <w:right w:val="single" w:color="auto" w:sz="10" w:space="0"/>
              <w:insideV w:val="single" w:sz="10" w:space="0"/>
            </w:tcBorders>
          </w:tcPr>
          <w:p w14:paraId="43DC3ACF"/>
        </w:tc>
        <w:tc>
          <w:tcPr>
            <w:tcW w:w="646" w:type="dxa"/>
            <w:vMerge w:val="continue"/>
            <w:tcBorders>
              <w:top w:val="single" w:color="auto" w:sz="10" w:space="0"/>
              <w:left w:val="single" w:color="auto" w:sz="10" w:space="0"/>
              <w:bottom w:val="single" w:color="auto" w:sz="10" w:space="0"/>
              <w:right w:val="single" w:color="auto" w:sz="10" w:space="0"/>
              <w:insideV w:val="single" w:sz="10" w:space="0"/>
            </w:tcBorders>
          </w:tcPr>
          <w:p w14:paraId="5B1AD4D6"/>
        </w:tc>
        <w:tc>
          <w:tcPr>
            <w:tcW w:w="64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3651F8">
            <w:pPr>
              <w:jc w:val="center"/>
            </w:pPr>
            <w:r>
              <w:rPr>
                <w:rFonts w:ascii="宋体" w:hAnsi="宋体" w:eastAsia="宋体"/>
                <w:sz w:val="16"/>
              </w:rPr>
              <w:t>时效指标</w:t>
            </w:r>
          </w:p>
        </w:tc>
        <w:tc>
          <w:tcPr>
            <w:tcW w:w="711" w:type="dxa"/>
            <w:tcBorders>
              <w:top w:val="single" w:color="auto" w:sz="10" w:space="0"/>
              <w:left w:val="single" w:color="auto" w:sz="10" w:space="0"/>
              <w:bottom w:val="single" w:color="auto" w:sz="10" w:space="0"/>
              <w:right w:val="single" w:color="auto" w:sz="10" w:space="0"/>
              <w:insideV w:val="single" w:sz="10" w:space="0"/>
            </w:tcBorders>
            <w:vAlign w:val="center"/>
          </w:tcPr>
          <w:p w14:paraId="161842DF">
            <w:pPr>
              <w:jc w:val="center"/>
            </w:pPr>
            <w:r>
              <w:rPr>
                <w:rFonts w:ascii="宋体" w:hAnsi="宋体" w:eastAsia="宋体"/>
                <w:sz w:val="16"/>
              </w:rPr>
              <w:t>资金拨付及时率（%）</w:t>
            </w:r>
          </w:p>
        </w:tc>
        <w:tc>
          <w:tcPr>
            <w:tcW w:w="712" w:type="dxa"/>
            <w:tcBorders>
              <w:top w:val="single" w:color="auto" w:sz="10" w:space="0"/>
              <w:left w:val="single" w:color="auto" w:sz="10" w:space="0"/>
              <w:bottom w:val="single" w:color="auto" w:sz="10" w:space="0"/>
              <w:right w:val="single" w:color="auto" w:sz="10" w:space="0"/>
              <w:insideV w:val="single" w:sz="10" w:space="0"/>
            </w:tcBorders>
            <w:vAlign w:val="center"/>
          </w:tcPr>
          <w:p w14:paraId="0E9C02CC">
            <w:pPr>
              <w:jc w:val="center"/>
            </w:pPr>
            <w:r>
              <w:rPr>
                <w:rFonts w:ascii="宋体" w:hAnsi="宋体" w:eastAsia="宋体"/>
                <w:sz w:val="16"/>
              </w:rPr>
              <w:t>=100%</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41D75E3E">
            <w:pPr>
              <w:jc w:val="center"/>
            </w:pPr>
            <w:r>
              <w:rPr>
                <w:rFonts w:ascii="宋体" w:hAnsi="宋体" w:eastAsia="宋体"/>
                <w:sz w:val="16"/>
              </w:rPr>
              <w:t>计划标准</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2F24E62E">
            <w:pPr>
              <w:jc w:val="center"/>
            </w:pPr>
            <w:r>
              <w:rPr>
                <w:rFonts w:ascii="宋体" w:hAnsi="宋体" w:eastAsia="宋体"/>
                <w:sz w:val="16"/>
              </w:rPr>
              <w:t>新增</w:t>
            </w:r>
          </w:p>
        </w:tc>
        <w:tc>
          <w:tcPr>
            <w:tcW w:w="648" w:type="dxa"/>
            <w:tcBorders>
              <w:top w:val="single" w:color="auto" w:sz="10" w:space="0"/>
              <w:left w:val="single" w:color="auto" w:sz="10" w:space="0"/>
              <w:bottom w:val="single" w:color="auto" w:sz="10" w:space="0"/>
              <w:right w:val="single" w:color="auto" w:sz="10" w:space="0"/>
              <w:insideV w:val="single" w:sz="10" w:space="0"/>
            </w:tcBorders>
            <w:vAlign w:val="center"/>
          </w:tcPr>
          <w:p w14:paraId="6452B734">
            <w:pPr>
              <w:jc w:val="center"/>
            </w:pPr>
            <w:r>
              <w:rPr>
                <w:rFonts w:ascii="宋体" w:hAnsi="宋体" w:eastAsia="宋体"/>
                <w:sz w:val="16"/>
              </w:rPr>
              <w:t>6</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49BD1F27">
            <w:pPr>
              <w:jc w:val="center"/>
            </w:pPr>
            <w:r>
              <w:rPr>
                <w:rFonts w:ascii="宋体" w:hAnsi="宋体" w:eastAsia="宋体"/>
                <w:sz w:val="16"/>
              </w:rPr>
              <w:t>按照完成比例赋分</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61385CC1">
            <w:pPr>
              <w:jc w:val="center"/>
            </w:pPr>
            <w:r>
              <w:rPr>
                <w:rFonts w:ascii="宋体" w:hAnsi="宋体" w:eastAsia="宋体"/>
                <w:sz w:val="16"/>
              </w:rPr>
              <w:t>原始凭证</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5D7C072A">
            <w:pPr>
              <w:jc w:val="center"/>
            </w:pPr>
            <w:r>
              <w:rPr>
                <w:rFonts w:ascii="宋体" w:hAnsi="宋体" w:eastAsia="宋体"/>
                <w:sz w:val="16"/>
              </w:rPr>
              <w:t>=100%</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06370487">
            <w:pPr>
              <w:jc w:val="center"/>
            </w:pPr>
            <w:r>
              <w:rPr>
                <w:rFonts w:ascii="宋体" w:hAnsi="宋体" w:eastAsia="宋体"/>
                <w:sz w:val="16"/>
              </w:rPr>
              <w:t>6</w:t>
            </w:r>
          </w:p>
        </w:tc>
        <w:tc>
          <w:tcPr>
            <w:tcW w:w="129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67111">
            <w:pPr>
              <w:jc w:val="center"/>
            </w:pPr>
          </w:p>
        </w:tc>
      </w:tr>
      <w:tr w14:paraId="3E312D34">
        <w:tblPrEx>
          <w:tblCellMar>
            <w:top w:w="0" w:type="dxa"/>
            <w:left w:w="108" w:type="dxa"/>
            <w:bottom w:w="0" w:type="dxa"/>
            <w:right w:w="108" w:type="dxa"/>
          </w:tblCellMar>
        </w:tblPrEx>
        <w:trPr>
          <w:trHeight w:val="573" w:hRule="atLeast"/>
        </w:trPr>
        <w:tc>
          <w:tcPr>
            <w:tcW w:w="646" w:type="dxa"/>
            <w:vMerge w:val="continue"/>
            <w:tcBorders>
              <w:top w:val="single" w:color="auto" w:sz="10" w:space="0"/>
              <w:left w:val="single" w:color="auto" w:sz="10" w:space="0"/>
              <w:bottom w:val="single" w:color="auto" w:sz="10" w:space="0"/>
              <w:right w:val="single" w:color="auto" w:sz="10" w:space="0"/>
              <w:insideV w:val="single" w:sz="10" w:space="0"/>
            </w:tcBorders>
          </w:tcPr>
          <w:p w14:paraId="2E3E7745"/>
        </w:tc>
        <w:tc>
          <w:tcPr>
            <w:tcW w:w="646" w:type="dxa"/>
            <w:vMerge w:val="continue"/>
            <w:tcBorders>
              <w:top w:val="single" w:color="auto" w:sz="10" w:space="0"/>
              <w:left w:val="single" w:color="auto" w:sz="10" w:space="0"/>
              <w:bottom w:val="single" w:color="auto" w:sz="10" w:space="0"/>
              <w:right w:val="single" w:color="auto" w:sz="10" w:space="0"/>
              <w:insideV w:val="single" w:sz="10" w:space="0"/>
            </w:tcBorders>
          </w:tcPr>
          <w:p w14:paraId="10D53C43"/>
        </w:tc>
        <w:tc>
          <w:tcPr>
            <w:tcW w:w="646" w:type="dxa"/>
            <w:vMerge w:val="continue"/>
            <w:tcBorders>
              <w:top w:val="single" w:color="auto" w:sz="10" w:space="0"/>
              <w:left w:val="single" w:color="auto" w:sz="10" w:space="0"/>
              <w:bottom w:val="single" w:color="auto" w:sz="10" w:space="0"/>
              <w:right w:val="single" w:color="auto" w:sz="10" w:space="0"/>
              <w:insideV w:val="single" w:sz="10" w:space="0"/>
            </w:tcBorders>
          </w:tcPr>
          <w:p w14:paraId="515C2B23"/>
        </w:tc>
        <w:tc>
          <w:tcPr>
            <w:tcW w:w="711" w:type="dxa"/>
            <w:tcBorders>
              <w:top w:val="single" w:color="auto" w:sz="10" w:space="0"/>
              <w:left w:val="single" w:color="auto" w:sz="10" w:space="0"/>
              <w:bottom w:val="single" w:color="auto" w:sz="10" w:space="0"/>
              <w:right w:val="single" w:color="auto" w:sz="10" w:space="0"/>
              <w:insideV w:val="single" w:sz="10" w:space="0"/>
            </w:tcBorders>
            <w:vAlign w:val="center"/>
          </w:tcPr>
          <w:p w14:paraId="1E1F4C32">
            <w:pPr>
              <w:jc w:val="center"/>
            </w:pPr>
            <w:r>
              <w:rPr>
                <w:rFonts w:ascii="宋体" w:hAnsi="宋体" w:eastAsia="宋体"/>
                <w:sz w:val="16"/>
              </w:rPr>
              <w:t>项目完成时间</w:t>
            </w:r>
          </w:p>
        </w:tc>
        <w:tc>
          <w:tcPr>
            <w:tcW w:w="712" w:type="dxa"/>
            <w:tcBorders>
              <w:top w:val="single" w:color="auto" w:sz="10" w:space="0"/>
              <w:left w:val="single" w:color="auto" w:sz="10" w:space="0"/>
              <w:bottom w:val="single" w:color="auto" w:sz="10" w:space="0"/>
              <w:right w:val="single" w:color="auto" w:sz="10" w:space="0"/>
              <w:insideV w:val="single" w:sz="10" w:space="0"/>
            </w:tcBorders>
            <w:vAlign w:val="center"/>
          </w:tcPr>
          <w:p w14:paraId="3332CAF2">
            <w:pPr>
              <w:jc w:val="center"/>
            </w:pPr>
            <w:r>
              <w:rPr>
                <w:rFonts w:ascii="宋体" w:hAnsi="宋体" w:eastAsia="宋体"/>
                <w:sz w:val="16"/>
              </w:rPr>
              <w:t>2024年12月31日</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7D1E3834">
            <w:pPr>
              <w:jc w:val="center"/>
            </w:pPr>
            <w:r>
              <w:rPr>
                <w:rFonts w:ascii="宋体" w:hAnsi="宋体" w:eastAsia="宋体"/>
                <w:sz w:val="16"/>
              </w:rPr>
              <w:t>计划标准</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26BD6C6E">
            <w:pPr>
              <w:jc w:val="center"/>
            </w:pPr>
            <w:r>
              <w:rPr>
                <w:rFonts w:ascii="宋体" w:hAnsi="宋体" w:eastAsia="宋体"/>
                <w:sz w:val="16"/>
              </w:rPr>
              <w:t>新增</w:t>
            </w:r>
          </w:p>
        </w:tc>
        <w:tc>
          <w:tcPr>
            <w:tcW w:w="648" w:type="dxa"/>
            <w:tcBorders>
              <w:top w:val="single" w:color="auto" w:sz="10" w:space="0"/>
              <w:left w:val="single" w:color="auto" w:sz="10" w:space="0"/>
              <w:bottom w:val="single" w:color="auto" w:sz="10" w:space="0"/>
              <w:right w:val="single" w:color="auto" w:sz="10" w:space="0"/>
              <w:insideV w:val="single" w:sz="10" w:space="0"/>
            </w:tcBorders>
            <w:vAlign w:val="center"/>
          </w:tcPr>
          <w:p w14:paraId="06173C4D">
            <w:pPr>
              <w:jc w:val="center"/>
            </w:pPr>
            <w:r>
              <w:rPr>
                <w:rFonts w:ascii="宋体" w:hAnsi="宋体" w:eastAsia="宋体"/>
                <w:sz w:val="16"/>
              </w:rPr>
              <w:t>4</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3410A1D9">
            <w:pPr>
              <w:jc w:val="center"/>
            </w:pPr>
            <w:r>
              <w:rPr>
                <w:rFonts w:ascii="宋体" w:hAnsi="宋体" w:eastAsia="宋体"/>
                <w:sz w:val="16"/>
              </w:rPr>
              <w:t>按照完成比例赋分</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45859CBE">
            <w:pPr>
              <w:jc w:val="center"/>
            </w:pPr>
            <w:r>
              <w:rPr>
                <w:rFonts w:ascii="宋体" w:hAnsi="宋体" w:eastAsia="宋体"/>
                <w:sz w:val="16"/>
              </w:rPr>
              <w:t>工作资料</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31820B4A">
            <w:pPr>
              <w:jc w:val="center"/>
            </w:pPr>
            <w:r>
              <w:rPr>
                <w:rFonts w:ascii="宋体" w:hAnsi="宋体" w:eastAsia="宋体"/>
                <w:sz w:val="16"/>
              </w:rPr>
              <w:t>=2024年12月31日</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2113EB06">
            <w:pPr>
              <w:jc w:val="center"/>
            </w:pPr>
            <w:r>
              <w:rPr>
                <w:rFonts w:ascii="宋体" w:hAnsi="宋体" w:eastAsia="宋体"/>
                <w:sz w:val="16"/>
              </w:rPr>
              <w:t>4</w:t>
            </w:r>
          </w:p>
        </w:tc>
        <w:tc>
          <w:tcPr>
            <w:tcW w:w="129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D0A275">
            <w:pPr>
              <w:jc w:val="center"/>
            </w:pPr>
          </w:p>
        </w:tc>
      </w:tr>
      <w:tr w14:paraId="14D165A1">
        <w:tblPrEx>
          <w:tblCellMar>
            <w:top w:w="0" w:type="dxa"/>
            <w:left w:w="108" w:type="dxa"/>
            <w:bottom w:w="0" w:type="dxa"/>
            <w:right w:w="108" w:type="dxa"/>
          </w:tblCellMar>
        </w:tblPrEx>
        <w:trPr>
          <w:trHeight w:val="853" w:hRule="atLeast"/>
        </w:trPr>
        <w:tc>
          <w:tcPr>
            <w:tcW w:w="646" w:type="dxa"/>
            <w:vMerge w:val="continue"/>
            <w:tcBorders>
              <w:top w:val="single" w:color="auto" w:sz="10" w:space="0"/>
              <w:left w:val="single" w:color="auto" w:sz="10" w:space="0"/>
              <w:bottom w:val="single" w:color="auto" w:sz="10" w:space="0"/>
              <w:right w:val="single" w:color="auto" w:sz="10" w:space="0"/>
              <w:insideV w:val="single" w:sz="10" w:space="0"/>
            </w:tcBorders>
          </w:tcPr>
          <w:p w14:paraId="4DF61AD7"/>
        </w:tc>
        <w:tc>
          <w:tcPr>
            <w:tcW w:w="64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BC7A77">
            <w:pPr>
              <w:jc w:val="center"/>
            </w:pPr>
            <w:r>
              <w:rPr>
                <w:rFonts w:ascii="宋体" w:hAnsi="宋体" w:eastAsia="宋体"/>
                <w:sz w:val="16"/>
              </w:rPr>
              <w:t>成本指标</w:t>
            </w:r>
          </w:p>
        </w:tc>
        <w:tc>
          <w:tcPr>
            <w:tcW w:w="64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6CD6BB">
            <w:pPr>
              <w:jc w:val="center"/>
            </w:pPr>
            <w:r>
              <w:rPr>
                <w:rFonts w:ascii="宋体" w:hAnsi="宋体" w:eastAsia="宋体"/>
                <w:sz w:val="16"/>
              </w:rPr>
              <w:t>经济成本指标</w:t>
            </w:r>
          </w:p>
        </w:tc>
        <w:tc>
          <w:tcPr>
            <w:tcW w:w="711" w:type="dxa"/>
            <w:tcBorders>
              <w:top w:val="single" w:color="auto" w:sz="10" w:space="0"/>
              <w:left w:val="single" w:color="auto" w:sz="10" w:space="0"/>
              <w:bottom w:val="single" w:color="auto" w:sz="10" w:space="0"/>
              <w:right w:val="single" w:color="auto" w:sz="10" w:space="0"/>
              <w:insideV w:val="single" w:sz="10" w:space="0"/>
            </w:tcBorders>
            <w:vAlign w:val="center"/>
          </w:tcPr>
          <w:p w14:paraId="38ADA585">
            <w:pPr>
              <w:jc w:val="center"/>
            </w:pPr>
            <w:r>
              <w:rPr>
                <w:rFonts w:ascii="宋体" w:hAnsi="宋体" w:eastAsia="宋体"/>
                <w:sz w:val="16"/>
              </w:rPr>
              <w:t>食品安全标准跟踪评价成本（万元）</w:t>
            </w:r>
          </w:p>
        </w:tc>
        <w:tc>
          <w:tcPr>
            <w:tcW w:w="712" w:type="dxa"/>
            <w:tcBorders>
              <w:top w:val="single" w:color="auto" w:sz="10" w:space="0"/>
              <w:left w:val="single" w:color="auto" w:sz="10" w:space="0"/>
              <w:bottom w:val="single" w:color="auto" w:sz="10" w:space="0"/>
              <w:right w:val="single" w:color="auto" w:sz="10" w:space="0"/>
              <w:insideV w:val="single" w:sz="10" w:space="0"/>
            </w:tcBorders>
            <w:vAlign w:val="center"/>
          </w:tcPr>
          <w:p w14:paraId="5D8DBF8A">
            <w:pPr>
              <w:jc w:val="center"/>
            </w:pPr>
            <w:r>
              <w:rPr>
                <w:rFonts w:ascii="宋体" w:hAnsi="宋体" w:eastAsia="宋体"/>
                <w:sz w:val="16"/>
              </w:rPr>
              <w:t>&lt;=0.60万元</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1424DFB9">
            <w:pPr>
              <w:jc w:val="center"/>
            </w:pPr>
            <w:r>
              <w:rPr>
                <w:rFonts w:ascii="宋体" w:hAnsi="宋体" w:eastAsia="宋体"/>
                <w:sz w:val="16"/>
              </w:rPr>
              <w:t>预算支出标准</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7317D80D">
            <w:pPr>
              <w:jc w:val="center"/>
            </w:pPr>
            <w:r>
              <w:rPr>
                <w:rFonts w:ascii="宋体" w:hAnsi="宋体" w:eastAsia="宋体"/>
                <w:sz w:val="16"/>
              </w:rPr>
              <w:t>新增</w:t>
            </w:r>
          </w:p>
        </w:tc>
        <w:tc>
          <w:tcPr>
            <w:tcW w:w="648" w:type="dxa"/>
            <w:tcBorders>
              <w:top w:val="single" w:color="auto" w:sz="10" w:space="0"/>
              <w:left w:val="single" w:color="auto" w:sz="10" w:space="0"/>
              <w:bottom w:val="single" w:color="auto" w:sz="10" w:space="0"/>
              <w:right w:val="single" w:color="auto" w:sz="10" w:space="0"/>
              <w:insideV w:val="single" w:sz="10" w:space="0"/>
            </w:tcBorders>
            <w:vAlign w:val="center"/>
          </w:tcPr>
          <w:p w14:paraId="4B28B279">
            <w:pPr>
              <w:jc w:val="center"/>
            </w:pPr>
            <w:r>
              <w:rPr>
                <w:rFonts w:ascii="宋体" w:hAnsi="宋体" w:eastAsia="宋体"/>
                <w:sz w:val="16"/>
              </w:rPr>
              <w:t>10</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78FAC93D">
            <w:pPr>
              <w:jc w:val="center"/>
            </w:pPr>
            <w:r>
              <w:rPr>
                <w:rFonts w:ascii="宋体" w:hAnsi="宋体" w:eastAsia="宋体"/>
                <w:sz w:val="16"/>
              </w:rPr>
              <w:t>按照完成比例赋分</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16EF8634">
            <w:pPr>
              <w:jc w:val="center"/>
            </w:pPr>
            <w:r>
              <w:rPr>
                <w:rFonts w:ascii="宋体" w:hAnsi="宋体" w:eastAsia="宋体"/>
                <w:sz w:val="16"/>
              </w:rPr>
              <w:t>原始凭证</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4D3DC7E8">
            <w:pPr>
              <w:jc w:val="center"/>
            </w:pPr>
            <w:r>
              <w:rPr>
                <w:rFonts w:ascii="宋体" w:hAnsi="宋体" w:eastAsia="宋体"/>
                <w:sz w:val="16"/>
              </w:rPr>
              <w:t>=0.6万元</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3CAC7824">
            <w:pPr>
              <w:jc w:val="center"/>
            </w:pPr>
            <w:r>
              <w:rPr>
                <w:rFonts w:ascii="宋体" w:hAnsi="宋体" w:eastAsia="宋体"/>
                <w:sz w:val="16"/>
              </w:rPr>
              <w:t>10</w:t>
            </w:r>
          </w:p>
        </w:tc>
        <w:tc>
          <w:tcPr>
            <w:tcW w:w="129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C8BEF4">
            <w:pPr>
              <w:jc w:val="center"/>
            </w:pPr>
          </w:p>
        </w:tc>
      </w:tr>
      <w:tr w14:paraId="17C185FF">
        <w:tblPrEx>
          <w:tblCellMar>
            <w:top w:w="0" w:type="dxa"/>
            <w:left w:w="108" w:type="dxa"/>
            <w:bottom w:w="0" w:type="dxa"/>
            <w:right w:w="108" w:type="dxa"/>
          </w:tblCellMar>
        </w:tblPrEx>
        <w:trPr>
          <w:trHeight w:val="573" w:hRule="atLeast"/>
        </w:trPr>
        <w:tc>
          <w:tcPr>
            <w:tcW w:w="646" w:type="dxa"/>
            <w:vMerge w:val="continue"/>
            <w:tcBorders>
              <w:top w:val="single" w:color="auto" w:sz="10" w:space="0"/>
              <w:left w:val="single" w:color="auto" w:sz="10" w:space="0"/>
              <w:bottom w:val="single" w:color="auto" w:sz="10" w:space="0"/>
              <w:right w:val="single" w:color="auto" w:sz="10" w:space="0"/>
              <w:insideV w:val="single" w:sz="10" w:space="0"/>
            </w:tcBorders>
          </w:tcPr>
          <w:p w14:paraId="0AFAA4A8"/>
        </w:tc>
        <w:tc>
          <w:tcPr>
            <w:tcW w:w="646" w:type="dxa"/>
            <w:vMerge w:val="continue"/>
            <w:tcBorders>
              <w:top w:val="single" w:color="auto" w:sz="10" w:space="0"/>
              <w:left w:val="single" w:color="auto" w:sz="10" w:space="0"/>
              <w:bottom w:val="single" w:color="auto" w:sz="10" w:space="0"/>
              <w:right w:val="single" w:color="auto" w:sz="10" w:space="0"/>
              <w:insideV w:val="single" w:sz="10" w:space="0"/>
            </w:tcBorders>
          </w:tcPr>
          <w:p w14:paraId="62076741"/>
        </w:tc>
        <w:tc>
          <w:tcPr>
            <w:tcW w:w="646" w:type="dxa"/>
            <w:vMerge w:val="continue"/>
            <w:tcBorders>
              <w:top w:val="single" w:color="auto" w:sz="10" w:space="0"/>
              <w:left w:val="single" w:color="auto" w:sz="10" w:space="0"/>
              <w:bottom w:val="single" w:color="auto" w:sz="10" w:space="0"/>
              <w:right w:val="single" w:color="auto" w:sz="10" w:space="0"/>
              <w:insideV w:val="single" w:sz="10" w:space="0"/>
            </w:tcBorders>
          </w:tcPr>
          <w:p w14:paraId="42A52CAF"/>
        </w:tc>
        <w:tc>
          <w:tcPr>
            <w:tcW w:w="711" w:type="dxa"/>
            <w:tcBorders>
              <w:top w:val="single" w:color="auto" w:sz="10" w:space="0"/>
              <w:left w:val="single" w:color="auto" w:sz="10" w:space="0"/>
              <w:bottom w:val="single" w:color="auto" w:sz="10" w:space="0"/>
              <w:right w:val="single" w:color="auto" w:sz="10" w:space="0"/>
              <w:insideV w:val="single" w:sz="10" w:space="0"/>
            </w:tcBorders>
            <w:vAlign w:val="center"/>
          </w:tcPr>
          <w:p w14:paraId="5806BDC8">
            <w:pPr>
              <w:jc w:val="center"/>
            </w:pPr>
            <w:r>
              <w:rPr>
                <w:rFonts w:ascii="宋体" w:hAnsi="宋体" w:eastAsia="宋体"/>
                <w:sz w:val="16"/>
              </w:rPr>
              <w:t>预算控制率（%）</w:t>
            </w:r>
          </w:p>
        </w:tc>
        <w:tc>
          <w:tcPr>
            <w:tcW w:w="712" w:type="dxa"/>
            <w:tcBorders>
              <w:top w:val="single" w:color="auto" w:sz="10" w:space="0"/>
              <w:left w:val="single" w:color="auto" w:sz="10" w:space="0"/>
              <w:bottom w:val="single" w:color="auto" w:sz="10" w:space="0"/>
              <w:right w:val="single" w:color="auto" w:sz="10" w:space="0"/>
              <w:insideV w:val="single" w:sz="10" w:space="0"/>
            </w:tcBorders>
            <w:vAlign w:val="center"/>
          </w:tcPr>
          <w:p w14:paraId="4B4A1DA3">
            <w:pPr>
              <w:jc w:val="center"/>
            </w:pPr>
            <w:r>
              <w:rPr>
                <w:rFonts w:ascii="宋体" w:hAnsi="宋体" w:eastAsia="宋体"/>
                <w:sz w:val="16"/>
              </w:rPr>
              <w:t>=100%</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69DF6B3C">
            <w:pPr>
              <w:jc w:val="center"/>
            </w:pPr>
            <w:r>
              <w:rPr>
                <w:rFonts w:ascii="宋体" w:hAnsi="宋体" w:eastAsia="宋体"/>
                <w:sz w:val="16"/>
              </w:rPr>
              <w:t>预算支出标准</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65F00580">
            <w:pPr>
              <w:jc w:val="center"/>
            </w:pPr>
            <w:r>
              <w:rPr>
                <w:rFonts w:ascii="宋体" w:hAnsi="宋体" w:eastAsia="宋体"/>
                <w:sz w:val="16"/>
              </w:rPr>
              <w:t>新增</w:t>
            </w:r>
          </w:p>
        </w:tc>
        <w:tc>
          <w:tcPr>
            <w:tcW w:w="648" w:type="dxa"/>
            <w:tcBorders>
              <w:top w:val="single" w:color="auto" w:sz="10" w:space="0"/>
              <w:left w:val="single" w:color="auto" w:sz="10" w:space="0"/>
              <w:bottom w:val="single" w:color="auto" w:sz="10" w:space="0"/>
              <w:right w:val="single" w:color="auto" w:sz="10" w:space="0"/>
              <w:insideV w:val="single" w:sz="10" w:space="0"/>
            </w:tcBorders>
            <w:vAlign w:val="center"/>
          </w:tcPr>
          <w:p w14:paraId="041BD3E9">
            <w:pPr>
              <w:jc w:val="center"/>
            </w:pPr>
            <w:r>
              <w:rPr>
                <w:rFonts w:ascii="宋体" w:hAnsi="宋体" w:eastAsia="宋体"/>
                <w:sz w:val="16"/>
              </w:rPr>
              <w:t>10</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10AF6616">
            <w:pPr>
              <w:jc w:val="center"/>
            </w:pPr>
            <w:r>
              <w:rPr>
                <w:rFonts w:ascii="宋体" w:hAnsi="宋体" w:eastAsia="宋体"/>
                <w:sz w:val="16"/>
              </w:rPr>
              <w:t>按照完成比例赋分</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265EF3BE">
            <w:pPr>
              <w:jc w:val="center"/>
            </w:pPr>
            <w:r>
              <w:rPr>
                <w:rFonts w:ascii="宋体" w:hAnsi="宋体" w:eastAsia="宋体"/>
                <w:sz w:val="16"/>
              </w:rPr>
              <w:t>工作资料</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57B7BBA6">
            <w:pPr>
              <w:jc w:val="center"/>
            </w:pPr>
            <w:r>
              <w:rPr>
                <w:rFonts w:ascii="宋体" w:hAnsi="宋体" w:eastAsia="宋体"/>
                <w:sz w:val="16"/>
              </w:rPr>
              <w:t>=100%</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4B3BC279">
            <w:pPr>
              <w:jc w:val="center"/>
            </w:pPr>
            <w:r>
              <w:rPr>
                <w:rFonts w:ascii="宋体" w:hAnsi="宋体" w:eastAsia="宋体"/>
                <w:sz w:val="16"/>
              </w:rPr>
              <w:t>10</w:t>
            </w:r>
          </w:p>
        </w:tc>
        <w:tc>
          <w:tcPr>
            <w:tcW w:w="129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B9FBE2">
            <w:pPr>
              <w:jc w:val="center"/>
            </w:pPr>
          </w:p>
        </w:tc>
      </w:tr>
      <w:tr w14:paraId="36E13030">
        <w:tblPrEx>
          <w:tblCellMar>
            <w:top w:w="0" w:type="dxa"/>
            <w:left w:w="108" w:type="dxa"/>
            <w:bottom w:w="0" w:type="dxa"/>
            <w:right w:w="108" w:type="dxa"/>
          </w:tblCellMar>
        </w:tblPrEx>
        <w:trPr>
          <w:trHeight w:val="853" w:hRule="atLeast"/>
        </w:trPr>
        <w:tc>
          <w:tcPr>
            <w:tcW w:w="646" w:type="dxa"/>
            <w:vMerge w:val="continue"/>
            <w:tcBorders>
              <w:top w:val="single" w:color="auto" w:sz="10" w:space="0"/>
              <w:left w:val="single" w:color="auto" w:sz="10" w:space="0"/>
              <w:bottom w:val="single" w:color="auto" w:sz="10" w:space="0"/>
              <w:right w:val="single" w:color="auto" w:sz="10" w:space="0"/>
              <w:insideV w:val="single" w:sz="10" w:space="0"/>
            </w:tcBorders>
          </w:tcPr>
          <w:p w14:paraId="3BB52B2E"/>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0892D946">
            <w:pPr>
              <w:jc w:val="center"/>
            </w:pPr>
            <w:r>
              <w:rPr>
                <w:rFonts w:ascii="宋体" w:hAnsi="宋体" w:eastAsia="宋体"/>
                <w:sz w:val="16"/>
              </w:rPr>
              <w:t>效益指标</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75EBD1B4">
            <w:pPr>
              <w:jc w:val="center"/>
            </w:pPr>
            <w:r>
              <w:rPr>
                <w:rFonts w:ascii="宋体" w:hAnsi="宋体" w:eastAsia="宋体"/>
                <w:sz w:val="16"/>
              </w:rPr>
              <w:t>社会效益指标</w:t>
            </w:r>
          </w:p>
        </w:tc>
        <w:tc>
          <w:tcPr>
            <w:tcW w:w="711" w:type="dxa"/>
            <w:tcBorders>
              <w:top w:val="single" w:color="auto" w:sz="10" w:space="0"/>
              <w:left w:val="single" w:color="auto" w:sz="10" w:space="0"/>
              <w:bottom w:val="single" w:color="auto" w:sz="10" w:space="0"/>
              <w:right w:val="single" w:color="auto" w:sz="10" w:space="0"/>
              <w:insideV w:val="single" w:sz="10" w:space="0"/>
            </w:tcBorders>
            <w:vAlign w:val="center"/>
          </w:tcPr>
          <w:p w14:paraId="23350FF5">
            <w:pPr>
              <w:jc w:val="center"/>
            </w:pPr>
            <w:r>
              <w:rPr>
                <w:rFonts w:ascii="宋体" w:hAnsi="宋体" w:eastAsia="宋体"/>
                <w:sz w:val="16"/>
              </w:rPr>
              <w:t>保障食品安全标准制定与执行的有效性</w:t>
            </w:r>
          </w:p>
        </w:tc>
        <w:tc>
          <w:tcPr>
            <w:tcW w:w="712" w:type="dxa"/>
            <w:tcBorders>
              <w:top w:val="single" w:color="auto" w:sz="10" w:space="0"/>
              <w:left w:val="single" w:color="auto" w:sz="10" w:space="0"/>
              <w:bottom w:val="single" w:color="auto" w:sz="10" w:space="0"/>
              <w:right w:val="single" w:color="auto" w:sz="10" w:space="0"/>
              <w:insideV w:val="single" w:sz="10" w:space="0"/>
            </w:tcBorders>
            <w:vAlign w:val="center"/>
          </w:tcPr>
          <w:p w14:paraId="7CE9930B">
            <w:pPr>
              <w:jc w:val="center"/>
            </w:pPr>
            <w:r>
              <w:rPr>
                <w:rFonts w:ascii="宋体" w:hAnsi="宋体" w:eastAsia="宋体"/>
                <w:sz w:val="16"/>
              </w:rPr>
              <w:t>有效保障</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7F31A62C">
            <w:pPr>
              <w:jc w:val="center"/>
            </w:pPr>
            <w:r>
              <w:rPr>
                <w:rFonts w:ascii="宋体" w:hAnsi="宋体" w:eastAsia="宋体"/>
                <w:sz w:val="16"/>
              </w:rPr>
              <w:t>计划标准</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3BF9DEEE">
            <w:pPr>
              <w:jc w:val="center"/>
            </w:pPr>
            <w:r>
              <w:rPr>
                <w:rFonts w:ascii="宋体" w:hAnsi="宋体" w:eastAsia="宋体"/>
                <w:sz w:val="16"/>
              </w:rPr>
              <w:t>新增</w:t>
            </w:r>
          </w:p>
        </w:tc>
        <w:tc>
          <w:tcPr>
            <w:tcW w:w="648" w:type="dxa"/>
            <w:tcBorders>
              <w:top w:val="single" w:color="auto" w:sz="10" w:space="0"/>
              <w:left w:val="single" w:color="auto" w:sz="10" w:space="0"/>
              <w:bottom w:val="single" w:color="auto" w:sz="10" w:space="0"/>
              <w:right w:val="single" w:color="auto" w:sz="10" w:space="0"/>
              <w:insideV w:val="single" w:sz="10" w:space="0"/>
            </w:tcBorders>
            <w:vAlign w:val="center"/>
          </w:tcPr>
          <w:p w14:paraId="568C9A4B">
            <w:pPr>
              <w:jc w:val="center"/>
            </w:pPr>
            <w:r>
              <w:rPr>
                <w:rFonts w:ascii="宋体" w:hAnsi="宋体" w:eastAsia="宋体"/>
                <w:sz w:val="16"/>
              </w:rPr>
              <w:t>20</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6DC24695">
            <w:pPr>
              <w:jc w:val="center"/>
            </w:pPr>
            <w:r>
              <w:rPr>
                <w:rFonts w:ascii="宋体" w:hAnsi="宋体" w:eastAsia="宋体"/>
                <w:sz w:val="16"/>
              </w:rPr>
              <w:t>按评判等级赋分</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659E3051">
            <w:pPr>
              <w:jc w:val="center"/>
            </w:pPr>
            <w:r>
              <w:rPr>
                <w:rFonts w:ascii="宋体" w:hAnsi="宋体" w:eastAsia="宋体"/>
                <w:sz w:val="16"/>
              </w:rPr>
              <w:t>工作资料</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6491741D">
            <w:pPr>
              <w:jc w:val="center"/>
            </w:pPr>
            <w:r>
              <w:rPr>
                <w:rFonts w:ascii="宋体" w:hAnsi="宋体" w:eastAsia="宋体"/>
                <w:sz w:val="16"/>
              </w:rPr>
              <w:t>与预期目标值保持一致</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1BCA0065">
            <w:pPr>
              <w:jc w:val="center"/>
            </w:pPr>
            <w:r>
              <w:rPr>
                <w:rFonts w:ascii="宋体" w:hAnsi="宋体" w:eastAsia="宋体"/>
                <w:sz w:val="16"/>
              </w:rPr>
              <w:t>20</w:t>
            </w:r>
          </w:p>
        </w:tc>
        <w:tc>
          <w:tcPr>
            <w:tcW w:w="129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BD41C8">
            <w:pPr>
              <w:jc w:val="center"/>
            </w:pPr>
          </w:p>
        </w:tc>
      </w:tr>
      <w:tr w14:paraId="2552A95C">
        <w:tblPrEx>
          <w:tblCellMar>
            <w:top w:w="0" w:type="dxa"/>
            <w:left w:w="108" w:type="dxa"/>
            <w:bottom w:w="0" w:type="dxa"/>
            <w:right w:w="108" w:type="dxa"/>
          </w:tblCellMar>
        </w:tblPrEx>
        <w:trPr>
          <w:trHeight w:val="713" w:hRule="atLeast"/>
        </w:trPr>
        <w:tc>
          <w:tcPr>
            <w:tcW w:w="646" w:type="dxa"/>
            <w:vMerge w:val="continue"/>
            <w:tcBorders>
              <w:top w:val="single" w:color="auto" w:sz="10" w:space="0"/>
              <w:left w:val="single" w:color="auto" w:sz="10" w:space="0"/>
              <w:bottom w:val="single" w:color="auto" w:sz="10" w:space="0"/>
              <w:right w:val="single" w:color="auto" w:sz="10" w:space="0"/>
              <w:insideV w:val="single" w:sz="10" w:space="0"/>
            </w:tcBorders>
          </w:tcPr>
          <w:p w14:paraId="34D5E228"/>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295D1C64">
            <w:pPr>
              <w:jc w:val="center"/>
            </w:pPr>
            <w:r>
              <w:rPr>
                <w:rFonts w:ascii="宋体" w:hAnsi="宋体" w:eastAsia="宋体"/>
                <w:sz w:val="16"/>
              </w:rPr>
              <w:t>满意度指标</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19B848B4">
            <w:pPr>
              <w:jc w:val="center"/>
            </w:pPr>
            <w:r>
              <w:rPr>
                <w:rFonts w:ascii="宋体" w:hAnsi="宋体" w:eastAsia="宋体"/>
                <w:sz w:val="16"/>
              </w:rPr>
              <w:t>满意度指标</w:t>
            </w:r>
          </w:p>
        </w:tc>
        <w:tc>
          <w:tcPr>
            <w:tcW w:w="711" w:type="dxa"/>
            <w:tcBorders>
              <w:top w:val="single" w:color="auto" w:sz="10" w:space="0"/>
              <w:left w:val="single" w:color="auto" w:sz="10" w:space="0"/>
              <w:bottom w:val="single" w:color="auto" w:sz="10" w:space="0"/>
              <w:right w:val="single" w:color="auto" w:sz="10" w:space="0"/>
              <w:insideV w:val="single" w:sz="10" w:space="0"/>
            </w:tcBorders>
            <w:vAlign w:val="center"/>
          </w:tcPr>
          <w:p w14:paraId="27DF631B">
            <w:pPr>
              <w:jc w:val="center"/>
            </w:pPr>
            <w:r>
              <w:rPr>
                <w:rFonts w:ascii="宋体" w:hAnsi="宋体" w:eastAsia="宋体"/>
                <w:sz w:val="16"/>
              </w:rPr>
              <w:t>食品安全标准</w:t>
            </w:r>
            <w:r>
              <w:rPr>
                <w:rFonts w:hint="eastAsia" w:ascii="宋体" w:hAnsi="宋体"/>
                <w:sz w:val="16"/>
                <w:lang w:eastAsia="zh-CN"/>
              </w:rPr>
              <w:t>跟踪</w:t>
            </w:r>
            <w:r>
              <w:rPr>
                <w:rFonts w:ascii="宋体" w:hAnsi="宋体" w:eastAsia="宋体"/>
                <w:sz w:val="16"/>
              </w:rPr>
              <w:t>企业满意度（%）</w:t>
            </w:r>
          </w:p>
        </w:tc>
        <w:tc>
          <w:tcPr>
            <w:tcW w:w="712" w:type="dxa"/>
            <w:tcBorders>
              <w:top w:val="single" w:color="auto" w:sz="10" w:space="0"/>
              <w:left w:val="single" w:color="auto" w:sz="10" w:space="0"/>
              <w:bottom w:val="single" w:color="auto" w:sz="10" w:space="0"/>
              <w:right w:val="single" w:color="auto" w:sz="10" w:space="0"/>
              <w:insideV w:val="single" w:sz="10" w:space="0"/>
            </w:tcBorders>
            <w:vAlign w:val="center"/>
          </w:tcPr>
          <w:p w14:paraId="59F68B54">
            <w:pPr>
              <w:jc w:val="center"/>
            </w:pPr>
            <w:r>
              <w:rPr>
                <w:rFonts w:ascii="宋体" w:hAnsi="宋体" w:eastAsia="宋体"/>
                <w:sz w:val="16"/>
              </w:rPr>
              <w:t>&gt;=95%</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5D69B081">
            <w:pPr>
              <w:jc w:val="center"/>
            </w:pPr>
            <w:r>
              <w:rPr>
                <w:rFonts w:ascii="宋体" w:hAnsi="宋体" w:eastAsia="宋体"/>
                <w:sz w:val="16"/>
              </w:rPr>
              <w:t>计划标准</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365D2E04">
            <w:pPr>
              <w:jc w:val="center"/>
            </w:pPr>
            <w:r>
              <w:rPr>
                <w:rFonts w:ascii="宋体" w:hAnsi="宋体" w:eastAsia="宋体"/>
                <w:sz w:val="16"/>
              </w:rPr>
              <w:t>新增</w:t>
            </w:r>
          </w:p>
        </w:tc>
        <w:tc>
          <w:tcPr>
            <w:tcW w:w="648" w:type="dxa"/>
            <w:tcBorders>
              <w:top w:val="single" w:color="auto" w:sz="10" w:space="0"/>
              <w:left w:val="single" w:color="auto" w:sz="10" w:space="0"/>
              <w:bottom w:val="single" w:color="auto" w:sz="10" w:space="0"/>
              <w:right w:val="single" w:color="auto" w:sz="10" w:space="0"/>
              <w:insideV w:val="single" w:sz="10" w:space="0"/>
            </w:tcBorders>
            <w:vAlign w:val="center"/>
          </w:tcPr>
          <w:p w14:paraId="5BF73DAC">
            <w:pPr>
              <w:jc w:val="center"/>
            </w:pPr>
            <w:r>
              <w:rPr>
                <w:rFonts w:ascii="宋体" w:hAnsi="宋体" w:eastAsia="宋体"/>
                <w:sz w:val="16"/>
              </w:rPr>
              <w:t>10</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12C603D1">
            <w:pPr>
              <w:jc w:val="center"/>
            </w:pPr>
            <w:r>
              <w:rPr>
                <w:rFonts w:ascii="宋体" w:hAnsi="宋体" w:eastAsia="宋体"/>
                <w:sz w:val="16"/>
              </w:rPr>
              <w:t>满意度赋分</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0EE0C3A9">
            <w:pPr>
              <w:jc w:val="center"/>
            </w:pPr>
            <w:r>
              <w:rPr>
                <w:rFonts w:ascii="宋体" w:hAnsi="宋体" w:eastAsia="宋体"/>
                <w:sz w:val="16"/>
              </w:rPr>
              <w:t>工作资料</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02A6E3C7">
            <w:pPr>
              <w:jc w:val="center"/>
            </w:pPr>
            <w:r>
              <w:rPr>
                <w:rFonts w:ascii="宋体" w:hAnsi="宋体" w:eastAsia="宋体"/>
                <w:sz w:val="16"/>
              </w:rPr>
              <w:t>=95%</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0C5958F4">
            <w:pPr>
              <w:jc w:val="center"/>
            </w:pPr>
            <w:r>
              <w:rPr>
                <w:rFonts w:ascii="宋体" w:hAnsi="宋体" w:eastAsia="宋体"/>
                <w:sz w:val="16"/>
              </w:rPr>
              <w:t>10</w:t>
            </w:r>
          </w:p>
        </w:tc>
        <w:tc>
          <w:tcPr>
            <w:tcW w:w="129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81290D">
            <w:pPr>
              <w:jc w:val="center"/>
            </w:pPr>
          </w:p>
        </w:tc>
      </w:tr>
      <w:tr w14:paraId="6A56F66B">
        <w:tblPrEx>
          <w:tblCellMar>
            <w:top w:w="0" w:type="dxa"/>
            <w:left w:w="108" w:type="dxa"/>
            <w:bottom w:w="0" w:type="dxa"/>
            <w:right w:w="108" w:type="dxa"/>
          </w:tblCellMar>
        </w:tblPrEx>
        <w:trPr>
          <w:trHeight w:val="303" w:hRule="atLeast"/>
        </w:trPr>
        <w:tc>
          <w:tcPr>
            <w:tcW w:w="4653"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9987B2">
            <w:pPr>
              <w:jc w:val="center"/>
            </w:pPr>
            <w:r>
              <w:rPr>
                <w:rFonts w:ascii="宋体" w:hAnsi="宋体" w:eastAsia="宋体"/>
                <w:sz w:val="16"/>
              </w:rPr>
              <w:t>总分</w:t>
            </w:r>
          </w:p>
        </w:tc>
        <w:tc>
          <w:tcPr>
            <w:tcW w:w="648" w:type="dxa"/>
            <w:tcBorders>
              <w:top w:val="single" w:color="auto" w:sz="10" w:space="0"/>
              <w:left w:val="single" w:color="auto" w:sz="10" w:space="0"/>
              <w:bottom w:val="single" w:color="auto" w:sz="10" w:space="0"/>
              <w:right w:val="single" w:color="auto" w:sz="10" w:space="0"/>
              <w:insideV w:val="single" w:sz="10" w:space="0"/>
            </w:tcBorders>
            <w:vAlign w:val="center"/>
          </w:tcPr>
          <w:p w14:paraId="012ABD92">
            <w:pPr>
              <w:jc w:val="center"/>
            </w:pPr>
            <w:r>
              <w:rPr>
                <w:rFonts w:ascii="宋体" w:hAnsi="宋体" w:eastAsia="宋体"/>
                <w:sz w:val="16"/>
              </w:rPr>
              <w:t>100</w:t>
            </w:r>
          </w:p>
        </w:tc>
        <w:tc>
          <w:tcPr>
            <w:tcW w:w="1938" w:type="dxa"/>
            <w:gridSpan w:val="3"/>
            <w:tcBorders>
              <w:top w:val="single" w:color="auto" w:sz="10" w:space="0"/>
              <w:left w:val="single" w:color="auto" w:sz="10" w:space="0"/>
              <w:bottom w:val="single" w:color="auto" w:sz="10" w:space="0"/>
              <w:right w:val="single" w:color="auto" w:sz="10" w:space="0"/>
              <w:insideV w:val="single" w:sz="10" w:space="0"/>
            </w:tcBorders>
          </w:tcPr>
          <w:p w14:paraId="7B9D1159"/>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30976F3E">
            <w:pPr>
              <w:jc w:val="center"/>
            </w:pPr>
            <w:r>
              <w:rPr>
                <w:rFonts w:ascii="宋体" w:hAnsi="宋体" w:eastAsia="宋体"/>
                <w:sz w:val="16"/>
              </w:rPr>
              <w:t>100分</w:t>
            </w:r>
          </w:p>
        </w:tc>
        <w:tc>
          <w:tcPr>
            <w:tcW w:w="1295" w:type="dxa"/>
            <w:gridSpan w:val="2"/>
            <w:tcBorders>
              <w:top w:val="single" w:color="auto" w:sz="10" w:space="0"/>
              <w:left w:val="single" w:color="auto" w:sz="10" w:space="0"/>
              <w:bottom w:val="single" w:color="auto" w:sz="10" w:space="0"/>
              <w:right w:val="single" w:color="auto" w:sz="10" w:space="0"/>
              <w:insideV w:val="single" w:sz="10" w:space="0"/>
            </w:tcBorders>
          </w:tcPr>
          <w:p w14:paraId="2617C7ED"/>
        </w:tc>
      </w:tr>
    </w:tbl>
    <w:p w14:paraId="1A48457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75C58A00">
        <w:tblPrEx>
          <w:tblCellMar>
            <w:top w:w="0" w:type="dxa"/>
            <w:left w:w="108" w:type="dxa"/>
            <w:bottom w:w="0" w:type="dxa"/>
            <w:right w:w="108" w:type="dxa"/>
          </w:tblCellMar>
        </w:tblPrEx>
        <w:tc>
          <w:tcPr>
            <w:tcW w:w="8848" w:type="dxa"/>
            <w:gridSpan w:val="14"/>
            <w:vAlign w:val="center"/>
          </w:tcPr>
          <w:p w14:paraId="7BA07469">
            <w:pPr>
              <w:jc w:val="center"/>
            </w:pPr>
            <w:r>
              <w:rPr>
                <w:rFonts w:ascii="宋体" w:hAnsi="宋体" w:eastAsia="宋体"/>
                <w:sz w:val="24"/>
              </w:rPr>
              <w:t>项目支出绩效自评表</w:t>
            </w:r>
          </w:p>
        </w:tc>
      </w:tr>
      <w:tr w14:paraId="6C3CA113">
        <w:tblPrEx>
          <w:tblCellMar>
            <w:top w:w="0" w:type="dxa"/>
            <w:left w:w="108" w:type="dxa"/>
            <w:bottom w:w="0" w:type="dxa"/>
            <w:right w:w="108" w:type="dxa"/>
          </w:tblCellMar>
        </w:tblPrEx>
        <w:tc>
          <w:tcPr>
            <w:tcW w:w="8848" w:type="dxa"/>
            <w:gridSpan w:val="14"/>
            <w:vAlign w:val="center"/>
          </w:tcPr>
          <w:p w14:paraId="173F0C95">
            <w:pPr>
              <w:jc w:val="center"/>
            </w:pPr>
            <w:r>
              <w:rPr>
                <w:rFonts w:ascii="宋体" w:hAnsi="宋体" w:eastAsia="宋体"/>
                <w:sz w:val="24"/>
              </w:rPr>
              <w:t>(2024年度)</w:t>
            </w:r>
          </w:p>
        </w:tc>
      </w:tr>
      <w:tr w14:paraId="3D44A0B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2832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87F724C">
            <w:pPr>
              <w:jc w:val="center"/>
            </w:pPr>
            <w:r>
              <w:rPr>
                <w:rFonts w:ascii="宋体" w:hAnsi="宋体" w:eastAsia="宋体"/>
                <w:sz w:val="16"/>
              </w:rPr>
              <w:t>2024年疏附县卫生健康委员会单位资金项目</w:t>
            </w:r>
          </w:p>
        </w:tc>
      </w:tr>
      <w:tr w14:paraId="2FD094C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B776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81B793">
            <w:pPr>
              <w:jc w:val="center"/>
            </w:pPr>
            <w:r>
              <w:rPr>
                <w:rFonts w:ascii="宋体" w:hAnsi="宋体" w:eastAsia="宋体"/>
                <w:sz w:val="16"/>
              </w:rPr>
              <w:t>新疆维吾尔自治区卫生厅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752A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81CAADB">
            <w:pPr>
              <w:jc w:val="center"/>
            </w:pPr>
            <w:r>
              <w:rPr>
                <w:rFonts w:ascii="宋体" w:hAnsi="宋体" w:eastAsia="宋体"/>
                <w:sz w:val="16"/>
              </w:rPr>
              <w:t>疏附县卫生健康服务站</w:t>
            </w:r>
          </w:p>
        </w:tc>
      </w:tr>
      <w:tr w14:paraId="00D0BD6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BBE4F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2A95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8E9B4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50BF9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28981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FDEC3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82EF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ED490">
            <w:pPr>
              <w:jc w:val="center"/>
            </w:pPr>
            <w:r>
              <w:rPr>
                <w:rFonts w:ascii="宋体" w:hAnsi="宋体" w:eastAsia="宋体"/>
                <w:sz w:val="16"/>
              </w:rPr>
              <w:t>得分</w:t>
            </w:r>
          </w:p>
        </w:tc>
      </w:tr>
      <w:tr w14:paraId="072B86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64CDE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21F70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26C435">
            <w:pPr>
              <w:jc w:val="center"/>
            </w:pPr>
            <w:r>
              <w:rPr>
                <w:rFonts w:ascii="宋体" w:hAnsi="宋体" w:eastAsia="宋体"/>
                <w:sz w:val="16"/>
              </w:rPr>
              <w:t>14.86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189368">
            <w:pPr>
              <w:jc w:val="center"/>
            </w:pPr>
            <w:r>
              <w:rPr>
                <w:rFonts w:ascii="宋体" w:hAnsi="宋体" w:eastAsia="宋体"/>
                <w:sz w:val="16"/>
              </w:rPr>
              <w:t>14.86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5133DB">
            <w:pPr>
              <w:jc w:val="center"/>
            </w:pPr>
            <w:r>
              <w:rPr>
                <w:rFonts w:ascii="宋体" w:hAnsi="宋体" w:eastAsia="宋体"/>
                <w:sz w:val="16"/>
              </w:rPr>
              <w:t>14.86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6E1E5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F5F8B">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C2A5B">
            <w:pPr>
              <w:jc w:val="center"/>
            </w:pPr>
            <w:r>
              <w:rPr>
                <w:rFonts w:ascii="宋体" w:hAnsi="宋体" w:eastAsia="宋体"/>
                <w:sz w:val="16"/>
              </w:rPr>
              <w:t>10.00分</w:t>
            </w:r>
          </w:p>
        </w:tc>
      </w:tr>
      <w:tr w14:paraId="20C08D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AB59C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CD2C5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2B291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F1E66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257AE">
            <w:pPr>
              <w:jc w:val="center"/>
            </w:pPr>
            <w:r>
              <w:rPr>
                <w:rFonts w:ascii="宋体" w:hAnsi="宋体" w:eastAsia="宋体"/>
                <w:sz w:val="16"/>
              </w:rPr>
              <w:t>14.86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6E07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387E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E5EF0">
            <w:pPr>
              <w:jc w:val="center"/>
            </w:pPr>
            <w:r>
              <w:rPr>
                <w:rFonts w:ascii="宋体" w:hAnsi="宋体" w:eastAsia="宋体"/>
                <w:sz w:val="16"/>
              </w:rPr>
              <w:t>—</w:t>
            </w:r>
          </w:p>
        </w:tc>
      </w:tr>
      <w:tr w14:paraId="4D0EF3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D1DE3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BE5E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3455E0">
            <w:pPr>
              <w:jc w:val="center"/>
            </w:pPr>
            <w:r>
              <w:rPr>
                <w:rFonts w:ascii="宋体" w:hAnsi="宋体" w:eastAsia="宋体"/>
                <w:sz w:val="16"/>
              </w:rPr>
              <w:t>14.86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5B15E">
            <w:pPr>
              <w:jc w:val="center"/>
            </w:pPr>
            <w:r>
              <w:rPr>
                <w:rFonts w:ascii="宋体" w:hAnsi="宋体" w:eastAsia="宋体"/>
                <w:sz w:val="16"/>
              </w:rPr>
              <w:t>14.86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85AAD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EA492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9211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89A23">
            <w:pPr>
              <w:jc w:val="center"/>
            </w:pPr>
            <w:r>
              <w:rPr>
                <w:rFonts w:ascii="宋体" w:hAnsi="宋体" w:eastAsia="宋体"/>
                <w:sz w:val="16"/>
              </w:rPr>
              <w:t>—</w:t>
            </w:r>
          </w:p>
        </w:tc>
      </w:tr>
      <w:tr w14:paraId="3876604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CF277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124E6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4D82941">
            <w:pPr>
              <w:jc w:val="center"/>
            </w:pPr>
            <w:r>
              <w:rPr>
                <w:rFonts w:ascii="宋体" w:hAnsi="宋体" w:eastAsia="宋体"/>
                <w:sz w:val="16"/>
              </w:rPr>
              <w:t>实际完成情况</w:t>
            </w:r>
          </w:p>
        </w:tc>
      </w:tr>
      <w:tr w14:paraId="5FD945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02CD0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1B23A5">
            <w:pPr>
              <w:jc w:val="both"/>
            </w:pPr>
            <w:r>
              <w:rPr>
                <w:rFonts w:ascii="宋体" w:hAnsi="宋体" w:eastAsia="宋体"/>
                <w:sz w:val="16"/>
              </w:rPr>
              <w:t>本项目为单位资金项目金额为14.86万元，主要用于发放公积金14.29万元，社会福利与救助0.26万元，其他支出为0.31万元。通过本项目有效保障卫生健康委员会正常运转。预计受益对象满意度为95%以上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190537D">
            <w:pPr>
              <w:jc w:val="both"/>
            </w:pPr>
            <w:r>
              <w:rPr>
                <w:rFonts w:hint="eastAsia" w:ascii="宋体" w:hAnsi="宋体"/>
                <w:sz w:val="16"/>
                <w:lang w:eastAsia="zh-CN"/>
              </w:rPr>
              <w:t>截至</w:t>
            </w:r>
            <w:r>
              <w:rPr>
                <w:rFonts w:ascii="宋体" w:hAnsi="宋体" w:eastAsia="宋体"/>
                <w:sz w:val="16"/>
              </w:rPr>
              <w:t>2024年12月31日，本项目为单位资金项目金额为14.86万元，主要用于发放公积金14.29万元，社会福利与救助0.26万元，其他支出为0.31万元。通过本项目有效保障卫生健康委员会正常运转，工作人员满意度为95%以上</w:t>
            </w:r>
          </w:p>
        </w:tc>
      </w:tr>
      <w:tr w14:paraId="0E1BB9E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FAA98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C828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0D36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734F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E55C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5E38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46C2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A817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17A4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90B8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8BB3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0E8E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ED1DC3">
            <w:pPr>
              <w:jc w:val="center"/>
            </w:pPr>
            <w:r>
              <w:rPr>
                <w:rFonts w:ascii="宋体" w:hAnsi="宋体" w:eastAsia="宋体"/>
                <w:sz w:val="16"/>
              </w:rPr>
              <w:t>偏差原因分析及改进措施</w:t>
            </w:r>
          </w:p>
        </w:tc>
      </w:tr>
      <w:tr w14:paraId="41E8528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EDE3D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B031B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594D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0B818">
            <w:pPr>
              <w:jc w:val="center"/>
            </w:pPr>
            <w:r>
              <w:rPr>
                <w:rFonts w:ascii="宋体" w:hAnsi="宋体" w:eastAsia="宋体"/>
                <w:sz w:val="16"/>
              </w:rPr>
              <w:t>单位资金项目数(个）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01045">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924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ACD1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56EF9">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5CA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1C4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3D7A1">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2FC72">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2AE849">
            <w:pPr>
              <w:jc w:val="center"/>
            </w:pPr>
          </w:p>
        </w:tc>
      </w:tr>
      <w:tr w14:paraId="720413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0437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8E0B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CCD5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71E7B">
            <w:pPr>
              <w:jc w:val="center"/>
            </w:pPr>
            <w:r>
              <w:rPr>
                <w:rFonts w:ascii="宋体" w:hAnsi="宋体" w:eastAsia="宋体"/>
                <w:sz w:val="16"/>
              </w:rPr>
              <w:t>资金拨付率（%）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0DAF9">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56C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937E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1F5C7">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232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7E8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6E5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32EB6">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ADE41D">
            <w:pPr>
              <w:jc w:val="center"/>
            </w:pPr>
          </w:p>
        </w:tc>
      </w:tr>
      <w:tr w14:paraId="59FA05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5868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497C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5A2B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C6DF6">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8DBA7">
            <w:pPr>
              <w:jc w:val="center"/>
            </w:pPr>
            <w:r>
              <w:rPr>
                <w:rFonts w:ascii="宋体" w:hAnsi="宋体" w:eastAsia="宋体"/>
                <w:sz w:val="16"/>
              </w:rPr>
              <w:t>2024年12月24日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CF4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755E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E5B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EE4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592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85709">
            <w:pPr>
              <w:jc w:val="center"/>
            </w:pPr>
            <w:r>
              <w:rPr>
                <w:rFonts w:ascii="宋体" w:hAnsi="宋体" w:eastAsia="宋体"/>
                <w:sz w:val="16"/>
              </w:rPr>
              <w:t>=2024年12月24日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66F5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D54AC4">
            <w:pPr>
              <w:jc w:val="center"/>
            </w:pPr>
          </w:p>
        </w:tc>
      </w:tr>
      <w:tr w14:paraId="6DB1A5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0B2AA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95132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53F89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37118">
            <w:pPr>
              <w:jc w:val="center"/>
            </w:pPr>
            <w:r>
              <w:rPr>
                <w:rFonts w:ascii="宋体" w:hAnsi="宋体" w:eastAsia="宋体"/>
                <w:sz w:val="16"/>
              </w:rPr>
              <w:t>社会福利和救助金（万元）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4DD7D">
            <w:pPr>
              <w:jc w:val="center"/>
            </w:pPr>
            <w:r>
              <w:rPr>
                <w:rFonts w:ascii="宋体" w:hAnsi="宋体" w:eastAsia="宋体"/>
                <w:sz w:val="16"/>
              </w:rPr>
              <w:t>&lt;=0.26万元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044C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3B1E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7739B">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8CD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2799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390B2">
            <w:pPr>
              <w:jc w:val="center"/>
            </w:pPr>
            <w:r>
              <w:rPr>
                <w:rFonts w:ascii="宋体" w:hAnsi="宋体" w:eastAsia="宋体"/>
                <w:sz w:val="16"/>
              </w:rPr>
              <w:t>=0.26万元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C26B1">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4BC961">
            <w:pPr>
              <w:jc w:val="center"/>
            </w:pPr>
          </w:p>
        </w:tc>
      </w:tr>
      <w:tr w14:paraId="68CE90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7CC7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0BC4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8E28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6D6BA">
            <w:pPr>
              <w:jc w:val="center"/>
            </w:pPr>
            <w:r>
              <w:rPr>
                <w:rFonts w:ascii="宋体" w:hAnsi="宋体" w:eastAsia="宋体"/>
                <w:sz w:val="16"/>
              </w:rPr>
              <w:t>住房公积金（万元）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85EBD">
            <w:pPr>
              <w:jc w:val="center"/>
            </w:pPr>
            <w:r>
              <w:rPr>
                <w:rFonts w:ascii="宋体" w:hAnsi="宋体" w:eastAsia="宋体"/>
                <w:sz w:val="16"/>
              </w:rPr>
              <w:t>&lt;=14.29万元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889C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7EA0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0373E">
            <w:pPr>
              <w:jc w:val="center"/>
            </w:pPr>
            <w:r>
              <w:rPr>
                <w:rFonts w:ascii="宋体" w:hAnsi="宋体" w:eastAsia="宋体"/>
                <w:sz w:val="16"/>
              </w:rPr>
              <w:t>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708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C115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C3B83">
            <w:pPr>
              <w:jc w:val="center"/>
            </w:pPr>
            <w:r>
              <w:rPr>
                <w:rFonts w:ascii="宋体" w:hAnsi="宋体" w:eastAsia="宋体"/>
                <w:sz w:val="16"/>
              </w:rPr>
              <w:t>=14.29万元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FAFA3">
            <w:pPr>
              <w:jc w:val="center"/>
            </w:pPr>
            <w:r>
              <w:rPr>
                <w:rFonts w:ascii="宋体" w:hAnsi="宋体" w:eastAsia="宋体"/>
                <w:sz w:val="16"/>
              </w:rPr>
              <w:t>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4891A5">
            <w:pPr>
              <w:jc w:val="center"/>
            </w:pPr>
          </w:p>
        </w:tc>
      </w:tr>
      <w:tr w14:paraId="7AA0D9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2761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2B55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6B32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FE775">
            <w:pPr>
              <w:jc w:val="center"/>
            </w:pPr>
            <w:r>
              <w:rPr>
                <w:rFonts w:ascii="宋体" w:hAnsi="宋体" w:eastAsia="宋体"/>
                <w:sz w:val="16"/>
              </w:rPr>
              <w:t>其他支出（万元）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BD1E8">
            <w:pPr>
              <w:jc w:val="center"/>
            </w:pPr>
            <w:r>
              <w:rPr>
                <w:rFonts w:ascii="宋体" w:hAnsi="宋体" w:eastAsia="宋体"/>
                <w:sz w:val="16"/>
              </w:rPr>
              <w:t>&lt;=0.31万元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B44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2715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2A02F">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0F5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3BCB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46DC3">
            <w:pPr>
              <w:jc w:val="center"/>
            </w:pPr>
            <w:r>
              <w:rPr>
                <w:rFonts w:ascii="宋体" w:hAnsi="宋体" w:eastAsia="宋体"/>
                <w:sz w:val="16"/>
              </w:rPr>
              <w:t>=0.31万元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96B5A">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C78986">
            <w:pPr>
              <w:jc w:val="center"/>
            </w:pPr>
          </w:p>
        </w:tc>
      </w:tr>
      <w:tr w14:paraId="134C52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A754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F159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C733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6A346">
            <w:pPr>
              <w:jc w:val="center"/>
            </w:pPr>
            <w:r>
              <w:rPr>
                <w:rFonts w:ascii="宋体" w:hAnsi="宋体" w:eastAsia="宋体"/>
                <w:sz w:val="16"/>
              </w:rPr>
              <w:t>有效保障单位正常运转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0A9EF">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335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4238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EF11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A46E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7F6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F3045">
            <w:pPr>
              <w:jc w:val="center"/>
            </w:pPr>
            <w:r>
              <w:rPr>
                <w:rFonts w:ascii="宋体" w:hAnsi="宋体" w:eastAsia="宋体"/>
                <w:sz w:val="16"/>
              </w:rPr>
              <w:t>与预期目标值保持一致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DD40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6FEF4A">
            <w:pPr>
              <w:jc w:val="center"/>
            </w:pPr>
          </w:p>
        </w:tc>
      </w:tr>
      <w:tr w14:paraId="1C3971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121E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1879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A517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2AB6D">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F0A4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63B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EE41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D5E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B493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4C8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3921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07DE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24A105">
            <w:pPr>
              <w:jc w:val="center"/>
            </w:pPr>
          </w:p>
        </w:tc>
      </w:tr>
      <w:tr w14:paraId="60F3C7EA">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D48BE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EAA30">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E15E2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9021D">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6B3B824"/>
        </w:tc>
      </w:tr>
    </w:tbl>
    <w:p w14:paraId="116159A0">
      <w:r>
        <w:br w:type="page"/>
      </w:r>
    </w:p>
    <w:p w14:paraId="570B1F13">
      <w:pPr>
        <w:spacing w:line="640" w:lineRule="exact"/>
        <w:ind w:firstLine="640"/>
        <w:jc w:val="both"/>
        <w:outlineLvl w:val="2"/>
      </w:pPr>
      <w:r>
        <w:rPr>
          <w:rFonts w:ascii="黑体" w:hAnsi="黑体" w:eastAsia="黑体"/>
          <w:sz w:val="32"/>
        </w:rPr>
        <w:t>十二、其他需说明的事项</w:t>
      </w:r>
    </w:p>
    <w:p w14:paraId="25548AAB">
      <w:pPr>
        <w:spacing w:line="580" w:lineRule="exact"/>
        <w:ind w:firstLine="640"/>
        <w:jc w:val="both"/>
      </w:pPr>
      <w:r>
        <w:rPr>
          <w:rFonts w:ascii="仿宋_GB2312" w:hAnsi="仿宋_GB2312" w:eastAsia="仿宋_GB2312"/>
          <w:b w:val="0"/>
          <w:sz w:val="32"/>
        </w:rPr>
        <w:t>本单位2024年度无政府采购支出，授予中小企业合同金额0.00万元。</w:t>
      </w:r>
    </w:p>
    <w:p w14:paraId="42AA96B6">
      <w:r>
        <w:br w:type="page"/>
      </w:r>
    </w:p>
    <w:p w14:paraId="529F8EF8">
      <w:pPr>
        <w:spacing w:line="240" w:lineRule="auto"/>
        <w:jc w:val="center"/>
        <w:outlineLvl w:val="1"/>
      </w:pPr>
      <w:r>
        <w:rPr>
          <w:rFonts w:ascii="黑体" w:hAnsi="黑体" w:eastAsia="黑体"/>
          <w:sz w:val="32"/>
        </w:rPr>
        <w:t>第三部分 专业名词解释</w:t>
      </w:r>
    </w:p>
    <w:p w14:paraId="7894A089">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51D739E">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C18BCDC">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41C119B">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677FA48">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7833EE3">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DAD60A0">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E4C6988">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8C4916A">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1BB9B13">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C8D7A9D">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D26CD54">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B8B79D8">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21477AB">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FA976C2">
      <w:r>
        <w:br w:type="page"/>
      </w:r>
    </w:p>
    <w:p w14:paraId="243B436D">
      <w:pPr>
        <w:spacing w:line="240" w:lineRule="auto"/>
        <w:jc w:val="center"/>
        <w:outlineLvl w:val="1"/>
      </w:pPr>
      <w:r>
        <w:rPr>
          <w:rFonts w:ascii="黑体" w:hAnsi="黑体" w:eastAsia="黑体"/>
          <w:sz w:val="32"/>
        </w:rPr>
        <w:t>第四部分 部门决算报表（见附表）</w:t>
      </w:r>
    </w:p>
    <w:p w14:paraId="5D73AA27">
      <w:pPr>
        <w:spacing w:line="240" w:lineRule="auto"/>
        <w:ind w:firstLine="640"/>
        <w:jc w:val="both"/>
      </w:pPr>
      <w:r>
        <w:rPr>
          <w:rFonts w:ascii="仿宋_GB2312" w:hAnsi="仿宋_GB2312" w:eastAsia="仿宋_GB2312"/>
          <w:b w:val="0"/>
          <w:sz w:val="32"/>
        </w:rPr>
        <w:t>一、《收入支出决算总表》</w:t>
      </w:r>
    </w:p>
    <w:p w14:paraId="587EDCD6">
      <w:pPr>
        <w:spacing w:line="240" w:lineRule="auto"/>
        <w:ind w:firstLine="640"/>
        <w:jc w:val="both"/>
      </w:pPr>
      <w:r>
        <w:rPr>
          <w:rFonts w:ascii="仿宋_GB2312" w:hAnsi="仿宋_GB2312" w:eastAsia="仿宋_GB2312"/>
          <w:b w:val="0"/>
          <w:sz w:val="32"/>
        </w:rPr>
        <w:t>二、《收入决算表》</w:t>
      </w:r>
    </w:p>
    <w:p w14:paraId="798D4ADB">
      <w:pPr>
        <w:spacing w:line="240" w:lineRule="auto"/>
        <w:ind w:firstLine="640"/>
        <w:jc w:val="both"/>
      </w:pPr>
      <w:r>
        <w:rPr>
          <w:rFonts w:ascii="仿宋_GB2312" w:hAnsi="仿宋_GB2312" w:eastAsia="仿宋_GB2312"/>
          <w:b w:val="0"/>
          <w:sz w:val="32"/>
        </w:rPr>
        <w:t>三、《支出决算表》</w:t>
      </w:r>
    </w:p>
    <w:p w14:paraId="50AA338D">
      <w:pPr>
        <w:spacing w:line="240" w:lineRule="auto"/>
        <w:ind w:firstLine="640"/>
        <w:jc w:val="both"/>
      </w:pPr>
      <w:r>
        <w:rPr>
          <w:rFonts w:ascii="仿宋_GB2312" w:hAnsi="仿宋_GB2312" w:eastAsia="仿宋_GB2312"/>
          <w:b w:val="0"/>
          <w:sz w:val="32"/>
        </w:rPr>
        <w:t>四、《财政拨款收入支出决算总表》</w:t>
      </w:r>
    </w:p>
    <w:p w14:paraId="0F2CA8BB">
      <w:pPr>
        <w:spacing w:line="240" w:lineRule="auto"/>
        <w:ind w:firstLine="640"/>
        <w:jc w:val="both"/>
      </w:pPr>
      <w:r>
        <w:rPr>
          <w:rFonts w:ascii="仿宋_GB2312" w:hAnsi="仿宋_GB2312" w:eastAsia="仿宋_GB2312"/>
          <w:b w:val="0"/>
          <w:sz w:val="32"/>
        </w:rPr>
        <w:t>五、《一般公共预算财政拨款支出决算表》</w:t>
      </w:r>
    </w:p>
    <w:p w14:paraId="3A04065C">
      <w:pPr>
        <w:spacing w:line="240" w:lineRule="auto"/>
        <w:ind w:firstLine="640"/>
        <w:jc w:val="both"/>
      </w:pPr>
      <w:r>
        <w:rPr>
          <w:rFonts w:ascii="仿宋_GB2312" w:hAnsi="仿宋_GB2312" w:eastAsia="仿宋_GB2312"/>
          <w:b w:val="0"/>
          <w:sz w:val="32"/>
        </w:rPr>
        <w:t>六、《一般公共预算财政拨款基本支出决算表》</w:t>
      </w:r>
    </w:p>
    <w:p w14:paraId="009A34AA">
      <w:pPr>
        <w:spacing w:line="240" w:lineRule="auto"/>
        <w:ind w:firstLine="640"/>
        <w:jc w:val="both"/>
      </w:pPr>
      <w:r>
        <w:rPr>
          <w:rFonts w:ascii="仿宋_GB2312" w:hAnsi="仿宋_GB2312" w:eastAsia="仿宋_GB2312"/>
          <w:b w:val="0"/>
          <w:sz w:val="32"/>
        </w:rPr>
        <w:t>七、《政府性基金预算财政拨款收入支出决算表》</w:t>
      </w:r>
    </w:p>
    <w:p w14:paraId="63EDCF63">
      <w:pPr>
        <w:spacing w:line="240" w:lineRule="auto"/>
        <w:ind w:firstLine="640"/>
        <w:jc w:val="both"/>
      </w:pPr>
      <w:r>
        <w:rPr>
          <w:rFonts w:ascii="仿宋_GB2312" w:hAnsi="仿宋_GB2312" w:eastAsia="仿宋_GB2312"/>
          <w:b w:val="0"/>
          <w:sz w:val="32"/>
        </w:rPr>
        <w:t>八、《国有资本经营预算财政拨款收入支出决算表》</w:t>
      </w:r>
    </w:p>
    <w:p w14:paraId="28BAD99F">
      <w:pPr>
        <w:spacing w:line="240" w:lineRule="auto"/>
        <w:ind w:firstLine="640"/>
        <w:jc w:val="both"/>
      </w:pPr>
      <w:r>
        <w:rPr>
          <w:rFonts w:ascii="仿宋_GB2312" w:hAnsi="仿宋_GB2312" w:eastAsia="仿宋_GB2312"/>
          <w:b w:val="0"/>
          <w:sz w:val="32"/>
        </w:rPr>
        <w:t>九、《财政拨款“三公”经费支出决算表》</w:t>
      </w:r>
    </w:p>
    <w:p w14:paraId="7A6F7DA4">
      <w:pPr>
        <w:spacing w:line="240" w:lineRule="auto"/>
        <w:ind w:firstLine="640"/>
        <w:jc w:val="both"/>
      </w:pPr>
    </w:p>
    <w:p w14:paraId="188FAF92">
      <w:pPr>
        <w:spacing w:line="240" w:lineRule="auto"/>
        <w:ind w:firstLine="640"/>
        <w:jc w:val="both"/>
      </w:pPr>
    </w:p>
    <w:p w14:paraId="1CB9EBFE">
      <w:pPr>
        <w:spacing w:line="240" w:lineRule="auto"/>
        <w:ind w:firstLine="640"/>
        <w:jc w:val="both"/>
      </w:pPr>
    </w:p>
    <w:p w14:paraId="2D569498">
      <w:pPr>
        <w:spacing w:line="240" w:lineRule="auto"/>
        <w:ind w:firstLine="640"/>
        <w:jc w:val="both"/>
      </w:pPr>
    </w:p>
    <w:p w14:paraId="00B9D583">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EFAFA0F-D3F0-4328-8DBC-B14D3ABBEE2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2F470202-D6B6-492C-A62B-A0266AAA95B5}"/>
  </w:font>
  <w:font w:name="仿宋_GB2312">
    <w:panose1 w:val="02010609030101010101"/>
    <w:charset w:val="86"/>
    <w:family w:val="modern"/>
    <w:pitch w:val="default"/>
    <w:sig w:usb0="00000001" w:usb1="080E0000" w:usb2="00000000" w:usb3="00000000" w:csb0="00040000" w:csb1="00000000"/>
    <w:embedRegular r:id="rId3" w:fontKey="{1E175B90-6367-498C-9551-BCCB81944190}"/>
  </w:font>
  <w:font w:name="楷体_GB2312">
    <w:panose1 w:val="02010609030101010101"/>
    <w:charset w:val="86"/>
    <w:family w:val="auto"/>
    <w:pitch w:val="default"/>
    <w:sig w:usb0="00000001" w:usb1="080E0000" w:usb2="00000000" w:usb3="00000000" w:csb0="00040000" w:csb1="00000000"/>
    <w:embedRegular r:id="rId4" w:fontKey="{008A4800-D260-4219-AD33-702C40375E8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202505"/>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43E310C"/>
    <w:rsid w:val="65105274"/>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5218</Words>
  <Characters>6029</Characters>
  <Lines>0</Lines>
  <Paragraphs>0</Paragraphs>
  <TotalTime>3</TotalTime>
  <ScaleCrop>false</ScaleCrop>
  <LinksUpToDate>false</LinksUpToDate>
  <CharactersWithSpaces>6038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来财&amp;十个勤天</cp:lastModifiedBy>
  <cp:lastPrinted>2024-07-22T11:58:00Z</cp:lastPrinted>
  <dcterms:modified xsi:type="dcterms:W3CDTF">2025-10-30T02:31:05Z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B858A68E913346F885B5BC17D4DBEB06_13</vt:lpwstr>
  </property>
  <property fmtid="{D5CDD505-2E9C-101B-9397-08002B2CF9AE}" pid="4" name="KSOTemplateDocerSaveRecord">
    <vt:lpwstr>eyJoZGlkIjoiZTEwMTFjZmI3NWUwMGRmYWEyNzFiMzQ2OTlkZWE5ODAiLCJ1c2VySWQiOiIzNzI2MDMzNTYifQ==</vt:lpwstr>
  </property>
</Properties>
</file>