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疏附县医疗保障局2024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6ABDF4B">
      <w:r>
        <w:br w:type="page"/>
      </w:r>
    </w:p>
    <w:p w14:paraId="6D0327F7">
      <w:pPr>
        <w:spacing w:line="640" w:lineRule="exact"/>
        <w:jc w:val="center"/>
        <w:outlineLvl w:val="1"/>
      </w:pPr>
      <w:r>
        <w:rPr>
          <w:rFonts w:ascii="黑体" w:hAnsi="黑体" w:eastAsia="黑体"/>
          <w:sz w:val="32"/>
        </w:rPr>
        <w:t>第一部分 单位概况</w:t>
      </w:r>
    </w:p>
    <w:p w14:paraId="0B4ED62E">
      <w:pPr>
        <w:spacing w:line="640" w:lineRule="exact"/>
        <w:ind w:firstLine="640"/>
        <w:jc w:val="both"/>
        <w:outlineLvl w:val="2"/>
      </w:pPr>
      <w:r>
        <w:rPr>
          <w:rFonts w:ascii="黑体" w:hAnsi="黑体" w:eastAsia="黑体"/>
          <w:sz w:val="32"/>
        </w:rPr>
        <w:t>一、主要职能</w:t>
      </w:r>
    </w:p>
    <w:p w14:paraId="53833B95">
      <w:pPr>
        <w:spacing w:line="580" w:lineRule="exact"/>
        <w:ind w:firstLine="640"/>
        <w:jc w:val="both"/>
      </w:pPr>
      <w:r>
        <w:rPr>
          <w:rFonts w:ascii="仿宋_GB2312" w:hAnsi="仿宋_GB2312" w:eastAsia="仿宋_GB2312"/>
          <w:sz w:val="32"/>
        </w:rPr>
        <w:t>(一)贯彻落实国家和自治区、地区医疗保险、生育保</w:t>
      </w:r>
      <w:r>
        <w:rPr>
          <w:rFonts w:hint="eastAsia" w:ascii="仿宋_GB2312" w:hAnsi="仿宋_GB2312" w:eastAsia="仿宋_GB2312"/>
          <w:sz w:val="32"/>
          <w:lang w:eastAsia="zh-CN"/>
        </w:rPr>
        <w:t>险和</w:t>
      </w:r>
      <w:r>
        <w:rPr>
          <w:rFonts w:ascii="仿宋_GB2312" w:hAnsi="仿宋_GB2312" w:eastAsia="仿宋_GB2312"/>
          <w:sz w:val="32"/>
        </w:rPr>
        <w:t>人身意外伤害保险、医疗救助等医疗保障制度；贯彻落实自治区地区医疗保障制度的政策、规划和标准并组织实施；贯彻落实地区医疗保险、生育保险、大病保险、大额医疗补助、公务员医疗补助、企事业单位补充医疗保险、长期护理保险、医疗救助、离休人员和优抚对象医疗保障等政策、管理办法并组织实施。</w:t>
      </w:r>
    </w:p>
    <w:p w14:paraId="434A463C">
      <w:pPr>
        <w:spacing w:line="580" w:lineRule="exact"/>
        <w:ind w:firstLine="640"/>
        <w:jc w:val="both"/>
      </w:pPr>
      <w:r>
        <w:rPr>
          <w:rFonts w:ascii="仿宋_GB2312" w:hAnsi="仿宋_GB2312" w:eastAsia="仿宋_GB2312"/>
          <w:sz w:val="32"/>
        </w:rPr>
        <w:t>(二）实施医疗保障基金监督管理办法，建立健全医疗保障基金安全预防机制，承担推进医疗保障基金支付方式改革工作编制县医疗保障基金预决算草案。</w:t>
      </w:r>
    </w:p>
    <w:p w14:paraId="3026D6E8">
      <w:pPr>
        <w:spacing w:line="580" w:lineRule="exact"/>
        <w:ind w:firstLine="640"/>
        <w:jc w:val="both"/>
      </w:pPr>
      <w:r>
        <w:rPr>
          <w:rFonts w:ascii="仿宋_GB2312" w:hAnsi="仿宋_GB2312" w:eastAsia="仿宋_GB2312"/>
          <w:sz w:val="32"/>
        </w:rPr>
        <w:t>(三)贯彻落实地区医疗保障筹资和待遇政策，完善动态调整和县内调剂平衡机制，统筹城乡医疗保障待遇标准，建立健全与筹资水平相适应的待遇调整机制。组织实施长期护理保险制度改革方案。</w:t>
      </w:r>
    </w:p>
    <w:p w14:paraId="235FDB51">
      <w:pPr>
        <w:spacing w:line="580" w:lineRule="exact"/>
        <w:ind w:firstLine="640"/>
        <w:jc w:val="both"/>
      </w:pPr>
      <w:r>
        <w:rPr>
          <w:rFonts w:ascii="仿宋_GB2312" w:hAnsi="仿宋_GB2312" w:eastAsia="仿宋_GB2312"/>
          <w:sz w:val="32"/>
        </w:rPr>
        <w:t>(四)贯彻落实国家和自治区、地区药品、医用耗材价格和医疗服务项目、医疗服务设施收费等政策并监督实施，执行自治区制定的药品、医用耗材的招标采购政策并监督实施，建立健全医保支付医药服务价格合理确定和动态调整机制，建立市场主导的社会医药服务价格形成机制，建立医药服务价格信息监测和信息发布制度。</w:t>
      </w:r>
    </w:p>
    <w:p w14:paraId="351CFA78">
      <w:pPr>
        <w:spacing w:line="580" w:lineRule="exact"/>
        <w:ind w:firstLine="640"/>
        <w:jc w:val="both"/>
      </w:pPr>
      <w:r>
        <w:rPr>
          <w:rFonts w:ascii="仿宋_GB2312" w:hAnsi="仿宋_GB2312" w:eastAsia="仿宋_GB2312"/>
          <w:sz w:val="32"/>
        </w:rPr>
        <w:t>(五)贯彻落实国家和自治区、地区药品、医用耗材、医疗服务项目、医疗服务设施等医保目录和支付标准，建立动态调整机制。</w:t>
      </w:r>
    </w:p>
    <w:p w14:paraId="1ABB775A">
      <w:pPr>
        <w:spacing w:line="580" w:lineRule="exact"/>
        <w:ind w:firstLine="640"/>
        <w:jc w:val="both"/>
      </w:pPr>
      <w:r>
        <w:rPr>
          <w:rFonts w:ascii="仿宋_GB2312" w:hAnsi="仿宋_GB2312" w:eastAsia="仿宋_GB2312"/>
          <w:sz w:val="32"/>
        </w:rPr>
        <w:t>(六)制定定点医药机构协议和支付管理办法并组织实施，建立健全医疗保障信用评价体系和信息披露制度，监督管理纳入医保范围内的医疗服务行为和医疗费用，依法查处医疗保障、生育保险领域违法违规行为。</w:t>
      </w:r>
    </w:p>
    <w:p w14:paraId="2A105FB5">
      <w:pPr>
        <w:spacing w:line="580" w:lineRule="exact"/>
        <w:ind w:firstLine="640"/>
        <w:jc w:val="both"/>
      </w:pPr>
      <w:r>
        <w:rPr>
          <w:rFonts w:ascii="仿宋_GB2312" w:hAnsi="仿宋_GB2312" w:eastAsia="仿宋_GB2312"/>
          <w:sz w:val="32"/>
        </w:rPr>
        <w:t>(七)负责县医疗保障经办管理、公共服务体系和信息化建设。贯彻落实国家和自治区、地区异地就医管理和费用结算政策，落实地区异地就医和费用结算政策。协调相关部门落实医疗保障关系转移接续制度。监督指导医疗保障经办机构开展业务工作。</w:t>
      </w:r>
    </w:p>
    <w:p w14:paraId="7AD33E08">
      <w:pPr>
        <w:spacing w:line="580" w:lineRule="exact"/>
        <w:ind w:firstLine="640"/>
        <w:jc w:val="both"/>
      </w:pPr>
      <w:r>
        <w:rPr>
          <w:rFonts w:ascii="仿宋_GB2312" w:hAnsi="仿宋_GB2312" w:eastAsia="仿宋_GB2312"/>
          <w:sz w:val="32"/>
        </w:rPr>
        <w:t>(八)完成县委、县人民政府交办的其他任务。</w:t>
      </w:r>
    </w:p>
    <w:p w14:paraId="0A89C533">
      <w:pPr>
        <w:spacing w:line="640" w:lineRule="exact"/>
        <w:ind w:firstLine="640"/>
        <w:jc w:val="both"/>
        <w:outlineLvl w:val="2"/>
      </w:pPr>
      <w:r>
        <w:rPr>
          <w:rFonts w:ascii="黑体" w:hAnsi="黑体" w:eastAsia="黑体"/>
          <w:sz w:val="32"/>
        </w:rPr>
        <w:t>二、机构设置及人员情况</w:t>
      </w:r>
    </w:p>
    <w:p w14:paraId="226FC9AF">
      <w:pPr>
        <w:spacing w:line="580" w:lineRule="exact"/>
        <w:ind w:firstLine="640"/>
        <w:jc w:val="both"/>
      </w:pPr>
      <w:r>
        <w:rPr>
          <w:rFonts w:ascii="仿宋_GB2312" w:hAnsi="仿宋_GB2312" w:eastAsia="仿宋_GB2312"/>
          <w:sz w:val="32"/>
        </w:rPr>
        <w:t>疏附县医疗保障局2024年度，实有人数24人，其中：在职人员19人，增加1人；离休人员0人，增加0人；退休人员5人,增加3人。</w:t>
      </w:r>
    </w:p>
    <w:p w14:paraId="1F970185">
      <w:pPr>
        <w:spacing w:line="580" w:lineRule="exact"/>
        <w:ind w:firstLine="640"/>
        <w:jc w:val="both"/>
      </w:pPr>
      <w:r>
        <w:rPr>
          <w:rFonts w:ascii="仿宋_GB2312" w:hAnsi="仿宋_GB2312" w:eastAsia="仿宋_GB2312"/>
          <w:sz w:val="32"/>
        </w:rPr>
        <w:t>疏附县医疗保障局无下属预算单位，下设5个科室，分别是：行政办公室、基金监管科、征缴科、待遇支付科、基金财务科。</w:t>
      </w:r>
    </w:p>
    <w:p w14:paraId="2CCDFF94">
      <w:r>
        <w:br w:type="page"/>
      </w:r>
    </w:p>
    <w:p w14:paraId="201C81E3">
      <w:pPr>
        <w:spacing w:line="240" w:lineRule="auto"/>
        <w:jc w:val="center"/>
        <w:outlineLvl w:val="1"/>
      </w:pPr>
      <w:r>
        <w:rPr>
          <w:rFonts w:ascii="黑体" w:hAnsi="黑体" w:eastAsia="黑体"/>
          <w:sz w:val="32"/>
        </w:rPr>
        <w:t>第二部分 部门决算情况说明</w:t>
      </w:r>
    </w:p>
    <w:p w14:paraId="38CE44F8">
      <w:pPr>
        <w:spacing w:line="640" w:lineRule="exact"/>
        <w:ind w:firstLine="640"/>
        <w:jc w:val="both"/>
        <w:outlineLvl w:val="2"/>
      </w:pPr>
      <w:r>
        <w:rPr>
          <w:rFonts w:ascii="黑体" w:hAnsi="黑体" w:eastAsia="黑体"/>
          <w:sz w:val="32"/>
        </w:rPr>
        <w:t>一、收入支出决算总体情况说明</w:t>
      </w:r>
    </w:p>
    <w:p w14:paraId="756632F3">
      <w:pPr>
        <w:spacing w:line="580" w:lineRule="exact"/>
        <w:ind w:firstLine="640"/>
        <w:jc w:val="both"/>
      </w:pPr>
      <w:r>
        <w:rPr>
          <w:rFonts w:ascii="仿宋_GB2312" w:hAnsi="仿宋_GB2312" w:eastAsia="仿宋_GB2312"/>
          <w:b/>
          <w:sz w:val="32"/>
        </w:rPr>
        <w:t>2024年度收入总计373.11万元，</w:t>
      </w:r>
      <w:r>
        <w:rPr>
          <w:rFonts w:ascii="仿宋_GB2312" w:hAnsi="仿宋_GB2312" w:eastAsia="仿宋_GB2312"/>
          <w:b w:val="0"/>
          <w:sz w:val="32"/>
        </w:rPr>
        <w:t>其中：本年收入合计373.11万元，使用非财政拨款结余（含专用结余）0.00万元，年初结转和结余0.00万元。</w:t>
      </w:r>
    </w:p>
    <w:p w14:paraId="13FA191D">
      <w:pPr>
        <w:spacing w:line="580" w:lineRule="exact"/>
        <w:ind w:firstLine="640"/>
        <w:jc w:val="both"/>
      </w:pPr>
      <w:r>
        <w:rPr>
          <w:rFonts w:ascii="仿宋_GB2312" w:hAnsi="仿宋_GB2312" w:eastAsia="仿宋_GB2312"/>
          <w:b/>
          <w:sz w:val="32"/>
        </w:rPr>
        <w:t>2024年度支出总计373.11万元，</w:t>
      </w:r>
      <w:r>
        <w:rPr>
          <w:rFonts w:ascii="仿宋_GB2312" w:hAnsi="仿宋_GB2312" w:eastAsia="仿宋_GB2312"/>
          <w:b w:val="0"/>
          <w:sz w:val="32"/>
        </w:rPr>
        <w:t>其中：本年支出合计373.11万元，结余分配0.00万元，年末结转和结余0.00万元。</w:t>
      </w:r>
    </w:p>
    <w:p w14:paraId="4131DCAA">
      <w:pPr>
        <w:spacing w:line="580" w:lineRule="exact"/>
        <w:ind w:firstLine="640"/>
        <w:jc w:val="both"/>
      </w:pPr>
      <w:r>
        <w:rPr>
          <w:rFonts w:ascii="仿宋_GB2312" w:hAnsi="仿宋_GB2312" w:eastAsia="仿宋_GB2312"/>
          <w:b w:val="0"/>
          <w:sz w:val="32"/>
        </w:rPr>
        <w:t>收入支出总体与上年相比，减少29.87万元，下降7.41%，主要原因是：一是本年在职人员调入调出，人员职级不同，工资基数不同，导致人员经费较上年减少。二是本年减少中央财政医疗</w:t>
      </w:r>
      <w:r>
        <w:rPr>
          <w:rFonts w:hint="eastAsia" w:ascii="仿宋_GB2312" w:hAnsi="仿宋_GB2312" w:eastAsia="仿宋_GB2312"/>
          <w:b w:val="0"/>
          <w:sz w:val="32"/>
          <w:lang w:eastAsia="zh-CN"/>
        </w:rPr>
        <w:t>服务</w:t>
      </w:r>
      <w:r>
        <w:rPr>
          <w:rFonts w:ascii="仿宋_GB2312" w:hAnsi="仿宋_GB2312" w:eastAsia="仿宋_GB2312"/>
          <w:b w:val="0"/>
          <w:sz w:val="32"/>
        </w:rPr>
        <w:t>保障能力提升资金项目、国有关闭破产企业退休人员医疗保险费补助项目，导致经费较上年减少。</w:t>
      </w:r>
    </w:p>
    <w:p w14:paraId="59818F39">
      <w:pPr>
        <w:spacing w:line="640" w:lineRule="exact"/>
        <w:ind w:firstLine="640"/>
        <w:jc w:val="both"/>
        <w:outlineLvl w:val="2"/>
      </w:pPr>
      <w:r>
        <w:rPr>
          <w:rFonts w:ascii="黑体" w:hAnsi="黑体" w:eastAsia="黑体"/>
          <w:sz w:val="32"/>
        </w:rPr>
        <w:t>二、收入决算情况说明</w:t>
      </w:r>
    </w:p>
    <w:p w14:paraId="270E63DC">
      <w:pPr>
        <w:spacing w:line="580" w:lineRule="exact"/>
        <w:ind w:firstLine="640"/>
        <w:jc w:val="both"/>
      </w:pPr>
      <w:r>
        <w:rPr>
          <w:rFonts w:ascii="仿宋_GB2312" w:hAnsi="仿宋_GB2312" w:eastAsia="仿宋_GB2312"/>
          <w:b/>
          <w:sz w:val="32"/>
        </w:rPr>
        <w:t>本年收入373.11万元，</w:t>
      </w:r>
      <w:r>
        <w:rPr>
          <w:rFonts w:ascii="仿宋_GB2312" w:hAnsi="仿宋_GB2312" w:eastAsia="仿宋_GB2312"/>
          <w:b w:val="0"/>
          <w:sz w:val="32"/>
        </w:rPr>
        <w:t>其中：财政拨款收入373.11万元，占100.00%；上级补助收入0.00万元，占0.00%；事业收入0.00万元，占0.00%；经营收入0.00万元，占0.00%；附属单位上缴收入0.00万元，占0.00%；其他收入0.00万元，占0.00%。</w:t>
      </w:r>
    </w:p>
    <w:p w14:paraId="07505E7B">
      <w:pPr>
        <w:spacing w:line="640" w:lineRule="exact"/>
        <w:ind w:firstLine="640"/>
        <w:jc w:val="both"/>
        <w:outlineLvl w:val="2"/>
      </w:pPr>
      <w:r>
        <w:rPr>
          <w:rFonts w:ascii="黑体" w:hAnsi="黑体" w:eastAsia="黑体"/>
          <w:sz w:val="32"/>
        </w:rPr>
        <w:t>三、支出决算情况说明</w:t>
      </w:r>
    </w:p>
    <w:p w14:paraId="4E5AC226">
      <w:pPr>
        <w:spacing w:line="580" w:lineRule="exact"/>
        <w:ind w:firstLine="640"/>
        <w:jc w:val="both"/>
      </w:pPr>
      <w:r>
        <w:rPr>
          <w:rFonts w:ascii="仿宋_GB2312" w:hAnsi="仿宋_GB2312" w:eastAsia="仿宋_GB2312"/>
          <w:b/>
          <w:sz w:val="32"/>
        </w:rPr>
        <w:t>本年支出373.11万元，</w:t>
      </w:r>
      <w:r>
        <w:rPr>
          <w:rFonts w:ascii="仿宋_GB2312" w:hAnsi="仿宋_GB2312" w:eastAsia="仿宋_GB2312"/>
          <w:b w:val="0"/>
          <w:sz w:val="32"/>
        </w:rPr>
        <w:t>其中：基本支出329.82万元，占88.40%；项目支出43.29万元，占11.60%；上缴上级支出0.00万元，占0.00%；经营支出0.00万元，占0.00%；对附属单位补助支出0.00万元，占0.00%。</w:t>
      </w:r>
    </w:p>
    <w:p w14:paraId="1BF23D11">
      <w:pPr>
        <w:spacing w:line="640" w:lineRule="exact"/>
        <w:ind w:firstLine="640"/>
        <w:jc w:val="both"/>
        <w:outlineLvl w:val="2"/>
      </w:pPr>
      <w:r>
        <w:rPr>
          <w:rFonts w:ascii="黑体" w:hAnsi="黑体" w:eastAsia="黑体"/>
          <w:sz w:val="32"/>
        </w:rPr>
        <w:t>四、财政拨款收入支出决算总体情况说明</w:t>
      </w:r>
    </w:p>
    <w:p w14:paraId="48F1EEE9">
      <w:pPr>
        <w:spacing w:line="580" w:lineRule="exact"/>
        <w:ind w:firstLine="640"/>
        <w:jc w:val="both"/>
      </w:pPr>
      <w:r>
        <w:rPr>
          <w:rFonts w:ascii="仿宋_GB2312" w:hAnsi="仿宋_GB2312" w:eastAsia="仿宋_GB2312"/>
          <w:b/>
          <w:sz w:val="32"/>
        </w:rPr>
        <w:t>2024年度财政拨款收入总计373.11万元，</w:t>
      </w:r>
      <w:r>
        <w:rPr>
          <w:rFonts w:ascii="仿宋_GB2312" w:hAnsi="仿宋_GB2312" w:eastAsia="仿宋_GB2312"/>
          <w:b w:val="0"/>
          <w:sz w:val="32"/>
        </w:rPr>
        <w:t>其中：年初财政拨款结转和结余0.00万元，本年财政拨款收入373.11万元。</w:t>
      </w:r>
      <w:r>
        <w:rPr>
          <w:rFonts w:ascii="仿宋_GB2312" w:hAnsi="仿宋_GB2312" w:eastAsia="仿宋_GB2312"/>
          <w:b/>
          <w:sz w:val="32"/>
        </w:rPr>
        <w:t>财政拨款支出总计373.11万元，</w:t>
      </w:r>
      <w:r>
        <w:rPr>
          <w:rFonts w:ascii="仿宋_GB2312" w:hAnsi="仿宋_GB2312" w:eastAsia="仿宋_GB2312"/>
          <w:b w:val="0"/>
          <w:sz w:val="32"/>
        </w:rPr>
        <w:t>其中：年末财政拨款结转和结余0.00万元，本年财政拨款支出373.11万元。</w:t>
      </w:r>
    </w:p>
    <w:p w14:paraId="7A82B35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减少29.87万元，下降7.41%，主要原因是：一是本年在职人员调入调出，人员职级不同，工资基数不同，导致人员经费较上年减少。二是本年减少中央财政医疗</w:t>
      </w:r>
      <w:r>
        <w:rPr>
          <w:rFonts w:hint="eastAsia" w:ascii="仿宋_GB2312" w:hAnsi="仿宋_GB2312" w:eastAsia="仿宋_GB2312"/>
          <w:b w:val="0"/>
          <w:sz w:val="32"/>
          <w:lang w:eastAsia="zh-CN"/>
        </w:rPr>
        <w:t>服务</w:t>
      </w:r>
      <w:r>
        <w:rPr>
          <w:rFonts w:ascii="仿宋_GB2312" w:hAnsi="仿宋_GB2312" w:eastAsia="仿宋_GB2312"/>
          <w:b w:val="0"/>
          <w:sz w:val="32"/>
        </w:rPr>
        <w:t>保障能力提升资金项目、国有关闭破产企业退休人员医疗保险费补助项目，导致经费较上年减少。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年初预算数344.60万元，决算数373.11万元，预决算差异率8.27%，主要原因是：年中追加人员工资、社保、公积金基数调增部分资金，导致预决算存在差异。</w:t>
      </w:r>
    </w:p>
    <w:p w14:paraId="2122CDD0">
      <w:pPr>
        <w:spacing w:line="640" w:lineRule="exact"/>
        <w:ind w:firstLine="640"/>
        <w:jc w:val="both"/>
        <w:outlineLvl w:val="2"/>
      </w:pPr>
      <w:r>
        <w:rPr>
          <w:rFonts w:ascii="黑体" w:hAnsi="黑体" w:eastAsia="黑体"/>
          <w:sz w:val="32"/>
        </w:rPr>
        <w:t>五、一般公共预算财政拨款支出决算情况说明</w:t>
      </w:r>
    </w:p>
    <w:p w14:paraId="44D1F4DE">
      <w:pPr>
        <w:spacing w:line="640" w:lineRule="exact"/>
        <w:ind w:firstLine="640"/>
        <w:jc w:val="both"/>
        <w:outlineLvl w:val="3"/>
      </w:pPr>
      <w:r>
        <w:rPr>
          <w:rFonts w:ascii="楷体_GB2312" w:hAnsi="楷体_GB2312" w:eastAsia="楷体_GB2312"/>
          <w:b/>
          <w:sz w:val="32"/>
        </w:rPr>
        <w:t>（一）一般公共预算财政拨款支出决算总体情况</w:t>
      </w:r>
    </w:p>
    <w:p w14:paraId="71829570">
      <w:pPr>
        <w:spacing w:line="580" w:lineRule="exact"/>
        <w:ind w:firstLine="640"/>
        <w:jc w:val="both"/>
      </w:pPr>
      <w:r>
        <w:rPr>
          <w:rFonts w:ascii="仿宋_GB2312" w:hAnsi="仿宋_GB2312" w:eastAsia="仿宋_GB2312"/>
          <w:b/>
          <w:sz w:val="32"/>
        </w:rPr>
        <w:t>2024年度一般公共预算财政拨款支出373.11万元，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减少29.87万元，下降7.41%，主要原因是：一是本年在职人员调入调出，人员职级不同，工资基数不同，导致人员经费较上年减少。二是本年减少中央财政医疗</w:t>
      </w:r>
      <w:r>
        <w:rPr>
          <w:rFonts w:hint="eastAsia" w:ascii="仿宋_GB2312" w:hAnsi="仿宋_GB2312" w:eastAsia="仿宋_GB2312"/>
          <w:b w:val="0"/>
          <w:sz w:val="32"/>
          <w:lang w:eastAsia="zh-CN"/>
        </w:rPr>
        <w:t>服务</w:t>
      </w:r>
      <w:r>
        <w:rPr>
          <w:rFonts w:ascii="仿宋_GB2312" w:hAnsi="仿宋_GB2312" w:eastAsia="仿宋_GB2312"/>
          <w:b w:val="0"/>
          <w:sz w:val="32"/>
        </w:rPr>
        <w:t>保障能力提升资金项目、国有关闭破产企业退休人员医疗保险费补助项目，导致经费较上年减少。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年初预算数344.60万元，决算数373.11万元，预决算差异率8.27%，主要原因是：年中追加人员工资、社保、公积金基数调增部分资金，导致预决算存在差异。</w:t>
      </w:r>
    </w:p>
    <w:p w14:paraId="72F81B78">
      <w:pPr>
        <w:spacing w:line="640" w:lineRule="exact"/>
        <w:ind w:firstLine="640"/>
        <w:jc w:val="both"/>
        <w:outlineLvl w:val="3"/>
      </w:pPr>
      <w:r>
        <w:rPr>
          <w:rFonts w:ascii="楷体_GB2312" w:hAnsi="楷体_GB2312" w:eastAsia="楷体_GB2312"/>
          <w:b/>
          <w:sz w:val="32"/>
        </w:rPr>
        <w:t>（二）一般公共预算财政拨款支出决算结构情况</w:t>
      </w:r>
    </w:p>
    <w:p w14:paraId="011819F1">
      <w:pPr>
        <w:spacing w:line="580" w:lineRule="exact"/>
        <w:ind w:firstLine="640"/>
        <w:jc w:val="both"/>
      </w:pPr>
      <w:r>
        <w:rPr>
          <w:rFonts w:ascii="仿宋_GB2312" w:hAnsi="仿宋_GB2312" w:eastAsia="仿宋_GB2312"/>
          <w:b w:val="0"/>
          <w:sz w:val="32"/>
        </w:rPr>
        <w:t>1.社会保障和就业支出(类)55.12万元,占14.77%。</w:t>
      </w:r>
    </w:p>
    <w:p w14:paraId="2AD1D0EC">
      <w:pPr>
        <w:spacing w:line="580" w:lineRule="exact"/>
        <w:ind w:firstLine="640"/>
        <w:jc w:val="both"/>
      </w:pPr>
      <w:r>
        <w:rPr>
          <w:rFonts w:ascii="仿宋_GB2312" w:hAnsi="仿宋_GB2312" w:eastAsia="仿宋_GB2312"/>
          <w:b w:val="0"/>
          <w:sz w:val="32"/>
        </w:rPr>
        <w:t>2.卫生健康支出(类)287.02万元,占76.93%。</w:t>
      </w:r>
    </w:p>
    <w:p w14:paraId="751B0B88">
      <w:pPr>
        <w:spacing w:line="580" w:lineRule="exact"/>
        <w:ind w:firstLine="640"/>
        <w:jc w:val="both"/>
      </w:pPr>
      <w:r>
        <w:rPr>
          <w:rFonts w:ascii="仿宋_GB2312" w:hAnsi="仿宋_GB2312" w:eastAsia="仿宋_GB2312"/>
          <w:b w:val="0"/>
          <w:sz w:val="32"/>
        </w:rPr>
        <w:t>3.住房保障支出(类)25.61万元,占6.86%。</w:t>
      </w:r>
    </w:p>
    <w:p w14:paraId="7B13D6C2">
      <w:pPr>
        <w:spacing w:line="580" w:lineRule="exact"/>
        <w:ind w:firstLine="640"/>
        <w:jc w:val="both"/>
      </w:pPr>
      <w:r>
        <w:rPr>
          <w:rFonts w:ascii="仿宋_GB2312" w:hAnsi="仿宋_GB2312" w:eastAsia="仿宋_GB2312"/>
          <w:b w:val="0"/>
          <w:sz w:val="32"/>
        </w:rPr>
        <w:t>4.其他支出(类)5.35万元,占1.43%。</w:t>
      </w:r>
    </w:p>
    <w:p w14:paraId="3B59B3CD">
      <w:pPr>
        <w:spacing w:line="640" w:lineRule="exact"/>
        <w:ind w:firstLine="640"/>
        <w:jc w:val="both"/>
        <w:outlineLvl w:val="3"/>
      </w:pPr>
      <w:r>
        <w:rPr>
          <w:rFonts w:ascii="楷体_GB2312" w:hAnsi="楷体_GB2312" w:eastAsia="楷体_GB2312"/>
          <w:b/>
          <w:sz w:val="32"/>
        </w:rPr>
        <w:t>（三）一般公共预算财政拨款支出决算具体情况</w:t>
      </w:r>
    </w:p>
    <w:p w14:paraId="370C7F3A">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4.67万元，比上年决算增加3.30万元，增长240.88%,主要原因是：一是本年退休人员增加，退休费支出增加；二是本年事业单位离退休经费调整至本科目列支，导致经费增加。</w:t>
      </w:r>
    </w:p>
    <w:p w14:paraId="0A2189C3">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0.00万元，比上年决算减少0.64万元，下降100.00%,主要原因是：本年功能科目调整，事业单位离退休上年度单独列支，本年调整至行政单位离退休科目列支，导致经费较上年减少。</w:t>
      </w:r>
    </w:p>
    <w:p w14:paraId="122B0F3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30.69万元，比上年决算增加1.71万元，增长5.90%,主要原因是：本年在职人员工资基数调增，养老缴费基数上涨，相应支出增加。</w:t>
      </w:r>
    </w:p>
    <w:p w14:paraId="7EBA0D85">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4.社会保障和就业支出(类)行政事业单位养老支出(款)机关事业单位职业年金缴费支出(项):支出决算数为8.04万元，比上年决算增加8.04万元，增长100.00%,主要原因是：本年新增退休人员，职业年金缴费支出增加。</w:t>
      </w:r>
    </w:p>
    <w:p w14:paraId="5B6A2A91">
      <w:pPr>
        <w:spacing w:line="580" w:lineRule="exact"/>
        <w:ind w:firstLine="640"/>
        <w:jc w:val="both"/>
      </w:pPr>
      <w:r>
        <w:rPr>
          <w:rFonts w:ascii="仿宋_GB2312" w:hAnsi="仿宋_GB2312" w:eastAsia="仿宋_GB2312"/>
          <w:b w:val="0"/>
          <w:sz w:val="32"/>
        </w:rPr>
        <w:t>5.社会保障和就业支出(类)企业改革补助(款)其他企业改革发展补助(项):支出决算数为11.73万元，比上年决算减少1.61万元，下降12.07%,主要原因是：本年疏附县水工机械厂退休人员医疗费保险费较上年减少。</w:t>
      </w:r>
    </w:p>
    <w:p w14:paraId="172D017D">
      <w:pPr>
        <w:spacing w:line="580" w:lineRule="exact"/>
        <w:ind w:firstLine="640"/>
        <w:jc w:val="both"/>
      </w:pPr>
      <w:r>
        <w:rPr>
          <w:rFonts w:ascii="仿宋_GB2312" w:hAnsi="仿宋_GB2312" w:eastAsia="仿宋_GB2312"/>
          <w:b w:val="0"/>
          <w:sz w:val="32"/>
        </w:rPr>
        <w:t>6.卫生健康支出(类)行政事业单位医疗(款)行政单位医疗(项):支出决算数为13.04万元，比上年决算增加0.45万元，增长3.57%,主要原因是：本年在职人员工资基数调增，医疗缴费基数上涨，相应支出增加。</w:t>
      </w:r>
    </w:p>
    <w:p w14:paraId="79D4C989">
      <w:pPr>
        <w:spacing w:line="580" w:lineRule="exact"/>
        <w:ind w:firstLine="640"/>
        <w:jc w:val="both"/>
      </w:pPr>
      <w:r>
        <w:rPr>
          <w:rFonts w:ascii="仿宋_GB2312" w:hAnsi="仿宋_GB2312" w:eastAsia="仿宋_GB2312"/>
          <w:b w:val="0"/>
          <w:sz w:val="32"/>
        </w:rPr>
        <w:t>7.卫生健康支出(类)行政事业单位医疗(款)公务员医疗补助(项):支出决算数为1.40万元，比上年决算减少0.08万元，下降5.41%,主要原因是：本年在职人员调入调出，人员职级不同，缴费基数不同，导致公务员医疗补助较上年减少。</w:t>
      </w:r>
    </w:p>
    <w:p w14:paraId="04C369E0">
      <w:pPr>
        <w:spacing w:line="580" w:lineRule="exact"/>
        <w:ind w:firstLine="640"/>
        <w:jc w:val="both"/>
      </w:pPr>
      <w:r>
        <w:rPr>
          <w:rFonts w:ascii="仿宋_GB2312" w:hAnsi="仿宋_GB2312" w:eastAsia="仿宋_GB2312"/>
          <w:b w:val="0"/>
          <w:sz w:val="32"/>
        </w:rPr>
        <w:t>8.卫生健康支出(类)医疗保障管理事务(款)行政运行(项):支出决算数为246.37万元，比上年决算减少26.06万元，下降9.57%,主要原因是：本年在职人员调入调出，人员职级不同，工资基数不同，导致人员经费较上年减少。</w:t>
      </w:r>
    </w:p>
    <w:p w14:paraId="689E098B">
      <w:pPr>
        <w:spacing w:line="580" w:lineRule="exact"/>
        <w:ind w:firstLine="640"/>
        <w:jc w:val="both"/>
      </w:pPr>
      <w:r>
        <w:rPr>
          <w:rFonts w:ascii="仿宋_GB2312" w:hAnsi="仿宋_GB2312" w:eastAsia="仿宋_GB2312"/>
          <w:b w:val="0"/>
          <w:sz w:val="32"/>
        </w:rPr>
        <w:t>9.卫生健康支出(类)医疗保障管理事务(款)一般行政管理事务(项):支出决算数为17.83万元，比上年决算减少7.56万元，下降29.78%,主要原因是：本年减少中央财政医疗</w:t>
      </w:r>
      <w:r>
        <w:rPr>
          <w:rFonts w:hint="eastAsia" w:ascii="仿宋_GB2312" w:hAnsi="仿宋_GB2312" w:eastAsia="仿宋_GB2312"/>
          <w:b w:val="0"/>
          <w:sz w:val="32"/>
          <w:lang w:eastAsia="zh-CN"/>
        </w:rPr>
        <w:t>服务</w:t>
      </w:r>
      <w:r>
        <w:rPr>
          <w:rFonts w:ascii="仿宋_GB2312" w:hAnsi="仿宋_GB2312" w:eastAsia="仿宋_GB2312"/>
          <w:b w:val="0"/>
          <w:sz w:val="32"/>
        </w:rPr>
        <w:t>保障能力提升资金项目。</w:t>
      </w:r>
    </w:p>
    <w:p w14:paraId="03FE058C">
      <w:pPr>
        <w:spacing w:line="580" w:lineRule="exact"/>
        <w:ind w:firstLine="640"/>
        <w:jc w:val="both"/>
      </w:pPr>
      <w:r>
        <w:rPr>
          <w:rFonts w:ascii="仿宋_GB2312" w:hAnsi="仿宋_GB2312" w:eastAsia="仿宋_GB2312"/>
          <w:b w:val="0"/>
          <w:sz w:val="32"/>
        </w:rPr>
        <w:t>10.卫生健康支出(类)医疗保障管理事务(款)医疗保障经办事务(项):支出决算数为0.56万元，比上年决算减少5.96万元，下降91.41%,主要原因是：本年减少关闭破产企业退休人员2023年下半年医疗保险费。</w:t>
      </w:r>
    </w:p>
    <w:p w14:paraId="60376AF9">
      <w:pPr>
        <w:spacing w:line="580" w:lineRule="exact"/>
        <w:ind w:firstLine="640"/>
        <w:jc w:val="both"/>
      </w:pPr>
      <w:r>
        <w:rPr>
          <w:rFonts w:ascii="仿宋_GB2312" w:hAnsi="仿宋_GB2312" w:eastAsia="仿宋_GB2312"/>
          <w:b w:val="0"/>
          <w:sz w:val="32"/>
        </w:rPr>
        <w:t>11.卫生健康支出(类)医疗保障管理事务(款)其他医疗保障管理事务支出(项):支出决算数为7.82万元，比上年决算减少5.97万元，下降43.29%,主要原因是：本年减少中央财政医疗</w:t>
      </w:r>
      <w:r>
        <w:rPr>
          <w:rFonts w:hint="eastAsia" w:ascii="仿宋_GB2312" w:hAnsi="仿宋_GB2312" w:eastAsia="仿宋_GB2312"/>
          <w:b w:val="0"/>
          <w:sz w:val="32"/>
          <w:lang w:eastAsia="zh-CN"/>
        </w:rPr>
        <w:t>服务</w:t>
      </w:r>
      <w:r>
        <w:rPr>
          <w:rFonts w:ascii="仿宋_GB2312" w:hAnsi="仿宋_GB2312" w:eastAsia="仿宋_GB2312"/>
          <w:b w:val="0"/>
          <w:sz w:val="32"/>
        </w:rPr>
        <w:t>保障能力提升资金项目。</w:t>
      </w:r>
    </w:p>
    <w:p w14:paraId="606F86F1">
      <w:pPr>
        <w:spacing w:line="580" w:lineRule="exact"/>
        <w:ind w:firstLine="640"/>
        <w:jc w:val="both"/>
      </w:pPr>
      <w:r>
        <w:rPr>
          <w:rFonts w:ascii="仿宋_GB2312" w:hAnsi="仿宋_GB2312" w:eastAsia="仿宋_GB2312"/>
          <w:b w:val="0"/>
          <w:sz w:val="32"/>
        </w:rPr>
        <w:t>12.住房保障支出(类)住房改革支出(款)住房公积金(项):支出决算数为25.61万元，比上年决算减少0.85万元，下降3.21%,主要原因是：本年在职人员调入调出，人员职级不同，缴费基数不同，导致住房公积金较上年减少。</w:t>
      </w:r>
    </w:p>
    <w:p w14:paraId="23682F90">
      <w:pPr>
        <w:spacing w:line="580" w:lineRule="exact"/>
        <w:ind w:firstLine="640"/>
        <w:jc w:val="both"/>
      </w:pPr>
      <w:r>
        <w:rPr>
          <w:rFonts w:ascii="仿宋_GB2312" w:hAnsi="仿宋_GB2312" w:eastAsia="仿宋_GB2312"/>
          <w:b w:val="0"/>
          <w:sz w:val="32"/>
        </w:rPr>
        <w:t>13.其他支出(类)其他支出(款)其他支出(项):支出决算数为5.35万元，比上年决算增加5.35万元，增长100.00%,主要原因是：本年增加民办实事工作经费。</w:t>
      </w:r>
    </w:p>
    <w:p w14:paraId="25580894">
      <w:pPr>
        <w:spacing w:line="640" w:lineRule="exact"/>
        <w:ind w:firstLine="640"/>
        <w:jc w:val="both"/>
        <w:outlineLvl w:val="2"/>
      </w:pPr>
      <w:r>
        <w:rPr>
          <w:rFonts w:ascii="黑体" w:hAnsi="黑体" w:eastAsia="黑体"/>
          <w:sz w:val="32"/>
        </w:rPr>
        <w:t>六、一般公共预算财政拨款基本支出决算情况说明</w:t>
      </w:r>
    </w:p>
    <w:p w14:paraId="4DD6B4AE">
      <w:pPr>
        <w:spacing w:line="580" w:lineRule="exact"/>
        <w:ind w:firstLine="640"/>
        <w:jc w:val="both"/>
      </w:pPr>
      <w:r>
        <w:rPr>
          <w:rFonts w:ascii="仿宋_GB2312" w:hAnsi="仿宋_GB2312" w:eastAsia="仿宋_GB2312"/>
          <w:b w:val="0"/>
          <w:sz w:val="32"/>
        </w:rPr>
        <w:t>2024年度一般公共预算财政拨款基本支出329.82万元，其中：</w:t>
      </w:r>
      <w:r>
        <w:rPr>
          <w:rFonts w:ascii="仿宋_GB2312" w:hAnsi="仿宋_GB2312" w:eastAsia="仿宋_GB2312"/>
          <w:b/>
          <w:sz w:val="32"/>
        </w:rPr>
        <w:t>人员经费323.84万元，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355DDAB2">
      <w:pPr>
        <w:spacing w:line="580" w:lineRule="exact"/>
        <w:ind w:firstLine="640"/>
        <w:jc w:val="both"/>
      </w:pPr>
      <w:r>
        <w:rPr>
          <w:rFonts w:ascii="仿宋_GB2312" w:hAnsi="仿宋_GB2312" w:eastAsia="仿宋_GB2312"/>
          <w:b/>
          <w:sz w:val="32"/>
        </w:rPr>
        <w:t>公用经费5.98万元，</w:t>
      </w:r>
      <w:r>
        <w:rPr>
          <w:rFonts w:ascii="仿宋_GB2312" w:hAnsi="仿宋_GB2312" w:eastAsia="仿宋_GB2312"/>
          <w:b w:val="0"/>
          <w:sz w:val="32"/>
        </w:rPr>
        <w:t>包括：办公费、印刷费、邮电费、差旅费、维修（护）费、公务用车运行维护费。</w:t>
      </w:r>
    </w:p>
    <w:p w14:paraId="08336A7C">
      <w:pPr>
        <w:spacing w:line="640" w:lineRule="exact"/>
        <w:ind w:firstLine="640"/>
        <w:jc w:val="both"/>
        <w:outlineLvl w:val="2"/>
      </w:pPr>
      <w:r>
        <w:rPr>
          <w:rFonts w:ascii="黑体" w:hAnsi="黑体" w:eastAsia="黑体"/>
          <w:sz w:val="32"/>
        </w:rPr>
        <w:t>七、政府性基金预算财政拨款收入支出决算情况说明</w:t>
      </w:r>
    </w:p>
    <w:p w14:paraId="4958E22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491148D">
      <w:pPr>
        <w:spacing w:line="640" w:lineRule="exact"/>
        <w:ind w:firstLine="640"/>
        <w:jc w:val="both"/>
        <w:outlineLvl w:val="2"/>
      </w:pPr>
      <w:r>
        <w:rPr>
          <w:rFonts w:ascii="黑体" w:hAnsi="黑体" w:eastAsia="黑体"/>
          <w:sz w:val="32"/>
        </w:rPr>
        <w:t>八、国有资本经营预算财政拨款收入支出决算情况说明</w:t>
      </w:r>
    </w:p>
    <w:p w14:paraId="5362627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F963B60">
      <w:pPr>
        <w:spacing w:line="640" w:lineRule="exact"/>
        <w:ind w:firstLine="640"/>
        <w:jc w:val="both"/>
        <w:outlineLvl w:val="2"/>
      </w:pPr>
      <w:r>
        <w:rPr>
          <w:rFonts w:ascii="黑体" w:hAnsi="黑体" w:eastAsia="黑体"/>
          <w:sz w:val="32"/>
        </w:rPr>
        <w:t>九、财政拨款“三公”经费支出决算情况说明</w:t>
      </w:r>
    </w:p>
    <w:p w14:paraId="08844611">
      <w:pPr>
        <w:spacing w:line="580" w:lineRule="exact"/>
        <w:ind w:firstLine="640"/>
        <w:jc w:val="both"/>
      </w:pPr>
      <w:r>
        <w:rPr>
          <w:rFonts w:ascii="仿宋_GB2312" w:hAnsi="仿宋_GB2312" w:eastAsia="仿宋_GB2312"/>
          <w:b/>
          <w:sz w:val="32"/>
        </w:rPr>
        <w:t>2024年度财政拨款“三公”经费支出1.68万元，</w:t>
      </w:r>
      <w:r>
        <w:rPr>
          <w:rFonts w:ascii="仿宋_GB2312" w:hAnsi="仿宋_GB2312" w:eastAsia="仿宋_GB2312"/>
          <w:b w:val="0"/>
          <w:sz w:val="32"/>
        </w:rPr>
        <w:t>比上年减少0.55万元，下降24.66%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1.68万元，占100.00%，比上年减少0.55万元，下降24.66%，主要原因是：严格落实中央八项规定精神，厉行节约，减少公务用车运行维护费。公务接待费支出0.00万元，占0.00%，比上年增加0.00万元，增长0.00%，主要原因是：2023年与2024年均未安排公务接待费支出。</w:t>
      </w:r>
    </w:p>
    <w:p w14:paraId="18D1DBF6">
      <w:pPr>
        <w:spacing w:line="580" w:lineRule="exact"/>
        <w:ind w:firstLine="640"/>
        <w:jc w:val="both"/>
      </w:pPr>
      <w:r>
        <w:rPr>
          <w:rFonts w:ascii="仿宋_GB2312" w:hAnsi="仿宋_GB2312" w:eastAsia="仿宋_GB2312"/>
          <w:b/>
          <w:sz w:val="32"/>
        </w:rPr>
        <w:t>具体情况如下：</w:t>
      </w:r>
    </w:p>
    <w:p w14:paraId="63F0AFF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B45D0F">
      <w:pPr>
        <w:spacing w:line="580" w:lineRule="exact"/>
        <w:ind w:firstLine="640"/>
        <w:jc w:val="both"/>
      </w:pPr>
      <w:r>
        <w:rPr>
          <w:rFonts w:ascii="仿宋_GB2312" w:hAnsi="仿宋_GB2312" w:eastAsia="仿宋_GB2312"/>
          <w:b w:val="0"/>
          <w:sz w:val="32"/>
        </w:rPr>
        <w:t>公务用车购置及运行维护费1.68万元，其中：公务用车购置费0.00万元，公务用车运行维护费1.68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4DA7F9D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2217B5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1.68万元，决算数1.68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1.68万元，决算数1.68万元，预决算差异率0.00%，主要原因是：严格按照预算执行，预决算无差异。公务接待费全年预算数0.00万元，决算数0.00万元，预决算差异率0.00%，主要原因是：本单位无公务接待费。</w:t>
      </w:r>
    </w:p>
    <w:p w14:paraId="3351D752">
      <w:pPr>
        <w:spacing w:line="640" w:lineRule="exact"/>
        <w:ind w:firstLine="640"/>
        <w:jc w:val="both"/>
        <w:outlineLvl w:val="2"/>
      </w:pPr>
      <w:r>
        <w:rPr>
          <w:rFonts w:ascii="黑体" w:hAnsi="黑体" w:eastAsia="黑体"/>
          <w:sz w:val="32"/>
        </w:rPr>
        <w:t>十、其他重要事项的情况说明</w:t>
      </w:r>
    </w:p>
    <w:p w14:paraId="2ECDA64A">
      <w:pPr>
        <w:spacing w:line="640" w:lineRule="exact"/>
        <w:ind w:firstLine="640"/>
        <w:jc w:val="both"/>
        <w:outlineLvl w:val="3"/>
      </w:pPr>
      <w:r>
        <w:rPr>
          <w:rFonts w:ascii="楷体_GB2312" w:hAnsi="楷体_GB2312" w:eastAsia="楷体_GB2312"/>
          <w:b/>
          <w:sz w:val="32"/>
        </w:rPr>
        <w:t>（一）机关运行经费及公用经费支出情况</w:t>
      </w:r>
    </w:p>
    <w:p w14:paraId="4DF89F10">
      <w:pPr>
        <w:spacing w:line="580" w:lineRule="exact"/>
        <w:ind w:firstLine="640"/>
        <w:jc w:val="both"/>
      </w:pPr>
      <w:r>
        <w:rPr>
          <w:rFonts w:ascii="仿宋_GB2312" w:hAnsi="仿宋_GB2312" w:eastAsia="仿宋_GB2312"/>
          <w:b w:val="0"/>
          <w:sz w:val="32"/>
        </w:rPr>
        <w:t>2024年度疏附县医疗保障局（行政单位和参照公务员法管理事业单位）机关运行经费支出5.98万元，比上年增加2.00万元，增长50.25%，主要原因是：本年更新、维护补充办公用品，导致机关运行经费较上年增加。</w:t>
      </w:r>
    </w:p>
    <w:p w14:paraId="613BE2B1">
      <w:pPr>
        <w:spacing w:line="640" w:lineRule="exact"/>
        <w:ind w:firstLine="640"/>
        <w:jc w:val="both"/>
        <w:outlineLvl w:val="3"/>
      </w:pPr>
      <w:r>
        <w:rPr>
          <w:rFonts w:ascii="楷体_GB2312" w:hAnsi="楷体_GB2312" w:eastAsia="楷体_GB2312"/>
          <w:b/>
          <w:sz w:val="32"/>
        </w:rPr>
        <w:t>（二）政府采购情况</w:t>
      </w:r>
    </w:p>
    <w:p w14:paraId="409919F6">
      <w:pPr>
        <w:spacing w:line="580" w:lineRule="exact"/>
        <w:ind w:firstLine="640"/>
        <w:jc w:val="both"/>
      </w:pPr>
      <w:r>
        <w:rPr>
          <w:rFonts w:ascii="仿宋_GB2312" w:hAnsi="仿宋_GB2312" w:eastAsia="仿宋_GB2312"/>
          <w:b w:val="0"/>
          <w:sz w:val="32"/>
        </w:rPr>
        <w:t>2024年度政府采购支出总额2.91万元，其中：政府采购货物支出2.25万元、政府采购工程支出0.00万元、政府采购服务支出0.66万元。</w:t>
      </w:r>
    </w:p>
    <w:p w14:paraId="3A63960D">
      <w:pPr>
        <w:spacing w:line="580" w:lineRule="exact"/>
        <w:ind w:firstLine="640"/>
        <w:jc w:val="both"/>
      </w:pPr>
      <w:r>
        <w:rPr>
          <w:rFonts w:ascii="仿宋_GB2312" w:hAnsi="仿宋_GB2312" w:eastAsia="仿宋_GB2312"/>
          <w:b w:val="0"/>
          <w:sz w:val="32"/>
        </w:rPr>
        <w:t>授予中小企业合同金额2.91万元，占政府采购支出总额的100.00%，其中：授予小微企业合同金额0.66万元，占政府采购支出总额的22.68%。</w:t>
      </w:r>
    </w:p>
    <w:p w14:paraId="2590D70A">
      <w:pPr>
        <w:spacing w:line="640" w:lineRule="exact"/>
        <w:ind w:firstLine="640"/>
        <w:jc w:val="both"/>
        <w:outlineLvl w:val="3"/>
      </w:pPr>
      <w:r>
        <w:rPr>
          <w:rFonts w:ascii="楷体_GB2312" w:hAnsi="楷体_GB2312" w:eastAsia="楷体_GB2312"/>
          <w:b/>
          <w:sz w:val="32"/>
        </w:rPr>
        <w:t>（三）国有资产占用情况说明</w:t>
      </w:r>
    </w:p>
    <w:p w14:paraId="24913036">
      <w:pPr>
        <w:spacing w:line="580" w:lineRule="exact"/>
        <w:ind w:firstLine="640"/>
        <w:jc w:val="both"/>
      </w:pPr>
      <w:r>
        <w:rPr>
          <w:rFonts w:ascii="仿宋_GB2312" w:hAnsi="仿宋_GB2312" w:eastAsia="仿宋_GB2312"/>
          <w:b w:val="0"/>
          <w:sz w:val="32"/>
        </w:rPr>
        <w:t>截至2024年12月31日，房屋0.00平方米，价值0.00万元。车辆2辆，价值34.73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5E1E4748">
      <w:pPr>
        <w:spacing w:line="640" w:lineRule="exact"/>
        <w:ind w:firstLine="640"/>
        <w:jc w:val="both"/>
        <w:outlineLvl w:val="2"/>
      </w:pPr>
      <w:r>
        <w:rPr>
          <w:rFonts w:ascii="黑体" w:hAnsi="黑体" w:eastAsia="黑体"/>
          <w:sz w:val="32"/>
        </w:rPr>
        <w:t>十一、预算绩效的情况说明</w:t>
      </w:r>
    </w:p>
    <w:p w14:paraId="281E100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根据预算绩效管理要求，本单位2024年度预算绩效管理形成整体支出绩效自评表1个，全年预算总额378.99万元，实际执行总额373.10万元；预算绩效评价项目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47</w:t>
      </w:r>
      <w:r>
        <w:rPr>
          <w:rFonts w:ascii="仿宋_GB2312" w:hAnsi="仿宋_GB2312" w:eastAsia="仿宋_GB2312"/>
          <w:b w:val="0"/>
          <w:sz w:val="32"/>
        </w:rPr>
        <w:t>.64万元，全年执行数</w:t>
      </w:r>
      <w:r>
        <w:rPr>
          <w:rFonts w:hint="eastAsia" w:ascii="仿宋_GB2312" w:hAnsi="仿宋_GB2312" w:eastAsia="仿宋_GB2312"/>
          <w:b w:val="0"/>
          <w:sz w:val="32"/>
          <w:lang w:val="en-US" w:eastAsia="zh-CN"/>
        </w:rPr>
        <w:t>40</w:t>
      </w:r>
      <w:r>
        <w:rPr>
          <w:rFonts w:ascii="仿宋_GB2312" w:hAnsi="仿宋_GB2312" w:eastAsia="仿宋_GB2312"/>
          <w:b w:val="0"/>
          <w:sz w:val="32"/>
        </w:rPr>
        <w:t>.</w:t>
      </w:r>
      <w:r>
        <w:rPr>
          <w:rFonts w:hint="eastAsia" w:ascii="仿宋_GB2312" w:hAnsi="仿宋_GB2312" w:eastAsia="仿宋_GB2312"/>
          <w:b w:val="0"/>
          <w:sz w:val="32"/>
          <w:lang w:val="en-US" w:eastAsia="zh-CN"/>
        </w:rPr>
        <w:t>99</w:t>
      </w:r>
      <w:r>
        <w:rPr>
          <w:rFonts w:ascii="仿宋_GB2312" w:hAnsi="仿宋_GB2312" w:eastAsia="仿宋_GB2312"/>
          <w:b w:val="0"/>
          <w:sz w:val="32"/>
        </w:rPr>
        <w:t>万元。预算绩效管理取得的成效：一是疏附县医疗保障局在其职权范围内，明确项目职责分工和成本控制要求，对各种影响成本的因素和条件</w:t>
      </w:r>
      <w:r>
        <w:rPr>
          <w:rFonts w:hint="eastAsia" w:ascii="仿宋_GB2312" w:hAnsi="仿宋_GB2312" w:eastAsia="仿宋_GB2312"/>
          <w:b w:val="0"/>
          <w:sz w:val="32"/>
          <w:lang w:eastAsia="zh-CN"/>
        </w:rPr>
        <w:t>采取</w:t>
      </w:r>
      <w:r>
        <w:rPr>
          <w:rFonts w:ascii="仿宋_GB2312" w:hAnsi="仿宋_GB2312" w:eastAsia="仿宋_GB2312"/>
          <w:b w:val="0"/>
          <w:sz w:val="32"/>
        </w:rPr>
        <w:t>一系列预防和调节措施，科学地组织实施成本控制。严格按照相关的专项资金管理办法，实行多重审批控制专项经费的支出。二是项目根据实际情况做出合理预算，支出严格控制在预算范围内，本着节约成本，防止资源浪费的原则将项目成效最大化。发现的问题及原因：一是缺乏相关绩效管理方面的专业知识。在绩效自评过程中，</w:t>
      </w:r>
      <w:r>
        <w:rPr>
          <w:rFonts w:hint="eastAsia" w:ascii="仿宋_GB2312" w:hAnsi="仿宋_GB2312" w:eastAsia="仿宋_GB2312"/>
          <w:b w:val="0"/>
          <w:sz w:val="32"/>
          <w:lang w:eastAsia="zh-CN"/>
        </w:rPr>
        <w:t>由</w:t>
      </w:r>
      <w:bookmarkStart w:id="0" w:name="_GoBack"/>
      <w:r>
        <w:rPr>
          <w:rFonts w:hint="eastAsia" w:ascii="仿宋_GB2312" w:hAnsi="仿宋_GB2312" w:eastAsia="仿宋_GB2312"/>
          <w:b w:val="0"/>
          <w:sz w:val="32"/>
          <w:lang w:eastAsia="zh-CN"/>
        </w:rPr>
        <w:t>于</w:t>
      </w:r>
      <w:r>
        <w:rPr>
          <w:rFonts w:ascii="仿宋_GB2312" w:hAnsi="仿宋_GB2312" w:eastAsia="仿宋_GB2312"/>
          <w:b w:val="0"/>
          <w:sz w:val="32"/>
        </w:rPr>
        <w:t>部</w:t>
      </w:r>
      <w:bookmarkEnd w:id="0"/>
      <w:r>
        <w:rPr>
          <w:rFonts w:ascii="仿宋_GB2312" w:hAnsi="仿宋_GB2312" w:eastAsia="仿宋_GB2312"/>
          <w:b w:val="0"/>
          <w:sz w:val="32"/>
        </w:rPr>
        <w:t>分人员缺乏相关绩效管理专业知识，对绩效指标表述不清晰。二是因轮岗、调动、退休等因素使</w:t>
      </w:r>
      <w:r>
        <w:rPr>
          <w:rFonts w:hint="eastAsia" w:ascii="仿宋_GB2312" w:hAnsi="仿宋_GB2312" w:eastAsia="仿宋_GB2312"/>
          <w:b w:val="0"/>
          <w:sz w:val="32"/>
          <w:lang w:eastAsia="zh-CN"/>
        </w:rPr>
        <w:t>本单位</w:t>
      </w:r>
      <w:r>
        <w:rPr>
          <w:rFonts w:ascii="仿宋_GB2312" w:hAnsi="仿宋_GB2312" w:eastAsia="仿宋_GB2312"/>
          <w:b w:val="0"/>
          <w:sz w:val="32"/>
        </w:rPr>
        <w:t>绩效工作人员流动频繁，</w:t>
      </w:r>
      <w:r>
        <w:rPr>
          <w:rFonts w:hint="eastAsia" w:ascii="仿宋_GB2312" w:hAnsi="仿宋_GB2312" w:eastAsia="仿宋_GB2312"/>
          <w:b w:val="0"/>
          <w:sz w:val="32"/>
          <w:lang w:eastAsia="zh-CN"/>
        </w:rPr>
        <w:t>造成</w:t>
      </w:r>
      <w:r>
        <w:rPr>
          <w:rFonts w:ascii="仿宋_GB2312" w:hAnsi="仿宋_GB2312" w:eastAsia="仿宋_GB2312"/>
          <w:b w:val="0"/>
          <w:sz w:val="32"/>
        </w:rPr>
        <w:t>工作衔接不到位的情况。三是之前年度本单位固定资产与疏附</w:t>
      </w:r>
      <w:r>
        <w:rPr>
          <w:rFonts w:hint="eastAsia" w:ascii="仿宋_GB2312" w:hAnsi="仿宋_GB2312" w:eastAsia="仿宋_GB2312"/>
          <w:b w:val="0"/>
          <w:sz w:val="32"/>
          <w:lang w:eastAsia="zh-CN"/>
        </w:rPr>
        <w:t>县人力资源和社会保障局</w:t>
      </w:r>
      <w:r>
        <w:rPr>
          <w:rFonts w:ascii="仿宋_GB2312" w:hAnsi="仿宋_GB2312" w:eastAsia="仿宋_GB2312"/>
          <w:b w:val="0"/>
          <w:sz w:val="32"/>
        </w:rPr>
        <w:t>统一计入固定资产管理系统，现已分开但仍未办理资产划拨手续，进行固定资产清点，对固定资产管理方面存在不足。下一步改进措施：一是加大培训力度，加强对财务人员的培训。应结合本单位绩效管理实际情况，针对预算编制过程中的程序、方法、内容以及可能涉及的政策、法规等做系统、全面</w:t>
      </w:r>
      <w:r>
        <w:rPr>
          <w:rFonts w:hint="eastAsia" w:ascii="仿宋_GB2312" w:hAnsi="仿宋_GB2312" w:eastAsia="仿宋_GB2312"/>
          <w:b w:val="0"/>
          <w:sz w:val="32"/>
          <w:lang w:eastAsia="zh-CN"/>
        </w:rPr>
        <w:t>地</w:t>
      </w:r>
      <w:r>
        <w:rPr>
          <w:rFonts w:ascii="仿宋_GB2312" w:hAnsi="仿宋_GB2312" w:eastAsia="仿宋_GB2312"/>
          <w:b w:val="0"/>
          <w:sz w:val="32"/>
        </w:rPr>
        <w:t>学习，从而提高本单位财务人员的政策和业务水平，加强部门预算的基础工作。二是设立固定的绩效工作人员。建议</w:t>
      </w:r>
      <w:r>
        <w:rPr>
          <w:rFonts w:hint="eastAsia" w:ascii="仿宋_GB2312" w:hAnsi="仿宋_GB2312" w:eastAsia="仿宋_GB2312"/>
          <w:b w:val="0"/>
          <w:sz w:val="32"/>
          <w:lang w:eastAsia="zh-CN"/>
        </w:rPr>
        <w:t>本单位</w:t>
      </w:r>
      <w:r>
        <w:rPr>
          <w:rFonts w:ascii="仿宋_GB2312" w:hAnsi="仿宋_GB2312" w:eastAsia="仿宋_GB2312"/>
          <w:b w:val="0"/>
          <w:sz w:val="32"/>
        </w:rPr>
        <w:t>对绩效工作人员定职、定岗、定责，进一步提升</w:t>
      </w:r>
      <w:r>
        <w:rPr>
          <w:rFonts w:hint="eastAsia" w:ascii="仿宋_GB2312" w:hAnsi="仿宋_GB2312" w:eastAsia="仿宋_GB2312"/>
          <w:b w:val="0"/>
          <w:sz w:val="32"/>
          <w:lang w:eastAsia="zh-CN"/>
        </w:rPr>
        <w:t>本单位</w:t>
      </w:r>
      <w:r>
        <w:rPr>
          <w:rFonts w:ascii="仿宋_GB2312" w:hAnsi="仿宋_GB2312" w:eastAsia="仿宋_GB2312"/>
          <w:b w:val="0"/>
          <w:sz w:val="32"/>
        </w:rPr>
        <w:t>绩效管理工作业务水平，扎实做好绩效管理工作。三是及时定期对固定资产进行清查盘点，全面掌握并真实反映固定资产的数量、价值和使用状况，确保账相符、账实相符。具体附整体支出绩效自评表，项目支出绩效自评表和评价报告。</w:t>
      </w:r>
    </w:p>
    <w:p w14:paraId="41DBB4A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7C96F29">
        <w:tblPrEx>
          <w:tblCellMar>
            <w:top w:w="0" w:type="dxa"/>
            <w:left w:w="108" w:type="dxa"/>
            <w:bottom w:w="0" w:type="dxa"/>
            <w:right w:w="108" w:type="dxa"/>
          </w:tblCellMar>
        </w:tblPrEx>
        <w:tc>
          <w:tcPr>
            <w:tcW w:w="8847" w:type="dxa"/>
            <w:gridSpan w:val="9"/>
            <w:vAlign w:val="center"/>
          </w:tcPr>
          <w:p w14:paraId="75DCE2BB">
            <w:pPr>
              <w:jc w:val="center"/>
            </w:pPr>
            <w:r>
              <w:rPr>
                <w:rFonts w:ascii="宋体" w:hAnsi="宋体" w:eastAsia="宋体"/>
                <w:sz w:val="24"/>
              </w:rPr>
              <w:t>单位整体支出绩效自评表</w:t>
            </w:r>
          </w:p>
        </w:tc>
      </w:tr>
      <w:tr w14:paraId="741C0391">
        <w:tblPrEx>
          <w:tblCellMar>
            <w:top w:w="0" w:type="dxa"/>
            <w:left w:w="108" w:type="dxa"/>
            <w:bottom w:w="0" w:type="dxa"/>
            <w:right w:w="108" w:type="dxa"/>
          </w:tblCellMar>
        </w:tblPrEx>
        <w:tc>
          <w:tcPr>
            <w:tcW w:w="8847" w:type="dxa"/>
            <w:gridSpan w:val="9"/>
            <w:vAlign w:val="center"/>
          </w:tcPr>
          <w:p w14:paraId="5B313DEF">
            <w:pPr>
              <w:jc w:val="center"/>
            </w:pPr>
            <w:r>
              <w:rPr>
                <w:rFonts w:ascii="宋体" w:hAnsi="宋体" w:eastAsia="宋体"/>
                <w:sz w:val="24"/>
              </w:rPr>
              <w:t>（2024年度）</w:t>
            </w:r>
          </w:p>
        </w:tc>
      </w:tr>
      <w:tr w14:paraId="70D248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DDBD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830335">
            <w:pPr>
              <w:jc w:val="center"/>
            </w:pPr>
            <w:r>
              <w:rPr>
                <w:rFonts w:ascii="宋体" w:hAnsi="宋体" w:eastAsia="宋体"/>
                <w:sz w:val="16"/>
              </w:rPr>
              <w:t>疏附县医疗保障局</w:t>
            </w:r>
          </w:p>
        </w:tc>
      </w:tr>
      <w:tr w14:paraId="45DFFF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54623">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F183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C8E4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5358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CBD82">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FBC9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8C08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13E64">
            <w:pPr>
              <w:jc w:val="center"/>
            </w:pPr>
            <w:r>
              <w:rPr>
                <w:rFonts w:ascii="宋体" w:hAnsi="宋体" w:eastAsia="宋体"/>
                <w:sz w:val="16"/>
              </w:rPr>
              <w:t>得分</w:t>
            </w:r>
          </w:p>
        </w:tc>
      </w:tr>
      <w:tr w14:paraId="7D6CE7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A94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4579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0248C">
            <w:pPr>
              <w:jc w:val="center"/>
            </w:pPr>
            <w:r>
              <w:rPr>
                <w:rFonts w:ascii="宋体" w:hAnsi="宋体" w:eastAsia="宋体"/>
                <w:sz w:val="16"/>
              </w:rPr>
              <w:t>344.60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6553E">
            <w:pPr>
              <w:jc w:val="center"/>
            </w:pPr>
            <w:r>
              <w:rPr>
                <w:rFonts w:ascii="宋体" w:hAnsi="宋体" w:eastAsia="宋体"/>
                <w:sz w:val="16"/>
              </w:rPr>
              <w:t>378.99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09E53">
            <w:pPr>
              <w:jc w:val="center"/>
            </w:pPr>
            <w:r>
              <w:rPr>
                <w:rFonts w:ascii="宋体" w:hAnsi="宋体" w:eastAsia="宋体"/>
                <w:sz w:val="16"/>
              </w:rPr>
              <w:t>373.10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33C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868B0">
            <w:pPr>
              <w:jc w:val="center"/>
            </w:pPr>
            <w:r>
              <w:rPr>
                <w:rFonts w:ascii="宋体" w:hAnsi="宋体" w:eastAsia="宋体"/>
                <w:sz w:val="16"/>
              </w:rPr>
              <w:t>98.45%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36BA3">
            <w:pPr>
              <w:jc w:val="center"/>
            </w:pPr>
            <w:r>
              <w:rPr>
                <w:rFonts w:ascii="宋体" w:hAnsi="宋体" w:eastAsia="宋体"/>
                <w:sz w:val="16"/>
              </w:rPr>
              <w:t>9.74</w:t>
            </w:r>
          </w:p>
        </w:tc>
      </w:tr>
      <w:tr w14:paraId="725B4D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387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4AE8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403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EB760">
            <w:pPr>
              <w:jc w:val="center"/>
            </w:pPr>
            <w:r>
              <w:rPr>
                <w:rFonts w:ascii="宋体" w:hAnsi="宋体" w:eastAsia="宋体"/>
                <w:sz w:val="16"/>
              </w:rPr>
              <w:t>30.11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FB965">
            <w:pPr>
              <w:jc w:val="center"/>
            </w:pPr>
            <w:r>
              <w:rPr>
                <w:rFonts w:ascii="宋体" w:hAnsi="宋体" w:eastAsia="宋体"/>
                <w:sz w:val="16"/>
              </w:rPr>
              <w:t>25.46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4BC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0F5F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D4B32">
            <w:pPr>
              <w:jc w:val="center"/>
            </w:pPr>
            <w:r>
              <w:rPr>
                <w:rFonts w:ascii="宋体" w:hAnsi="宋体" w:eastAsia="宋体"/>
                <w:sz w:val="16"/>
              </w:rPr>
              <w:t>—</w:t>
            </w:r>
          </w:p>
        </w:tc>
      </w:tr>
      <w:tr w14:paraId="377F49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0D5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6B0D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FF42F">
            <w:pPr>
              <w:jc w:val="center"/>
            </w:pPr>
            <w:r>
              <w:rPr>
                <w:rFonts w:ascii="宋体" w:hAnsi="宋体" w:eastAsia="宋体"/>
                <w:sz w:val="16"/>
              </w:rPr>
              <w:t>344.60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68040">
            <w:pPr>
              <w:jc w:val="center"/>
            </w:pPr>
            <w:r>
              <w:rPr>
                <w:rFonts w:ascii="宋体" w:hAnsi="宋体" w:eastAsia="宋体"/>
                <w:sz w:val="16"/>
              </w:rPr>
              <w:t>348.88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03A9E">
            <w:pPr>
              <w:jc w:val="center"/>
            </w:pPr>
            <w:r>
              <w:rPr>
                <w:rFonts w:ascii="宋体" w:hAnsi="宋体" w:eastAsia="宋体"/>
                <w:sz w:val="16"/>
              </w:rPr>
              <w:t>347.64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132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3FEA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92350">
            <w:pPr>
              <w:jc w:val="center"/>
            </w:pPr>
            <w:r>
              <w:rPr>
                <w:rFonts w:ascii="宋体" w:hAnsi="宋体" w:eastAsia="宋体"/>
                <w:sz w:val="16"/>
              </w:rPr>
              <w:t>—</w:t>
            </w:r>
          </w:p>
        </w:tc>
      </w:tr>
      <w:tr w14:paraId="178547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7DE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5CCA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7B6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57F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4AA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7B0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D01A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D3F0B">
            <w:pPr>
              <w:jc w:val="center"/>
            </w:pPr>
            <w:r>
              <w:rPr>
                <w:rFonts w:ascii="宋体" w:hAnsi="宋体" w:eastAsia="宋体"/>
                <w:sz w:val="16"/>
              </w:rPr>
              <w:t>—</w:t>
            </w:r>
          </w:p>
        </w:tc>
      </w:tr>
      <w:tr w14:paraId="5A9609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C555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7C784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52CDDA">
            <w:pPr>
              <w:jc w:val="center"/>
            </w:pPr>
            <w:r>
              <w:rPr>
                <w:rFonts w:ascii="宋体" w:hAnsi="宋体" w:eastAsia="宋体"/>
                <w:sz w:val="16"/>
              </w:rPr>
              <w:t>实际完成情况</w:t>
            </w:r>
          </w:p>
        </w:tc>
      </w:tr>
      <w:tr w14:paraId="229A2F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BA8F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1E427C">
            <w:pPr>
              <w:jc w:val="both"/>
            </w:pPr>
            <w:r>
              <w:rPr>
                <w:rFonts w:ascii="宋体" w:hAnsi="宋体" w:eastAsia="宋体"/>
                <w:sz w:val="16"/>
              </w:rPr>
              <w:t>贯彻落实第九次全国对口支援新疆工作会议精神，自治区党委十届八次、九次全会精神，以及地委和县委相关会议精神。全力聚焦县委重点工作安排，结合疏附融入“大喀什”发展的契机，以助力高质量经济发展为依托，深入开展医疗保障各项业务和巩固脱贫成果同乡村振兴有效衔接。以保障和改善民生、促进社会和谐为根本目的，始终把各族群众看病就医有保障放在重要位置，狠抓医疗保障各项工作落实。</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2AFCB7">
            <w:pPr>
              <w:jc w:val="both"/>
            </w:pPr>
            <w:r>
              <w:rPr>
                <w:rFonts w:ascii="宋体" w:hAnsi="宋体" w:eastAsia="宋体"/>
                <w:sz w:val="16"/>
              </w:rPr>
              <w:t>2024年度完成基本医疗保险参保率100%，医保政策宣传覆盖率100%，确保困难群众的参保率100%，计划开通药店9家，慢性病患者享受门诊用药保障率100%，全力聚焦县委重点工作安排，结合疏附融入“大喀什”发展的契机，以助力高质量经济发展为依托，深入开展医疗保障各项业务和巩固脱贫成果同乡村振兴有效衔接。以保障和改善民生、促进社会和谐为根本目的，始终把各族群众看病就医有保障放在重要位置，狠抓医疗保障各项工作落实。</w:t>
            </w:r>
          </w:p>
        </w:tc>
      </w:tr>
      <w:tr w14:paraId="3EE7DB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D3BB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65F4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721A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7A9B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2C71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6FFF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5003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7FA5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B335B">
            <w:pPr>
              <w:jc w:val="center"/>
            </w:pPr>
            <w:r>
              <w:rPr>
                <w:rFonts w:ascii="宋体" w:hAnsi="宋体" w:eastAsia="宋体"/>
                <w:sz w:val="16"/>
              </w:rPr>
              <w:t>得分</w:t>
            </w:r>
          </w:p>
        </w:tc>
      </w:tr>
      <w:tr w14:paraId="67C93A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6B8E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A956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E8EB6">
            <w:pPr>
              <w:jc w:val="center"/>
            </w:pPr>
            <w:r>
              <w:rPr>
                <w:rFonts w:ascii="宋体" w:hAnsi="宋体" w:eastAsia="宋体"/>
                <w:sz w:val="16"/>
              </w:rPr>
              <w:t>基本医疗保险参保率（%）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853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CFF75">
            <w:pPr>
              <w:jc w:val="center"/>
            </w:pPr>
            <w:r>
              <w:rPr>
                <w:rFonts w:ascii="宋体" w:hAnsi="宋体" w:eastAsia="宋体"/>
                <w:sz w:val="16"/>
              </w:rPr>
              <w:t>医疗保障局2024年度工作计划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FCA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B2A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BF6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A3AF2">
            <w:pPr>
              <w:jc w:val="center"/>
            </w:pPr>
            <w:r>
              <w:rPr>
                <w:rFonts w:ascii="宋体" w:hAnsi="宋体" w:eastAsia="宋体"/>
                <w:sz w:val="16"/>
              </w:rPr>
              <w:t>20</w:t>
            </w:r>
          </w:p>
        </w:tc>
      </w:tr>
      <w:tr w14:paraId="3FE5AA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E7B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258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C6D66">
            <w:pPr>
              <w:jc w:val="center"/>
            </w:pPr>
            <w:r>
              <w:rPr>
                <w:rFonts w:ascii="宋体" w:hAnsi="宋体" w:eastAsia="宋体"/>
                <w:sz w:val="16"/>
              </w:rPr>
              <w:t>医保政策宣传覆盖率（%）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345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96986">
            <w:pPr>
              <w:jc w:val="center"/>
            </w:pPr>
            <w:r>
              <w:rPr>
                <w:rFonts w:ascii="宋体" w:hAnsi="宋体" w:eastAsia="宋体"/>
                <w:sz w:val="16"/>
              </w:rPr>
              <w:t>医疗保障局2024年度工作计划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ED9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566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C83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50DA6">
            <w:pPr>
              <w:jc w:val="center"/>
            </w:pPr>
            <w:r>
              <w:rPr>
                <w:rFonts w:ascii="宋体" w:hAnsi="宋体" w:eastAsia="宋体"/>
                <w:sz w:val="16"/>
              </w:rPr>
              <w:t>20</w:t>
            </w:r>
          </w:p>
        </w:tc>
      </w:tr>
      <w:tr w14:paraId="7B0731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A84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3E0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BA001">
            <w:pPr>
              <w:jc w:val="center"/>
            </w:pPr>
            <w:r>
              <w:rPr>
                <w:rFonts w:ascii="宋体" w:hAnsi="宋体" w:eastAsia="宋体"/>
                <w:sz w:val="16"/>
              </w:rPr>
              <w:t>确保困难群众的参保率（%）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D24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0FF02">
            <w:pPr>
              <w:jc w:val="center"/>
            </w:pPr>
            <w:r>
              <w:rPr>
                <w:rFonts w:ascii="宋体" w:hAnsi="宋体" w:eastAsia="宋体"/>
                <w:sz w:val="16"/>
              </w:rPr>
              <w:t>医疗保障局2024年度工作计划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517B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175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507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743CE">
            <w:pPr>
              <w:jc w:val="center"/>
            </w:pPr>
            <w:r>
              <w:rPr>
                <w:rFonts w:ascii="宋体" w:hAnsi="宋体" w:eastAsia="宋体"/>
                <w:sz w:val="16"/>
              </w:rPr>
              <w:t>20</w:t>
            </w:r>
          </w:p>
        </w:tc>
      </w:tr>
      <w:tr w14:paraId="5E8FC8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8BA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0F5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A3CA4">
            <w:pPr>
              <w:jc w:val="center"/>
            </w:pPr>
            <w:r>
              <w:rPr>
                <w:rFonts w:ascii="宋体" w:hAnsi="宋体" w:eastAsia="宋体"/>
                <w:sz w:val="16"/>
              </w:rPr>
              <w:t>计划开通药店（家）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13DBC">
            <w:pPr>
              <w:jc w:val="center"/>
            </w:pPr>
            <w:r>
              <w:rPr>
                <w:rFonts w:ascii="宋体" w:hAnsi="宋体" w:eastAsia="宋体"/>
                <w:sz w:val="16"/>
              </w:rPr>
              <w:t>&gt;=9家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B69E8">
            <w:pPr>
              <w:jc w:val="center"/>
            </w:pPr>
            <w:r>
              <w:rPr>
                <w:rFonts w:ascii="宋体" w:hAnsi="宋体" w:eastAsia="宋体"/>
                <w:sz w:val="16"/>
              </w:rPr>
              <w:t>医疗保障局2024年度工作计划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6983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04E4E">
            <w:pPr>
              <w:jc w:val="center"/>
            </w:pPr>
            <w:r>
              <w:rPr>
                <w:rFonts w:ascii="宋体" w:hAnsi="宋体" w:eastAsia="宋体"/>
                <w:sz w:val="16"/>
              </w:rPr>
              <w:t>9家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073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71E03">
            <w:pPr>
              <w:jc w:val="center"/>
            </w:pPr>
            <w:r>
              <w:rPr>
                <w:rFonts w:ascii="宋体" w:hAnsi="宋体" w:eastAsia="宋体"/>
                <w:sz w:val="16"/>
              </w:rPr>
              <w:t>15</w:t>
            </w:r>
          </w:p>
        </w:tc>
      </w:tr>
      <w:tr w14:paraId="53535F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882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5B9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D9C9E">
            <w:pPr>
              <w:jc w:val="center"/>
            </w:pPr>
            <w:r>
              <w:rPr>
                <w:rFonts w:ascii="宋体" w:hAnsi="宋体" w:eastAsia="宋体"/>
                <w:sz w:val="16"/>
              </w:rPr>
              <w:t>慢性病患者享受门诊用药保障率（%）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B5F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A5349">
            <w:pPr>
              <w:jc w:val="center"/>
            </w:pPr>
            <w:r>
              <w:rPr>
                <w:rFonts w:ascii="宋体" w:hAnsi="宋体" w:eastAsia="宋体"/>
                <w:sz w:val="16"/>
              </w:rPr>
              <w:t>医疗保障局2024年度工作计划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8522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137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D7E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B2D27">
            <w:pPr>
              <w:jc w:val="center"/>
            </w:pPr>
            <w:r>
              <w:rPr>
                <w:rFonts w:ascii="宋体" w:hAnsi="宋体" w:eastAsia="宋体"/>
                <w:sz w:val="16"/>
              </w:rPr>
              <w:t>15</w:t>
            </w:r>
          </w:p>
        </w:tc>
      </w:tr>
    </w:tbl>
    <w:p w14:paraId="3FF2A8C6">
      <w:r>
        <w:br w:type="page"/>
      </w:r>
    </w:p>
    <w:tbl>
      <w:tblPr>
        <w:tblStyle w:val="9"/>
        <w:tblW w:w="0" w:type="auto"/>
        <w:tblInd w:w="0" w:type="dxa"/>
        <w:tblLayout w:type="autofit"/>
        <w:tblCellMar>
          <w:top w:w="0" w:type="dxa"/>
          <w:left w:w="108" w:type="dxa"/>
          <w:bottom w:w="0" w:type="dxa"/>
          <w:right w:w="108" w:type="dxa"/>
        </w:tblCellMar>
      </w:tblPr>
      <w:tblGrid>
        <w:gridCol w:w="618"/>
        <w:gridCol w:w="596"/>
        <w:gridCol w:w="596"/>
        <w:gridCol w:w="696"/>
        <w:gridCol w:w="856"/>
        <w:gridCol w:w="597"/>
        <w:gridCol w:w="696"/>
        <w:gridCol w:w="608"/>
        <w:gridCol w:w="597"/>
        <w:gridCol w:w="597"/>
        <w:gridCol w:w="776"/>
        <w:gridCol w:w="632"/>
        <w:gridCol w:w="565"/>
        <w:gridCol w:w="630"/>
      </w:tblGrid>
      <w:tr w14:paraId="427848AD">
        <w:tblPrEx>
          <w:tblCellMar>
            <w:top w:w="0" w:type="dxa"/>
            <w:left w:w="108" w:type="dxa"/>
            <w:bottom w:w="0" w:type="dxa"/>
            <w:right w:w="108" w:type="dxa"/>
          </w:tblCellMar>
        </w:tblPrEx>
        <w:tc>
          <w:tcPr>
            <w:tcW w:w="8848" w:type="dxa"/>
            <w:gridSpan w:val="14"/>
            <w:vAlign w:val="center"/>
          </w:tcPr>
          <w:p w14:paraId="240ECC23">
            <w:pPr>
              <w:jc w:val="center"/>
            </w:pPr>
            <w:r>
              <w:rPr>
                <w:rFonts w:ascii="宋体" w:hAnsi="宋体" w:eastAsia="宋体"/>
                <w:sz w:val="24"/>
              </w:rPr>
              <w:t>项目支出绩效自评表</w:t>
            </w:r>
          </w:p>
        </w:tc>
      </w:tr>
      <w:tr w14:paraId="48C15094">
        <w:tblPrEx>
          <w:tblCellMar>
            <w:top w:w="0" w:type="dxa"/>
            <w:left w:w="108" w:type="dxa"/>
            <w:bottom w:w="0" w:type="dxa"/>
            <w:right w:w="108" w:type="dxa"/>
          </w:tblCellMar>
        </w:tblPrEx>
        <w:tc>
          <w:tcPr>
            <w:tcW w:w="8848" w:type="dxa"/>
            <w:gridSpan w:val="14"/>
            <w:vAlign w:val="center"/>
          </w:tcPr>
          <w:p w14:paraId="05C0E2F4">
            <w:pPr>
              <w:jc w:val="center"/>
            </w:pPr>
            <w:r>
              <w:rPr>
                <w:rFonts w:ascii="宋体" w:hAnsi="宋体" w:eastAsia="宋体"/>
                <w:sz w:val="24"/>
              </w:rPr>
              <w:t>(2024年度)</w:t>
            </w:r>
          </w:p>
        </w:tc>
      </w:tr>
      <w:tr w14:paraId="714E55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D9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80F58A">
            <w:pPr>
              <w:jc w:val="center"/>
            </w:pPr>
            <w:r>
              <w:rPr>
                <w:rFonts w:ascii="宋体" w:hAnsi="宋体" w:eastAsia="宋体"/>
                <w:sz w:val="16"/>
              </w:rPr>
              <w:t>2024年度区属国有破产改制企业退休人员医疗保险费用项目</w:t>
            </w:r>
          </w:p>
        </w:tc>
      </w:tr>
      <w:tr w14:paraId="611CD5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D2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F3A855">
            <w:pPr>
              <w:jc w:val="center"/>
            </w:pPr>
            <w:r>
              <w:rPr>
                <w:rFonts w:ascii="宋体" w:hAnsi="宋体" w:eastAsia="宋体"/>
                <w:sz w:val="16"/>
              </w:rPr>
              <w:t>新疆维吾尔自治区医疗保障局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57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72815A">
            <w:pPr>
              <w:jc w:val="center"/>
            </w:pPr>
            <w:r>
              <w:rPr>
                <w:rFonts w:ascii="宋体" w:hAnsi="宋体" w:eastAsia="宋体"/>
                <w:sz w:val="16"/>
              </w:rPr>
              <w:t>疏附县医疗保障局</w:t>
            </w:r>
          </w:p>
        </w:tc>
      </w:tr>
      <w:tr w14:paraId="684E3A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34E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547A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508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E6A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57F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5FE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662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FB34">
            <w:pPr>
              <w:jc w:val="center"/>
            </w:pPr>
            <w:r>
              <w:rPr>
                <w:rFonts w:ascii="宋体" w:hAnsi="宋体" w:eastAsia="宋体"/>
                <w:sz w:val="16"/>
              </w:rPr>
              <w:t>得分</w:t>
            </w:r>
          </w:p>
        </w:tc>
      </w:tr>
      <w:tr w14:paraId="62561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60C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F69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8256A">
            <w:pPr>
              <w:jc w:val="center"/>
            </w:pPr>
            <w:r>
              <w:rPr>
                <w:rFonts w:ascii="宋体" w:hAnsi="宋体" w:eastAsia="宋体"/>
                <w:sz w:val="16"/>
              </w:rPr>
              <w:t>11.73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AA83E">
            <w:pPr>
              <w:jc w:val="center"/>
            </w:pPr>
            <w:r>
              <w:rPr>
                <w:rFonts w:ascii="宋体" w:hAnsi="宋体" w:eastAsia="宋体"/>
                <w:sz w:val="16"/>
              </w:rPr>
              <w:t>29.03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4C967">
            <w:pPr>
              <w:jc w:val="center"/>
            </w:pPr>
            <w:r>
              <w:rPr>
                <w:rFonts w:ascii="宋体" w:hAnsi="宋体" w:eastAsia="宋体"/>
                <w:sz w:val="16"/>
              </w:rPr>
              <w:t>29.03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EBC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8379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A861">
            <w:pPr>
              <w:jc w:val="center"/>
            </w:pPr>
            <w:r>
              <w:rPr>
                <w:rFonts w:ascii="宋体" w:hAnsi="宋体" w:eastAsia="宋体"/>
                <w:sz w:val="16"/>
              </w:rPr>
              <w:t>10.00分</w:t>
            </w:r>
          </w:p>
        </w:tc>
      </w:tr>
      <w:tr w14:paraId="50128B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C5B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884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D95C6">
            <w:pPr>
              <w:jc w:val="center"/>
            </w:pPr>
            <w:r>
              <w:rPr>
                <w:rFonts w:ascii="宋体" w:hAnsi="宋体" w:eastAsia="宋体"/>
                <w:sz w:val="16"/>
              </w:rPr>
              <w:t>11.73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175D7">
            <w:pPr>
              <w:jc w:val="center"/>
            </w:pPr>
            <w:r>
              <w:rPr>
                <w:rFonts w:ascii="宋体" w:hAnsi="宋体" w:eastAsia="宋体"/>
                <w:sz w:val="16"/>
              </w:rPr>
              <w:t>29.03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ECE79">
            <w:pPr>
              <w:jc w:val="center"/>
            </w:pPr>
            <w:r>
              <w:rPr>
                <w:rFonts w:ascii="宋体" w:hAnsi="宋体" w:eastAsia="宋体"/>
                <w:sz w:val="16"/>
              </w:rPr>
              <w:t>29.03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6B1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6269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3487">
            <w:pPr>
              <w:jc w:val="center"/>
            </w:pPr>
            <w:r>
              <w:rPr>
                <w:rFonts w:ascii="宋体" w:hAnsi="宋体" w:eastAsia="宋体"/>
                <w:sz w:val="16"/>
              </w:rPr>
              <w:t>—</w:t>
            </w:r>
          </w:p>
        </w:tc>
      </w:tr>
      <w:tr w14:paraId="063A0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90E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473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C02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1D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125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602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AE39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B4AA">
            <w:pPr>
              <w:jc w:val="center"/>
            </w:pPr>
            <w:r>
              <w:rPr>
                <w:rFonts w:ascii="宋体" w:hAnsi="宋体" w:eastAsia="宋体"/>
                <w:sz w:val="16"/>
              </w:rPr>
              <w:t>—</w:t>
            </w:r>
          </w:p>
        </w:tc>
      </w:tr>
      <w:tr w14:paraId="2FBD8B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1B59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145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0E0E47">
            <w:pPr>
              <w:jc w:val="center"/>
            </w:pPr>
            <w:r>
              <w:rPr>
                <w:rFonts w:ascii="宋体" w:hAnsi="宋体" w:eastAsia="宋体"/>
                <w:sz w:val="16"/>
              </w:rPr>
              <w:t>实际完成情况</w:t>
            </w:r>
          </w:p>
        </w:tc>
      </w:tr>
      <w:tr w14:paraId="3DB3A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661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51960">
            <w:pPr>
              <w:jc w:val="both"/>
            </w:pPr>
            <w:r>
              <w:rPr>
                <w:rFonts w:ascii="宋体" w:hAnsi="宋体" w:eastAsia="宋体"/>
                <w:sz w:val="16"/>
              </w:rPr>
              <w:t>2024年度区属国有关闭破产改制企业退休人员医疗保险费用项目全年预算金额为29.03万元，本项目为水工机械厂退休职工89人每月缴纳医疗保险费，缴纳人均标准为271.82元/月/人，本项目的实施有效保障疏附县水工机械厂退休人员医疗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E3EE0D">
            <w:pPr>
              <w:jc w:val="both"/>
            </w:pPr>
            <w:r>
              <w:rPr>
                <w:rFonts w:hint="eastAsia" w:ascii="宋体" w:hAnsi="宋体"/>
                <w:sz w:val="16"/>
                <w:lang w:eastAsia="zh-CN"/>
              </w:rPr>
              <w:t>截至</w:t>
            </w:r>
            <w:r>
              <w:rPr>
                <w:rFonts w:ascii="宋体" w:hAnsi="宋体" w:eastAsia="宋体"/>
                <w:sz w:val="16"/>
              </w:rPr>
              <w:t>2024年12月31日，2024度区属国有关闭破产改制企业退休人员医疗保险费用项目全年预算金额为29.03万元，执行率为100%。本项目为水工机械厂退休职工89人每月缴纳医疗保险费，缴纳人均标准为271.82元/月/人。通过本项目的实施有效保障疏附县水工机械厂退休人员医疗费，疏附县水工机械厂退休人员满意度达到95%。</w:t>
            </w:r>
          </w:p>
        </w:tc>
      </w:tr>
      <w:tr w14:paraId="0C5516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FA8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1E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5C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0C1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ACC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FD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F3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724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6F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D3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CB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C9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E341C">
            <w:pPr>
              <w:jc w:val="center"/>
            </w:pPr>
            <w:r>
              <w:rPr>
                <w:rFonts w:ascii="宋体" w:hAnsi="宋体" w:eastAsia="宋体"/>
                <w:sz w:val="16"/>
              </w:rPr>
              <w:t>偏差原因分析及改进措施</w:t>
            </w:r>
          </w:p>
        </w:tc>
      </w:tr>
      <w:tr w14:paraId="11FE14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322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0D3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942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3AEA">
            <w:pPr>
              <w:jc w:val="center"/>
            </w:pPr>
            <w:r>
              <w:rPr>
                <w:rFonts w:ascii="宋体" w:hAnsi="宋体" w:eastAsia="宋体"/>
                <w:sz w:val="16"/>
              </w:rPr>
              <w:t>水工机械厂退休人数（人）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2AF9">
            <w:pPr>
              <w:jc w:val="center"/>
            </w:pPr>
            <w:r>
              <w:rPr>
                <w:rFonts w:ascii="宋体" w:hAnsi="宋体" w:eastAsia="宋体"/>
                <w:sz w:val="16"/>
              </w:rPr>
              <w:t>&gt;=89人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DA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BC64">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93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93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04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83A1">
            <w:pPr>
              <w:jc w:val="center"/>
            </w:pPr>
            <w:r>
              <w:rPr>
                <w:rFonts w:ascii="宋体" w:hAnsi="宋体" w:eastAsia="宋体"/>
                <w:sz w:val="16"/>
              </w:rPr>
              <w:t>=89人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4B6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5D1C8">
            <w:pPr>
              <w:jc w:val="center"/>
            </w:pPr>
          </w:p>
        </w:tc>
      </w:tr>
      <w:tr w14:paraId="1175C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F2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D2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73F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461E">
            <w:pPr>
              <w:jc w:val="center"/>
            </w:pPr>
            <w:r>
              <w:rPr>
                <w:rFonts w:ascii="宋体" w:hAnsi="宋体" w:eastAsia="宋体"/>
                <w:sz w:val="16"/>
              </w:rPr>
              <w:t>医疗保险费缴费月数（个）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9012">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0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F750">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6F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B26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96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D7AF">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EC8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0A7DC">
            <w:pPr>
              <w:jc w:val="center"/>
            </w:pPr>
          </w:p>
        </w:tc>
      </w:tr>
      <w:tr w14:paraId="13442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959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8EC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8B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9B35">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A5A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49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9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E6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E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C4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C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CEA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77AF1">
            <w:pPr>
              <w:jc w:val="center"/>
            </w:pPr>
          </w:p>
        </w:tc>
      </w:tr>
      <w:tr w14:paraId="34564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C2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984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49B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389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3C3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8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2214">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A8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4A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50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205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2BB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A7B74">
            <w:pPr>
              <w:jc w:val="center"/>
            </w:pPr>
          </w:p>
        </w:tc>
      </w:tr>
      <w:tr w14:paraId="1F5AA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57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1E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C0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A9E6">
            <w:pPr>
              <w:jc w:val="center"/>
            </w:pPr>
            <w:r>
              <w:rPr>
                <w:rFonts w:ascii="宋体" w:hAnsi="宋体" w:eastAsia="宋体"/>
                <w:sz w:val="16"/>
              </w:rPr>
              <w:t>资金支出及时率（%）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5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F2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CF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6C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77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201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71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1ED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BE3CA">
            <w:pPr>
              <w:jc w:val="center"/>
            </w:pPr>
          </w:p>
        </w:tc>
      </w:tr>
      <w:tr w14:paraId="31B57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46D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0DB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F3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F581">
            <w:pPr>
              <w:jc w:val="center"/>
            </w:pPr>
            <w:r>
              <w:rPr>
                <w:rFonts w:ascii="宋体" w:hAnsi="宋体" w:eastAsia="宋体"/>
                <w:sz w:val="16"/>
              </w:rPr>
              <w:t>人均医疗保险费（元/月/人）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8E20">
            <w:pPr>
              <w:jc w:val="center"/>
            </w:pPr>
            <w:r>
              <w:rPr>
                <w:rFonts w:ascii="宋体" w:hAnsi="宋体" w:eastAsia="宋体"/>
                <w:sz w:val="16"/>
              </w:rPr>
              <w:t>&lt;=271.82元/月/人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DE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4E8C">
            <w:pPr>
              <w:jc w:val="center"/>
            </w:pPr>
            <w:r>
              <w:rPr>
                <w:rFonts w:ascii="宋体" w:hAnsi="宋体" w:eastAsia="宋体"/>
                <w:sz w:val="16"/>
              </w:rPr>
              <w:t>376.57元/月/人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CA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0F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CF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7BF0">
            <w:pPr>
              <w:jc w:val="center"/>
            </w:pPr>
            <w:r>
              <w:rPr>
                <w:rFonts w:ascii="宋体" w:hAnsi="宋体" w:eastAsia="宋体"/>
                <w:sz w:val="16"/>
              </w:rPr>
              <w:t>=271.82元/月/人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C72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55A45">
            <w:pPr>
              <w:jc w:val="center"/>
            </w:pPr>
          </w:p>
        </w:tc>
      </w:tr>
      <w:tr w14:paraId="21006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325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99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81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25B9">
            <w:pPr>
              <w:jc w:val="center"/>
            </w:pPr>
            <w:r>
              <w:rPr>
                <w:rFonts w:ascii="宋体" w:hAnsi="宋体" w:eastAsia="宋体"/>
                <w:sz w:val="16"/>
              </w:rPr>
              <w:t>保障疏附县水工机械厂退休人员医疗费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972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DD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1CE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FD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D5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20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4D9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89B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AF1F8">
            <w:pPr>
              <w:jc w:val="center"/>
            </w:pPr>
          </w:p>
        </w:tc>
      </w:tr>
      <w:tr w14:paraId="67FA8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266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42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CF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B5FB">
            <w:pPr>
              <w:jc w:val="center"/>
            </w:pPr>
            <w:r>
              <w:rPr>
                <w:rFonts w:ascii="宋体" w:hAnsi="宋体" w:eastAsia="宋体"/>
                <w:sz w:val="16"/>
              </w:rPr>
              <w:t>疏附县水工机械厂退休人员满意度（%）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2A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B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57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15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1F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11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DC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75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E7679">
            <w:pPr>
              <w:jc w:val="center"/>
            </w:pPr>
          </w:p>
        </w:tc>
      </w:tr>
      <w:tr w14:paraId="4D1FC25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A850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236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DE5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4E8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54C21C"/>
        </w:tc>
      </w:tr>
    </w:tbl>
    <w:p w14:paraId="7E1AB4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2626ED32">
        <w:tblPrEx>
          <w:tblCellMar>
            <w:top w:w="0" w:type="dxa"/>
            <w:left w:w="108" w:type="dxa"/>
            <w:bottom w:w="0" w:type="dxa"/>
            <w:right w:w="108" w:type="dxa"/>
          </w:tblCellMar>
        </w:tblPrEx>
        <w:tc>
          <w:tcPr>
            <w:tcW w:w="8848" w:type="dxa"/>
            <w:gridSpan w:val="14"/>
            <w:vAlign w:val="center"/>
          </w:tcPr>
          <w:p w14:paraId="41D0599E">
            <w:pPr>
              <w:jc w:val="center"/>
            </w:pPr>
            <w:r>
              <w:rPr>
                <w:rFonts w:ascii="宋体" w:hAnsi="宋体" w:eastAsia="宋体"/>
                <w:sz w:val="24"/>
              </w:rPr>
              <w:t>项目支出绩效自评表</w:t>
            </w:r>
          </w:p>
        </w:tc>
      </w:tr>
      <w:tr w14:paraId="77AD0AAC">
        <w:tblPrEx>
          <w:tblCellMar>
            <w:top w:w="0" w:type="dxa"/>
            <w:left w:w="108" w:type="dxa"/>
            <w:bottom w:w="0" w:type="dxa"/>
            <w:right w:w="108" w:type="dxa"/>
          </w:tblCellMar>
        </w:tblPrEx>
        <w:tc>
          <w:tcPr>
            <w:tcW w:w="8848" w:type="dxa"/>
            <w:gridSpan w:val="14"/>
            <w:vAlign w:val="center"/>
          </w:tcPr>
          <w:p w14:paraId="6E36B79E">
            <w:pPr>
              <w:jc w:val="center"/>
            </w:pPr>
            <w:r>
              <w:rPr>
                <w:rFonts w:ascii="宋体" w:hAnsi="宋体" w:eastAsia="宋体"/>
                <w:sz w:val="24"/>
              </w:rPr>
              <w:t>(2024年度)</w:t>
            </w:r>
          </w:p>
        </w:tc>
      </w:tr>
      <w:tr w14:paraId="72259D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C9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59A5DE">
            <w:pPr>
              <w:jc w:val="center"/>
            </w:pPr>
            <w:r>
              <w:rPr>
                <w:rFonts w:ascii="宋体" w:hAnsi="宋体" w:eastAsia="宋体"/>
                <w:sz w:val="16"/>
              </w:rPr>
              <w:t>2024年自治区财政全民参保及医疗服务经费补助资金项目</w:t>
            </w:r>
          </w:p>
        </w:tc>
      </w:tr>
      <w:tr w14:paraId="773C68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0F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C4D9F">
            <w:pPr>
              <w:jc w:val="center"/>
            </w:pPr>
            <w:r>
              <w:rPr>
                <w:rFonts w:ascii="宋体" w:hAnsi="宋体" w:eastAsia="宋体"/>
                <w:sz w:val="16"/>
              </w:rPr>
              <w:t>新疆维吾尔自治区医疗保障局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CB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C8BBC0">
            <w:pPr>
              <w:jc w:val="center"/>
            </w:pPr>
            <w:r>
              <w:rPr>
                <w:rFonts w:ascii="宋体" w:hAnsi="宋体" w:eastAsia="宋体"/>
                <w:sz w:val="16"/>
              </w:rPr>
              <w:t>疏附县医疗保障局</w:t>
            </w:r>
          </w:p>
        </w:tc>
      </w:tr>
      <w:tr w14:paraId="04C8A3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AF4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17B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AA7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F05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6D1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7B4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0CD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9754">
            <w:pPr>
              <w:jc w:val="center"/>
            </w:pPr>
            <w:r>
              <w:rPr>
                <w:rFonts w:ascii="宋体" w:hAnsi="宋体" w:eastAsia="宋体"/>
                <w:sz w:val="16"/>
              </w:rPr>
              <w:t>得分</w:t>
            </w:r>
          </w:p>
        </w:tc>
      </w:tr>
      <w:tr w14:paraId="786C6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076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C3D7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B0C6E">
            <w:pPr>
              <w:jc w:val="center"/>
            </w:pPr>
            <w:r>
              <w:rPr>
                <w:rFonts w:ascii="宋体" w:hAnsi="宋体" w:eastAsia="宋体"/>
                <w:sz w:val="16"/>
              </w:rPr>
              <w:t>6.61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08ECF">
            <w:pPr>
              <w:jc w:val="center"/>
            </w:pPr>
            <w:r>
              <w:rPr>
                <w:rFonts w:ascii="宋体" w:hAnsi="宋体" w:eastAsia="宋体"/>
                <w:sz w:val="16"/>
              </w:rPr>
              <w:t>6.61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61E53">
            <w:pPr>
              <w:jc w:val="center"/>
            </w:pPr>
            <w:r>
              <w:rPr>
                <w:rFonts w:ascii="宋体" w:hAnsi="宋体" w:eastAsia="宋体"/>
                <w:sz w:val="16"/>
              </w:rPr>
              <w:t>6.61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B24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E98E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8E1E">
            <w:pPr>
              <w:jc w:val="center"/>
            </w:pPr>
            <w:r>
              <w:rPr>
                <w:rFonts w:ascii="宋体" w:hAnsi="宋体" w:eastAsia="宋体"/>
                <w:sz w:val="16"/>
              </w:rPr>
              <w:t>10.00分</w:t>
            </w:r>
          </w:p>
        </w:tc>
      </w:tr>
      <w:tr w14:paraId="532A6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AC2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5F9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6F948">
            <w:pPr>
              <w:jc w:val="center"/>
            </w:pPr>
            <w:r>
              <w:rPr>
                <w:rFonts w:ascii="宋体" w:hAnsi="宋体" w:eastAsia="宋体"/>
                <w:sz w:val="16"/>
              </w:rPr>
              <w:t>6.61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60161">
            <w:pPr>
              <w:jc w:val="center"/>
            </w:pPr>
            <w:r>
              <w:rPr>
                <w:rFonts w:ascii="宋体" w:hAnsi="宋体" w:eastAsia="宋体"/>
                <w:sz w:val="16"/>
              </w:rPr>
              <w:t>6.61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B784C">
            <w:pPr>
              <w:jc w:val="center"/>
            </w:pPr>
            <w:r>
              <w:rPr>
                <w:rFonts w:ascii="宋体" w:hAnsi="宋体" w:eastAsia="宋体"/>
                <w:sz w:val="16"/>
              </w:rPr>
              <w:t>6.61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3DC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E77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44CC">
            <w:pPr>
              <w:jc w:val="center"/>
            </w:pPr>
            <w:r>
              <w:rPr>
                <w:rFonts w:ascii="宋体" w:hAnsi="宋体" w:eastAsia="宋体"/>
                <w:sz w:val="16"/>
              </w:rPr>
              <w:t>—</w:t>
            </w:r>
          </w:p>
        </w:tc>
      </w:tr>
      <w:tr w14:paraId="20472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09A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7B4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272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AD3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9A1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0AF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D9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DEC8">
            <w:pPr>
              <w:jc w:val="center"/>
            </w:pPr>
            <w:r>
              <w:rPr>
                <w:rFonts w:ascii="宋体" w:hAnsi="宋体" w:eastAsia="宋体"/>
                <w:sz w:val="16"/>
              </w:rPr>
              <w:t>—</w:t>
            </w:r>
          </w:p>
        </w:tc>
      </w:tr>
      <w:tr w14:paraId="629DC5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8A7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2FFB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22C413">
            <w:pPr>
              <w:jc w:val="center"/>
            </w:pPr>
            <w:r>
              <w:rPr>
                <w:rFonts w:ascii="宋体" w:hAnsi="宋体" w:eastAsia="宋体"/>
                <w:sz w:val="16"/>
              </w:rPr>
              <w:t>实际完成情况</w:t>
            </w:r>
          </w:p>
        </w:tc>
      </w:tr>
      <w:tr w14:paraId="2002D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532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09A48F">
            <w:pPr>
              <w:jc w:val="both"/>
            </w:pPr>
            <w:r>
              <w:rPr>
                <w:rFonts w:ascii="宋体" w:hAnsi="宋体" w:eastAsia="宋体"/>
                <w:sz w:val="16"/>
              </w:rPr>
              <w:t>本项目主要计划开展基本医疗保险参保工作，基本医疗保险参保人27.1万人，生育保险参保人数1.7万人；项目的实施将减轻参保人员经济负担，缓解社会矛盾，持续提高两定机构医疗保险服务质量，基本医疗保险参保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98786B">
            <w:pPr>
              <w:jc w:val="both"/>
            </w:pPr>
            <w:r>
              <w:rPr>
                <w:rFonts w:hint="eastAsia" w:ascii="宋体" w:hAnsi="宋体"/>
                <w:sz w:val="16"/>
                <w:lang w:eastAsia="zh-CN"/>
              </w:rPr>
              <w:t>截至2024</w:t>
            </w:r>
            <w:r>
              <w:rPr>
                <w:rFonts w:ascii="宋体" w:hAnsi="宋体" w:eastAsia="宋体"/>
                <w:sz w:val="16"/>
              </w:rPr>
              <w:t>年12月31日，本项目主要开展基本医疗保险参保工作，基本医疗保险参保人27.1万人，生育保险参保人数1.7万人；生育保险参保宣传费用2.10万元、基本医疗保险参保人数27.10万人、基本医疗保险参保费用4万元、生育保险参保人数1.70万人。通过本项目减轻参保人员就医经济负担，缓解社会矛盾；基本医疗保险参保群众满意度95%。</w:t>
            </w:r>
          </w:p>
        </w:tc>
      </w:tr>
      <w:tr w14:paraId="60A639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4F67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573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1C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F3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42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1F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63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22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73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CA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97D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455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5C5D3">
            <w:pPr>
              <w:jc w:val="center"/>
            </w:pPr>
            <w:r>
              <w:rPr>
                <w:rFonts w:ascii="宋体" w:hAnsi="宋体" w:eastAsia="宋体"/>
                <w:sz w:val="16"/>
              </w:rPr>
              <w:t>偏差原因分析及改进措施</w:t>
            </w:r>
          </w:p>
        </w:tc>
      </w:tr>
      <w:tr w14:paraId="14FA15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1FD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807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45D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315B">
            <w:pPr>
              <w:jc w:val="center"/>
            </w:pPr>
            <w:r>
              <w:rPr>
                <w:rFonts w:ascii="宋体" w:hAnsi="宋体" w:eastAsia="宋体"/>
                <w:sz w:val="16"/>
              </w:rPr>
              <w:t>基本医疗保险参保人数（万人）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50E7">
            <w:pPr>
              <w:jc w:val="center"/>
            </w:pPr>
            <w:r>
              <w:rPr>
                <w:rFonts w:ascii="宋体" w:hAnsi="宋体" w:eastAsia="宋体"/>
                <w:sz w:val="16"/>
              </w:rPr>
              <w:t>&gt;=27.10万人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27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1319">
            <w:pPr>
              <w:jc w:val="center"/>
            </w:pPr>
            <w:r>
              <w:rPr>
                <w:rFonts w:ascii="宋体" w:hAnsi="宋体" w:eastAsia="宋体"/>
                <w:sz w:val="16"/>
              </w:rPr>
              <w:t>27万人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3D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9A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8EEB">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AF30">
            <w:pPr>
              <w:jc w:val="center"/>
            </w:pPr>
            <w:r>
              <w:rPr>
                <w:rFonts w:ascii="宋体" w:hAnsi="宋体" w:eastAsia="宋体"/>
                <w:sz w:val="16"/>
              </w:rPr>
              <w:t>=27.1万人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DF1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5B70F">
            <w:pPr>
              <w:jc w:val="center"/>
            </w:pPr>
          </w:p>
        </w:tc>
      </w:tr>
      <w:tr w14:paraId="10C50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136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C3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DDD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9381">
            <w:pPr>
              <w:jc w:val="center"/>
            </w:pPr>
            <w:r>
              <w:rPr>
                <w:rFonts w:ascii="宋体" w:hAnsi="宋体" w:eastAsia="宋体"/>
                <w:sz w:val="16"/>
              </w:rPr>
              <w:t>生育保险参保人数（万人）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77A5">
            <w:pPr>
              <w:jc w:val="center"/>
            </w:pPr>
            <w:r>
              <w:rPr>
                <w:rFonts w:ascii="宋体" w:hAnsi="宋体" w:eastAsia="宋体"/>
                <w:sz w:val="16"/>
              </w:rPr>
              <w:t>&gt;=1.70万人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7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A505">
            <w:pPr>
              <w:jc w:val="center"/>
            </w:pPr>
            <w:r>
              <w:rPr>
                <w:rFonts w:ascii="宋体" w:hAnsi="宋体" w:eastAsia="宋体"/>
                <w:sz w:val="16"/>
              </w:rPr>
              <w:t>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AF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8C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05ED">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4BAA">
            <w:pPr>
              <w:jc w:val="center"/>
            </w:pPr>
            <w:r>
              <w:rPr>
                <w:rFonts w:ascii="宋体" w:hAnsi="宋体" w:eastAsia="宋体"/>
                <w:sz w:val="16"/>
              </w:rPr>
              <w:t>=1.7万人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826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28F3F">
            <w:pPr>
              <w:jc w:val="center"/>
            </w:pPr>
          </w:p>
        </w:tc>
      </w:tr>
      <w:tr w14:paraId="5D21C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8D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B0F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67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AEAC">
            <w:pPr>
              <w:jc w:val="center"/>
            </w:pPr>
            <w:r>
              <w:rPr>
                <w:rFonts w:ascii="宋体" w:hAnsi="宋体" w:eastAsia="宋体"/>
                <w:sz w:val="16"/>
              </w:rPr>
              <w:t>基本医疗保险参保率（%）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4A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A9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3A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8B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A4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9268">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E5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88F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648C8">
            <w:pPr>
              <w:jc w:val="center"/>
            </w:pPr>
          </w:p>
        </w:tc>
      </w:tr>
      <w:tr w14:paraId="6ECBF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7A5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B18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BD5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647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8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7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C2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6B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B3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F5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D3C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BA3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2ACB0">
            <w:pPr>
              <w:jc w:val="center"/>
            </w:pPr>
          </w:p>
        </w:tc>
      </w:tr>
      <w:tr w14:paraId="7C1DD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A2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A37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32C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754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847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F1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4790">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4C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C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AD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543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22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A82CD">
            <w:pPr>
              <w:jc w:val="center"/>
            </w:pPr>
          </w:p>
        </w:tc>
      </w:tr>
      <w:tr w14:paraId="421B0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4ED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45AB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36B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FD36">
            <w:pPr>
              <w:jc w:val="center"/>
            </w:pPr>
            <w:r>
              <w:rPr>
                <w:rFonts w:ascii="宋体" w:hAnsi="宋体" w:eastAsia="宋体"/>
                <w:sz w:val="16"/>
              </w:rPr>
              <w:t>基本医疗保险参保费用（万元）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466D">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63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BBF7">
            <w:pPr>
              <w:jc w:val="center"/>
            </w:pPr>
            <w:r>
              <w:rPr>
                <w:rFonts w:ascii="宋体" w:hAnsi="宋体" w:eastAsia="宋体"/>
                <w:sz w:val="16"/>
              </w:rPr>
              <w:t>3.42万元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34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B9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A7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6ADF">
            <w:pPr>
              <w:jc w:val="center"/>
            </w:pPr>
            <w:r>
              <w:rPr>
                <w:rFonts w:ascii="宋体" w:hAnsi="宋体" w:eastAsia="宋体"/>
                <w:sz w:val="16"/>
              </w:rPr>
              <w:t>=3.42万元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85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29012">
            <w:pPr>
              <w:jc w:val="center"/>
            </w:pPr>
          </w:p>
        </w:tc>
      </w:tr>
      <w:tr w14:paraId="04B31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66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B2D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AA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FC2A">
            <w:pPr>
              <w:jc w:val="center"/>
            </w:pPr>
            <w:r>
              <w:rPr>
                <w:rFonts w:ascii="宋体" w:hAnsi="宋体" w:eastAsia="宋体"/>
                <w:sz w:val="16"/>
              </w:rPr>
              <w:t>生育保险参保宣传费用（万元）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B618">
            <w:pPr>
              <w:jc w:val="center"/>
            </w:pPr>
            <w:r>
              <w:rPr>
                <w:rFonts w:ascii="宋体" w:hAnsi="宋体" w:eastAsia="宋体"/>
                <w:sz w:val="16"/>
              </w:rPr>
              <w:t>&lt;=2.10万元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36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995C">
            <w:pPr>
              <w:jc w:val="center"/>
            </w:pPr>
            <w:r>
              <w:rPr>
                <w:rFonts w:ascii="宋体" w:hAnsi="宋体" w:eastAsia="宋体"/>
                <w:sz w:val="16"/>
              </w:rPr>
              <w:t>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FD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7B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B6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9B1C">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6D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9E017">
            <w:pPr>
              <w:jc w:val="center"/>
            </w:pPr>
          </w:p>
        </w:tc>
      </w:tr>
      <w:tr w14:paraId="5DE70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E00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3B6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D3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2E95">
            <w:pPr>
              <w:jc w:val="center"/>
            </w:pPr>
            <w:r>
              <w:rPr>
                <w:rFonts w:ascii="宋体" w:hAnsi="宋体" w:eastAsia="宋体"/>
                <w:sz w:val="16"/>
              </w:rPr>
              <w:t>减轻参保人员就医经济负担，缓解社会矛盾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1F7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2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5CB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AC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C7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2AC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79FD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12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0C505">
            <w:pPr>
              <w:jc w:val="center"/>
            </w:pPr>
          </w:p>
        </w:tc>
      </w:tr>
      <w:tr w14:paraId="32EB72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1B4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8E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43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869B">
            <w:pPr>
              <w:jc w:val="center"/>
            </w:pPr>
            <w:r>
              <w:rPr>
                <w:rFonts w:ascii="宋体" w:hAnsi="宋体" w:eastAsia="宋体"/>
                <w:sz w:val="16"/>
              </w:rPr>
              <w:t>基本医疗保险参保群众满意度（%）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DA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E4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0D6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7A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72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F18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C7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9C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E46C8">
            <w:pPr>
              <w:jc w:val="center"/>
            </w:pPr>
          </w:p>
        </w:tc>
      </w:tr>
      <w:tr w14:paraId="64765EF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B8C1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015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FB4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D8A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1716957"/>
        </w:tc>
      </w:tr>
    </w:tbl>
    <w:p w14:paraId="2E9F9089">
      <w:r>
        <w:br w:type="page"/>
      </w:r>
    </w:p>
    <w:p w14:paraId="4A57588E">
      <w:pPr>
        <w:spacing w:line="640" w:lineRule="exact"/>
        <w:ind w:firstLine="640"/>
        <w:jc w:val="both"/>
        <w:outlineLvl w:val="2"/>
      </w:pPr>
      <w:r>
        <w:rPr>
          <w:rFonts w:ascii="黑体" w:hAnsi="黑体" w:eastAsia="黑体"/>
          <w:sz w:val="32"/>
        </w:rPr>
        <w:t>十二、其他需说明的事项</w:t>
      </w:r>
    </w:p>
    <w:p w14:paraId="465EA59F">
      <w:pPr>
        <w:spacing w:line="580" w:lineRule="exact"/>
        <w:ind w:firstLine="640"/>
        <w:jc w:val="both"/>
      </w:pPr>
      <w:r>
        <w:rPr>
          <w:rFonts w:ascii="仿宋_GB2312" w:hAnsi="仿宋_GB2312" w:eastAsia="仿宋_GB2312"/>
          <w:b w:val="0"/>
          <w:sz w:val="32"/>
        </w:rPr>
        <w:t>本年本单位SM项目2个，全年预算数12万元，全年执行数5.35万元。</w:t>
      </w:r>
    </w:p>
    <w:p w14:paraId="640BC35E">
      <w:r>
        <w:br w:type="page"/>
      </w:r>
    </w:p>
    <w:p w14:paraId="27E6286F">
      <w:pPr>
        <w:spacing w:line="240" w:lineRule="auto"/>
        <w:jc w:val="center"/>
        <w:outlineLvl w:val="1"/>
      </w:pPr>
      <w:r>
        <w:rPr>
          <w:rFonts w:ascii="黑体" w:hAnsi="黑体" w:eastAsia="黑体"/>
          <w:sz w:val="32"/>
        </w:rPr>
        <w:t>第三部分 专业名词解释</w:t>
      </w:r>
    </w:p>
    <w:p w14:paraId="52357C7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2497E9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79D638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333191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950C91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B414FB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CF2A36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2207B5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D8669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AAB673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58006A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92B93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0F60D2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07575C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7525DF9">
      <w:r>
        <w:br w:type="page"/>
      </w:r>
    </w:p>
    <w:p w14:paraId="204A592F">
      <w:pPr>
        <w:spacing w:line="240" w:lineRule="auto"/>
        <w:jc w:val="center"/>
        <w:outlineLvl w:val="1"/>
      </w:pPr>
      <w:r>
        <w:rPr>
          <w:rFonts w:ascii="黑体" w:hAnsi="黑体" w:eastAsia="黑体"/>
          <w:sz w:val="32"/>
        </w:rPr>
        <w:t>第四部分 部门决算报表（见附表）</w:t>
      </w:r>
    </w:p>
    <w:p w14:paraId="5D8E24CC">
      <w:pPr>
        <w:spacing w:line="240" w:lineRule="auto"/>
        <w:ind w:firstLine="640"/>
        <w:jc w:val="both"/>
      </w:pPr>
      <w:r>
        <w:rPr>
          <w:rFonts w:ascii="仿宋_GB2312" w:hAnsi="仿宋_GB2312" w:eastAsia="仿宋_GB2312"/>
          <w:b w:val="0"/>
          <w:sz w:val="32"/>
        </w:rPr>
        <w:t>一、《收入支出决算总表》</w:t>
      </w:r>
    </w:p>
    <w:p w14:paraId="03299AA7">
      <w:pPr>
        <w:spacing w:line="240" w:lineRule="auto"/>
        <w:ind w:firstLine="640"/>
        <w:jc w:val="both"/>
      </w:pPr>
      <w:r>
        <w:rPr>
          <w:rFonts w:ascii="仿宋_GB2312" w:hAnsi="仿宋_GB2312" w:eastAsia="仿宋_GB2312"/>
          <w:b w:val="0"/>
          <w:sz w:val="32"/>
        </w:rPr>
        <w:t>二、《收入决算表》</w:t>
      </w:r>
    </w:p>
    <w:p w14:paraId="50B160CD">
      <w:pPr>
        <w:spacing w:line="240" w:lineRule="auto"/>
        <w:ind w:firstLine="640"/>
        <w:jc w:val="both"/>
      </w:pPr>
      <w:r>
        <w:rPr>
          <w:rFonts w:ascii="仿宋_GB2312" w:hAnsi="仿宋_GB2312" w:eastAsia="仿宋_GB2312"/>
          <w:b w:val="0"/>
          <w:sz w:val="32"/>
        </w:rPr>
        <w:t>三、《支出决算表》</w:t>
      </w:r>
    </w:p>
    <w:p w14:paraId="4B811ABE">
      <w:pPr>
        <w:spacing w:line="240" w:lineRule="auto"/>
        <w:ind w:firstLine="640"/>
        <w:jc w:val="both"/>
      </w:pPr>
      <w:r>
        <w:rPr>
          <w:rFonts w:ascii="仿宋_GB2312" w:hAnsi="仿宋_GB2312" w:eastAsia="仿宋_GB2312"/>
          <w:b w:val="0"/>
          <w:sz w:val="32"/>
        </w:rPr>
        <w:t>四、《财政拨款收入支出决算总表》</w:t>
      </w:r>
    </w:p>
    <w:p w14:paraId="2BA4FEF9">
      <w:pPr>
        <w:spacing w:line="240" w:lineRule="auto"/>
        <w:ind w:firstLine="640"/>
        <w:jc w:val="both"/>
      </w:pPr>
      <w:r>
        <w:rPr>
          <w:rFonts w:ascii="仿宋_GB2312" w:hAnsi="仿宋_GB2312" w:eastAsia="仿宋_GB2312"/>
          <w:b w:val="0"/>
          <w:sz w:val="32"/>
        </w:rPr>
        <w:t>五、《一般公共预算财政拨款支出决算表》</w:t>
      </w:r>
    </w:p>
    <w:p w14:paraId="734DF18B">
      <w:pPr>
        <w:spacing w:line="240" w:lineRule="auto"/>
        <w:ind w:firstLine="640"/>
        <w:jc w:val="both"/>
      </w:pPr>
      <w:r>
        <w:rPr>
          <w:rFonts w:ascii="仿宋_GB2312" w:hAnsi="仿宋_GB2312" w:eastAsia="仿宋_GB2312"/>
          <w:b w:val="0"/>
          <w:sz w:val="32"/>
        </w:rPr>
        <w:t>六、《一般公共预算财政拨款基本支出决算表》</w:t>
      </w:r>
    </w:p>
    <w:p w14:paraId="6801379A">
      <w:pPr>
        <w:spacing w:line="240" w:lineRule="auto"/>
        <w:ind w:firstLine="640"/>
        <w:jc w:val="both"/>
      </w:pPr>
      <w:r>
        <w:rPr>
          <w:rFonts w:ascii="仿宋_GB2312" w:hAnsi="仿宋_GB2312" w:eastAsia="仿宋_GB2312"/>
          <w:b w:val="0"/>
          <w:sz w:val="32"/>
        </w:rPr>
        <w:t>七、《政府性基金预算财政拨款收入支出决算表》</w:t>
      </w:r>
    </w:p>
    <w:p w14:paraId="3C979A72">
      <w:pPr>
        <w:spacing w:line="240" w:lineRule="auto"/>
        <w:ind w:firstLine="640"/>
        <w:jc w:val="both"/>
      </w:pPr>
      <w:r>
        <w:rPr>
          <w:rFonts w:ascii="仿宋_GB2312" w:hAnsi="仿宋_GB2312" w:eastAsia="仿宋_GB2312"/>
          <w:b w:val="0"/>
          <w:sz w:val="32"/>
        </w:rPr>
        <w:t>八、《国有资本经营预算财政拨款收入支出决算表》</w:t>
      </w:r>
    </w:p>
    <w:p w14:paraId="3FFD60D4">
      <w:pPr>
        <w:spacing w:line="240" w:lineRule="auto"/>
        <w:ind w:firstLine="640"/>
        <w:jc w:val="both"/>
      </w:pPr>
      <w:r>
        <w:rPr>
          <w:rFonts w:ascii="仿宋_GB2312" w:hAnsi="仿宋_GB2312" w:eastAsia="仿宋_GB2312"/>
          <w:b w:val="0"/>
          <w:sz w:val="32"/>
        </w:rPr>
        <w:t>九、《财政拨款“三公”经费支出决算表》</w:t>
      </w:r>
    </w:p>
    <w:p w14:paraId="3936EB73">
      <w:pPr>
        <w:spacing w:line="240" w:lineRule="auto"/>
        <w:ind w:firstLine="640"/>
        <w:jc w:val="both"/>
      </w:pPr>
    </w:p>
    <w:p w14:paraId="270BA10B">
      <w:pPr>
        <w:spacing w:line="240" w:lineRule="auto"/>
        <w:ind w:firstLine="640"/>
        <w:jc w:val="both"/>
      </w:pPr>
    </w:p>
    <w:p w14:paraId="6A338CFB">
      <w:pPr>
        <w:spacing w:line="240" w:lineRule="auto"/>
        <w:ind w:firstLine="640"/>
        <w:jc w:val="both"/>
      </w:pPr>
    </w:p>
    <w:p w14:paraId="6DE22D22">
      <w:pPr>
        <w:spacing w:line="240" w:lineRule="auto"/>
        <w:ind w:firstLine="640"/>
        <w:jc w:val="both"/>
      </w:pPr>
    </w:p>
    <w:p w14:paraId="6F79344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C1CA56-2EA3-459A-AD94-BC38EEB3537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8188435-A1D6-4DC4-A2C7-2CA5D71B9B98}"/>
  </w:font>
  <w:font w:name="仿宋_GB2312">
    <w:altName w:val="仿宋"/>
    <w:panose1 w:val="02010609030101010101"/>
    <w:charset w:val="86"/>
    <w:family w:val="modern"/>
    <w:pitch w:val="default"/>
    <w:sig w:usb0="00000000" w:usb1="00000000" w:usb2="00000000" w:usb3="00000000" w:csb0="00040000" w:csb1="00000000"/>
    <w:embedRegular r:id="rId3" w:fontKey="{E6858A1B-B5E7-4A06-9299-971FFA81F30F}"/>
  </w:font>
  <w:font w:name="楷体_GB2312">
    <w:altName w:val="楷体"/>
    <w:panose1 w:val="02010609030101010101"/>
    <w:charset w:val="86"/>
    <w:family w:val="auto"/>
    <w:pitch w:val="default"/>
    <w:sig w:usb0="00000000" w:usb1="00000000" w:usb2="00000000" w:usb3="00000000" w:csb0="00040000" w:csb1="00000000"/>
    <w:embedRegular r:id="rId4" w:fontKey="{4DDA34D8-DD02-4476-9C21-5D7925B00DF7}"/>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2D0DAF"/>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F452F6"/>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6021</Words>
  <Characters>6735</Characters>
  <Lines>0</Lines>
  <Paragraphs>0</Paragraphs>
  <TotalTime>6</TotalTime>
  <ScaleCrop>false</ScaleCrop>
  <LinksUpToDate>false</LinksUpToDate>
  <CharactersWithSpaces>6743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2025-09-16T07:59:36Z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