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疏附县红十字会2024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D664E38">
      <w:r>
        <w:br w:type="page"/>
      </w:r>
    </w:p>
    <w:p w14:paraId="0E5F3BA8">
      <w:pPr>
        <w:spacing w:line="640" w:lineRule="exact"/>
        <w:jc w:val="center"/>
        <w:outlineLvl w:val="1"/>
      </w:pPr>
      <w:r>
        <w:rPr>
          <w:rFonts w:ascii="黑体" w:hAnsi="黑体" w:eastAsia="黑体"/>
          <w:sz w:val="32"/>
        </w:rPr>
        <w:t>第一部分 单位概况</w:t>
      </w:r>
    </w:p>
    <w:p w14:paraId="3285ED26">
      <w:pPr>
        <w:spacing w:line="640" w:lineRule="exact"/>
        <w:ind w:firstLine="640"/>
        <w:jc w:val="both"/>
        <w:outlineLvl w:val="2"/>
      </w:pPr>
      <w:r>
        <w:rPr>
          <w:rFonts w:ascii="黑体" w:hAnsi="黑体" w:eastAsia="黑体"/>
          <w:sz w:val="32"/>
        </w:rPr>
        <w:t>一、主要职能</w:t>
      </w:r>
    </w:p>
    <w:p w14:paraId="54DA7CA5">
      <w:pPr>
        <w:spacing w:line="580" w:lineRule="exact"/>
        <w:ind w:firstLine="640"/>
        <w:jc w:val="both"/>
      </w:pPr>
      <w:r>
        <w:rPr>
          <w:rFonts w:ascii="仿宋_GB2312" w:hAnsi="仿宋_GB2312" w:eastAsia="仿宋_GB2312"/>
          <w:sz w:val="32"/>
        </w:rPr>
        <w:t>宣传、贯彻《中华人民共和国红十字会法</w:t>
      </w:r>
      <w:r>
        <w:rPr>
          <w:rFonts w:hint="eastAsia" w:ascii="仿宋_GB2312" w:hAnsi="仿宋_GB2312" w:eastAsia="仿宋_GB2312"/>
          <w:sz w:val="32"/>
          <w:lang w:eastAsia="zh-CN"/>
        </w:rPr>
        <w:t>》《</w:t>
      </w:r>
      <w:r>
        <w:rPr>
          <w:rFonts w:ascii="仿宋_GB2312" w:hAnsi="仿宋_GB2312" w:eastAsia="仿宋_GB2312"/>
          <w:sz w:val="32"/>
        </w:rPr>
        <w:t>中国红十字会章程》和《新疆维吾尔自治区实施</w:t>
      </w:r>
      <w:bookmarkStart w:id="0" w:name="_GoBack"/>
      <w:bookmarkEnd w:id="0"/>
      <w:r>
        <w:rPr>
          <w:rFonts w:hint="eastAsia" w:ascii="仿宋_GB2312" w:hAnsi="仿宋_GB2312" w:eastAsia="仿宋_GB2312"/>
          <w:sz w:val="32"/>
          <w:lang w:val="en-US" w:eastAsia="zh-CN"/>
        </w:rPr>
        <w:t>&lt;</w:t>
      </w:r>
      <w:r>
        <w:rPr>
          <w:rFonts w:ascii="仿宋_GB2312" w:hAnsi="仿宋_GB2312" w:eastAsia="仿宋_GB2312"/>
          <w:sz w:val="32"/>
        </w:rPr>
        <w:t>中华人民共和国红十字会法&gt;办法》；研究制定全县红十字会工作标准和实施方案，并组织实施；开展救灾准备工作，组织社会开展募捐，接收国内外援助，监督救灾物资的使用；开展人道领域内的社会服务和社会公益活动；在自然灾害和突发事件中，组织对伤病人员和其他受害者进行救助；组织开展群众性的初级卫生救护训练和现场急救；参与推动无偿献血和非血缘关系骨髓移植者的动员、宣传、组织和供骨髓者资料数据的储存、检索工作；组织红十</w:t>
      </w:r>
      <w:r>
        <w:rPr>
          <w:rFonts w:hint="eastAsia" w:ascii="仿宋_GB2312" w:hAnsi="仿宋_GB2312" w:eastAsia="仿宋_GB2312"/>
          <w:sz w:val="32"/>
          <w:lang w:eastAsia="zh-CN"/>
        </w:rPr>
        <w:t>字会</w:t>
      </w:r>
      <w:r>
        <w:rPr>
          <w:rFonts w:ascii="仿宋_GB2312" w:hAnsi="仿宋_GB2312" w:eastAsia="仿宋_GB2312"/>
          <w:sz w:val="32"/>
        </w:rPr>
        <w:t>青少年开展社会精神文明和弘扬人道主义活动；向社会宣传红十字会基本原则等各项法律法规；承办县政府交办的其他工作。</w:t>
      </w:r>
    </w:p>
    <w:p w14:paraId="1F8F1796">
      <w:pPr>
        <w:spacing w:line="640" w:lineRule="exact"/>
        <w:ind w:firstLine="640"/>
        <w:jc w:val="both"/>
        <w:outlineLvl w:val="2"/>
      </w:pPr>
      <w:r>
        <w:rPr>
          <w:rFonts w:ascii="黑体" w:hAnsi="黑体" w:eastAsia="黑体"/>
          <w:sz w:val="32"/>
        </w:rPr>
        <w:t>二、机构设置及人员情况</w:t>
      </w:r>
    </w:p>
    <w:p w14:paraId="0A38631E">
      <w:pPr>
        <w:spacing w:line="580" w:lineRule="exact"/>
        <w:ind w:firstLine="640"/>
        <w:jc w:val="both"/>
      </w:pPr>
      <w:r>
        <w:rPr>
          <w:rFonts w:ascii="仿宋_GB2312" w:hAnsi="仿宋_GB2312" w:eastAsia="仿宋_GB2312"/>
          <w:sz w:val="32"/>
        </w:rPr>
        <w:t>疏附县红十字会2024年度，实有人数3人，其中：在职人员3人，增加1人；离休人员0人，增加0人；退休人员0人</w:t>
      </w:r>
      <w:r>
        <w:rPr>
          <w:rFonts w:hint="eastAsia" w:ascii="仿宋_GB2312" w:hAnsi="仿宋_GB2312" w:eastAsia="仿宋_GB2312"/>
          <w:sz w:val="32"/>
          <w:lang w:eastAsia="zh-CN"/>
        </w:rPr>
        <w:t>，</w:t>
      </w:r>
      <w:r>
        <w:rPr>
          <w:rFonts w:ascii="仿宋_GB2312" w:hAnsi="仿宋_GB2312" w:eastAsia="仿宋_GB2312"/>
          <w:sz w:val="32"/>
        </w:rPr>
        <w:t>增加0人。</w:t>
      </w:r>
    </w:p>
    <w:p w14:paraId="1F69B73F">
      <w:pPr>
        <w:spacing w:line="580" w:lineRule="exact"/>
        <w:ind w:firstLine="640"/>
        <w:jc w:val="both"/>
      </w:pPr>
      <w:r>
        <w:rPr>
          <w:rFonts w:ascii="仿宋_GB2312" w:hAnsi="仿宋_GB2312" w:eastAsia="仿宋_GB2312"/>
          <w:sz w:val="32"/>
        </w:rPr>
        <w:t>疏附县红十字会无下属预算单位，下设1个科室，分别是：综合办公室。</w:t>
      </w:r>
    </w:p>
    <w:p w14:paraId="5B421BE9">
      <w:r>
        <w:br w:type="page"/>
      </w:r>
    </w:p>
    <w:p w14:paraId="7D2F8583">
      <w:pPr>
        <w:spacing w:line="240" w:lineRule="auto"/>
        <w:jc w:val="center"/>
        <w:outlineLvl w:val="1"/>
      </w:pPr>
      <w:r>
        <w:rPr>
          <w:rFonts w:ascii="黑体" w:hAnsi="黑体" w:eastAsia="黑体"/>
          <w:sz w:val="32"/>
        </w:rPr>
        <w:t>第二部分 部门决算情况说明</w:t>
      </w:r>
    </w:p>
    <w:p w14:paraId="74401837">
      <w:pPr>
        <w:spacing w:line="640" w:lineRule="exact"/>
        <w:ind w:firstLine="640"/>
        <w:jc w:val="both"/>
        <w:outlineLvl w:val="2"/>
      </w:pPr>
      <w:r>
        <w:rPr>
          <w:rFonts w:ascii="黑体" w:hAnsi="黑体" w:eastAsia="黑体"/>
          <w:sz w:val="32"/>
        </w:rPr>
        <w:t>一、收入支出决算总体情况说明</w:t>
      </w:r>
    </w:p>
    <w:p w14:paraId="56E91443">
      <w:pPr>
        <w:spacing w:line="580" w:lineRule="exact"/>
        <w:ind w:firstLine="640"/>
        <w:jc w:val="both"/>
      </w:pPr>
      <w:r>
        <w:rPr>
          <w:rFonts w:ascii="仿宋_GB2312" w:hAnsi="仿宋_GB2312" w:eastAsia="仿宋_GB2312"/>
          <w:b/>
          <w:sz w:val="32"/>
        </w:rPr>
        <w:t>2024年度收入总计57.62万元，</w:t>
      </w:r>
      <w:r>
        <w:rPr>
          <w:rFonts w:ascii="仿宋_GB2312" w:hAnsi="仿宋_GB2312" w:eastAsia="仿宋_GB2312"/>
          <w:b w:val="0"/>
          <w:sz w:val="32"/>
        </w:rPr>
        <w:t>其中：本年收入合计57.62万元，使用非财政拨款结余（含专用结余）0.00万元，年初结转和结余0.00万元。</w:t>
      </w:r>
    </w:p>
    <w:p w14:paraId="754E8DA3">
      <w:pPr>
        <w:spacing w:line="580" w:lineRule="exact"/>
        <w:ind w:firstLine="640"/>
        <w:jc w:val="both"/>
      </w:pPr>
      <w:r>
        <w:rPr>
          <w:rFonts w:ascii="仿宋_GB2312" w:hAnsi="仿宋_GB2312" w:eastAsia="仿宋_GB2312"/>
          <w:b/>
          <w:sz w:val="32"/>
        </w:rPr>
        <w:t>2024年度支出总计57.62万元，</w:t>
      </w:r>
      <w:r>
        <w:rPr>
          <w:rFonts w:ascii="仿宋_GB2312" w:hAnsi="仿宋_GB2312" w:eastAsia="仿宋_GB2312"/>
          <w:b w:val="0"/>
          <w:sz w:val="32"/>
        </w:rPr>
        <w:t>其中：本年支出合计57.62万元，结余分配0.00万元，年末结转和结余0.00万元。</w:t>
      </w:r>
    </w:p>
    <w:p w14:paraId="793F6900">
      <w:pPr>
        <w:spacing w:line="580" w:lineRule="exact"/>
        <w:ind w:firstLine="640"/>
        <w:jc w:val="both"/>
      </w:pPr>
      <w:r>
        <w:rPr>
          <w:rFonts w:ascii="仿宋_GB2312" w:hAnsi="仿宋_GB2312" w:eastAsia="仿宋_GB2312"/>
          <w:b w:val="0"/>
          <w:sz w:val="32"/>
        </w:rPr>
        <w:t>收入支出总体与上年相比，增加19.49万元，增长51.11%，主要原因是：本年在职人员增加，在职人员工资调增、社保、公积金基数调增，人员经费增加。</w:t>
      </w:r>
    </w:p>
    <w:p w14:paraId="16528A8D">
      <w:pPr>
        <w:spacing w:line="640" w:lineRule="exact"/>
        <w:ind w:firstLine="640"/>
        <w:jc w:val="both"/>
        <w:outlineLvl w:val="2"/>
      </w:pPr>
      <w:r>
        <w:rPr>
          <w:rFonts w:ascii="黑体" w:hAnsi="黑体" w:eastAsia="黑体"/>
          <w:sz w:val="32"/>
        </w:rPr>
        <w:t>二、收入决算情况说明</w:t>
      </w:r>
    </w:p>
    <w:p w14:paraId="3EA972F7">
      <w:pPr>
        <w:spacing w:line="580" w:lineRule="exact"/>
        <w:ind w:firstLine="640"/>
        <w:jc w:val="both"/>
      </w:pPr>
      <w:r>
        <w:rPr>
          <w:rFonts w:ascii="仿宋_GB2312" w:hAnsi="仿宋_GB2312" w:eastAsia="仿宋_GB2312"/>
          <w:b/>
          <w:sz w:val="32"/>
        </w:rPr>
        <w:t>本年收入57.62万元，</w:t>
      </w:r>
      <w:r>
        <w:rPr>
          <w:rFonts w:ascii="仿宋_GB2312" w:hAnsi="仿宋_GB2312" w:eastAsia="仿宋_GB2312"/>
          <w:b w:val="0"/>
          <w:sz w:val="32"/>
        </w:rPr>
        <w:t>其中：财政拨款收入57.62万元，占100.00%；上级补助收入0.00万元，占0.00%；事业收入0.00万元，占0.00%；经营收入0.00万元，占0.00%；附属单位上缴收入0.00万元，占0.00%；其他收入0.00万元，占0.00%。</w:t>
      </w:r>
    </w:p>
    <w:p w14:paraId="03363923">
      <w:pPr>
        <w:spacing w:line="640" w:lineRule="exact"/>
        <w:ind w:firstLine="640"/>
        <w:jc w:val="both"/>
        <w:outlineLvl w:val="2"/>
      </w:pPr>
      <w:r>
        <w:rPr>
          <w:rFonts w:ascii="黑体" w:hAnsi="黑体" w:eastAsia="黑体"/>
          <w:sz w:val="32"/>
        </w:rPr>
        <w:t>三、支出决算情况说明</w:t>
      </w:r>
    </w:p>
    <w:p w14:paraId="44AAC217">
      <w:pPr>
        <w:spacing w:line="580" w:lineRule="exact"/>
        <w:ind w:firstLine="640"/>
        <w:jc w:val="both"/>
      </w:pPr>
      <w:r>
        <w:rPr>
          <w:rFonts w:ascii="仿宋_GB2312" w:hAnsi="仿宋_GB2312" w:eastAsia="仿宋_GB2312"/>
          <w:b/>
          <w:sz w:val="32"/>
        </w:rPr>
        <w:t>本年支出57.62万元，</w:t>
      </w:r>
      <w:r>
        <w:rPr>
          <w:rFonts w:ascii="仿宋_GB2312" w:hAnsi="仿宋_GB2312" w:eastAsia="仿宋_GB2312"/>
          <w:b w:val="0"/>
          <w:sz w:val="32"/>
        </w:rPr>
        <w:t>其中：基本支出49.97万元，占86.72%；项目支出7.65万元，占13.28%；上缴上级支出0.00万元，占0.00%；经营支出0.00万元，占0.00%；对附属单位补助支出0.00万元，占0.00%。</w:t>
      </w:r>
    </w:p>
    <w:p w14:paraId="39E39FBC">
      <w:pPr>
        <w:spacing w:line="640" w:lineRule="exact"/>
        <w:ind w:firstLine="640"/>
        <w:jc w:val="both"/>
        <w:outlineLvl w:val="2"/>
      </w:pPr>
      <w:r>
        <w:rPr>
          <w:rFonts w:ascii="黑体" w:hAnsi="黑体" w:eastAsia="黑体"/>
          <w:sz w:val="32"/>
        </w:rPr>
        <w:t>四、财政拨款收入支出决算总体情况说明</w:t>
      </w:r>
    </w:p>
    <w:p w14:paraId="0F8B2606">
      <w:pPr>
        <w:spacing w:line="580" w:lineRule="exact"/>
        <w:ind w:firstLine="640"/>
        <w:jc w:val="both"/>
      </w:pPr>
      <w:r>
        <w:rPr>
          <w:rFonts w:ascii="仿宋_GB2312" w:hAnsi="仿宋_GB2312" w:eastAsia="仿宋_GB2312"/>
          <w:b/>
          <w:sz w:val="32"/>
        </w:rPr>
        <w:t>2024年度财政拨款收入总计57.62万元，</w:t>
      </w:r>
      <w:r>
        <w:rPr>
          <w:rFonts w:ascii="仿宋_GB2312" w:hAnsi="仿宋_GB2312" w:eastAsia="仿宋_GB2312"/>
          <w:b w:val="0"/>
          <w:sz w:val="32"/>
        </w:rPr>
        <w:t>其中：年初财政拨款结转和结余0.00万元，本年财政拨款收入57.62万元。</w:t>
      </w:r>
      <w:r>
        <w:rPr>
          <w:rFonts w:ascii="仿宋_GB2312" w:hAnsi="仿宋_GB2312" w:eastAsia="仿宋_GB2312"/>
          <w:b/>
          <w:sz w:val="32"/>
        </w:rPr>
        <w:t>财政拨款支出总计57.62万元，</w:t>
      </w:r>
      <w:r>
        <w:rPr>
          <w:rFonts w:ascii="仿宋_GB2312" w:hAnsi="仿宋_GB2312" w:eastAsia="仿宋_GB2312"/>
          <w:b w:val="0"/>
          <w:sz w:val="32"/>
        </w:rPr>
        <w:t>其中：年末财政拨款结转和结余0.00万元，本年财政拨款支出57.62万元。</w:t>
      </w:r>
    </w:p>
    <w:p w14:paraId="1239D3E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增加21.49万元，增长59.48%，主要原因是：本年在职人员增加，在职人员工资调增、社保、公积金基数调增，人员经费增加。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年初预算数34.80万元，决算数57.62万元，预决算差异率65.57%，主要原因是：年中追加人员工资、社保、公积金基数调增部分资金，导致预决算存在差异。</w:t>
      </w:r>
    </w:p>
    <w:p w14:paraId="65F5374F">
      <w:pPr>
        <w:spacing w:line="640" w:lineRule="exact"/>
        <w:ind w:firstLine="640"/>
        <w:jc w:val="both"/>
        <w:outlineLvl w:val="2"/>
      </w:pPr>
      <w:r>
        <w:rPr>
          <w:rFonts w:ascii="黑体" w:hAnsi="黑体" w:eastAsia="黑体"/>
          <w:sz w:val="32"/>
        </w:rPr>
        <w:t>五、一般公共预算财政拨款支出决算情况说明</w:t>
      </w:r>
    </w:p>
    <w:p w14:paraId="1B9D4D4E">
      <w:pPr>
        <w:spacing w:line="640" w:lineRule="exact"/>
        <w:ind w:firstLine="640"/>
        <w:jc w:val="both"/>
        <w:outlineLvl w:val="3"/>
      </w:pPr>
      <w:r>
        <w:rPr>
          <w:rFonts w:ascii="楷体_GB2312" w:hAnsi="楷体_GB2312" w:eastAsia="楷体_GB2312"/>
          <w:b/>
          <w:sz w:val="32"/>
        </w:rPr>
        <w:t>（一）一般公共预算财政拨款支出决算总体情况</w:t>
      </w:r>
    </w:p>
    <w:p w14:paraId="4B6097F1">
      <w:pPr>
        <w:spacing w:line="580" w:lineRule="exact"/>
        <w:ind w:firstLine="640"/>
        <w:jc w:val="both"/>
      </w:pPr>
      <w:r>
        <w:rPr>
          <w:rFonts w:ascii="仿宋_GB2312" w:hAnsi="仿宋_GB2312" w:eastAsia="仿宋_GB2312"/>
          <w:b/>
          <w:sz w:val="32"/>
        </w:rPr>
        <w:t>2024年度一般公共预算财政拨款支出57.62万元，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增加21.49万元，增长59.48%，主要原因是：本年在职人员增加，在职人员工资调增、社保、公积金基数调增，人员经费增加。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年初预算数34.80万元，决算数57.62万元，预决算差异率65.57%，主要原因是：年中追加人员工资、社保、公积金基数调增部分资金，导致预决算存在差异。</w:t>
      </w:r>
    </w:p>
    <w:p w14:paraId="236EFF5F">
      <w:pPr>
        <w:spacing w:line="640" w:lineRule="exact"/>
        <w:ind w:firstLine="640"/>
        <w:jc w:val="both"/>
        <w:outlineLvl w:val="3"/>
      </w:pPr>
      <w:r>
        <w:rPr>
          <w:rFonts w:ascii="楷体_GB2312" w:hAnsi="楷体_GB2312" w:eastAsia="楷体_GB2312"/>
          <w:b/>
          <w:sz w:val="32"/>
        </w:rPr>
        <w:t>（二）一般公共预算财政拨款支出决算结构情况</w:t>
      </w:r>
    </w:p>
    <w:p w14:paraId="307D74C4">
      <w:pPr>
        <w:spacing w:line="580" w:lineRule="exact"/>
        <w:ind w:firstLine="640"/>
        <w:jc w:val="both"/>
      </w:pPr>
      <w:r>
        <w:rPr>
          <w:rFonts w:ascii="仿宋_GB2312" w:hAnsi="仿宋_GB2312" w:eastAsia="仿宋_GB2312"/>
          <w:b w:val="0"/>
          <w:sz w:val="32"/>
        </w:rPr>
        <w:t>1.社会保障和就业支出(类)43.72万元</w:t>
      </w:r>
      <w:r>
        <w:rPr>
          <w:rFonts w:hint="eastAsia" w:ascii="仿宋_GB2312" w:hAnsi="仿宋_GB2312" w:eastAsia="仿宋_GB2312"/>
          <w:b w:val="0"/>
          <w:sz w:val="32"/>
          <w:lang w:eastAsia="zh-CN"/>
        </w:rPr>
        <w:t>，</w:t>
      </w:r>
      <w:r>
        <w:rPr>
          <w:rFonts w:ascii="仿宋_GB2312" w:hAnsi="仿宋_GB2312" w:eastAsia="仿宋_GB2312"/>
          <w:b w:val="0"/>
          <w:sz w:val="32"/>
        </w:rPr>
        <w:t>占75.88%。</w:t>
      </w:r>
    </w:p>
    <w:p w14:paraId="56A8FB3E">
      <w:pPr>
        <w:spacing w:line="580" w:lineRule="exact"/>
        <w:ind w:firstLine="640"/>
        <w:jc w:val="both"/>
      </w:pPr>
      <w:r>
        <w:rPr>
          <w:rFonts w:ascii="仿宋_GB2312" w:hAnsi="仿宋_GB2312" w:eastAsia="仿宋_GB2312"/>
          <w:b w:val="0"/>
          <w:sz w:val="32"/>
        </w:rPr>
        <w:t>2.卫生健康支出(类)2.14万元</w:t>
      </w:r>
      <w:r>
        <w:rPr>
          <w:rFonts w:hint="eastAsia" w:ascii="仿宋_GB2312" w:hAnsi="仿宋_GB2312" w:eastAsia="仿宋_GB2312"/>
          <w:b w:val="0"/>
          <w:sz w:val="32"/>
          <w:lang w:eastAsia="zh-CN"/>
        </w:rPr>
        <w:t>，</w:t>
      </w:r>
      <w:r>
        <w:rPr>
          <w:rFonts w:ascii="仿宋_GB2312" w:hAnsi="仿宋_GB2312" w:eastAsia="仿宋_GB2312"/>
          <w:b w:val="0"/>
          <w:sz w:val="32"/>
        </w:rPr>
        <w:t>占3.71%。</w:t>
      </w:r>
    </w:p>
    <w:p w14:paraId="01027A83">
      <w:pPr>
        <w:spacing w:line="580" w:lineRule="exact"/>
        <w:ind w:firstLine="640"/>
        <w:jc w:val="both"/>
      </w:pPr>
      <w:r>
        <w:rPr>
          <w:rFonts w:ascii="仿宋_GB2312" w:hAnsi="仿宋_GB2312" w:eastAsia="仿宋_GB2312"/>
          <w:b w:val="0"/>
          <w:sz w:val="32"/>
        </w:rPr>
        <w:t>3.住房保障支出(类)4.11万元</w:t>
      </w:r>
      <w:r>
        <w:rPr>
          <w:rFonts w:hint="eastAsia" w:ascii="仿宋_GB2312" w:hAnsi="仿宋_GB2312" w:eastAsia="仿宋_GB2312"/>
          <w:b w:val="0"/>
          <w:sz w:val="32"/>
          <w:lang w:eastAsia="zh-CN"/>
        </w:rPr>
        <w:t>，</w:t>
      </w:r>
      <w:r>
        <w:rPr>
          <w:rFonts w:ascii="仿宋_GB2312" w:hAnsi="仿宋_GB2312" w:eastAsia="仿宋_GB2312"/>
          <w:b w:val="0"/>
          <w:sz w:val="32"/>
        </w:rPr>
        <w:t>占7.13%。</w:t>
      </w:r>
    </w:p>
    <w:p w14:paraId="5FE52DA8">
      <w:pPr>
        <w:spacing w:line="580" w:lineRule="exact"/>
        <w:ind w:firstLine="640"/>
        <w:jc w:val="both"/>
      </w:pPr>
      <w:r>
        <w:rPr>
          <w:rFonts w:ascii="仿宋_GB2312" w:hAnsi="仿宋_GB2312" w:eastAsia="仿宋_GB2312"/>
          <w:b w:val="0"/>
          <w:sz w:val="32"/>
        </w:rPr>
        <w:t>4.其他支出(类)7.65万元</w:t>
      </w:r>
      <w:r>
        <w:rPr>
          <w:rFonts w:hint="eastAsia" w:ascii="仿宋_GB2312" w:hAnsi="仿宋_GB2312" w:eastAsia="仿宋_GB2312"/>
          <w:b w:val="0"/>
          <w:sz w:val="32"/>
          <w:lang w:eastAsia="zh-CN"/>
        </w:rPr>
        <w:t>，</w:t>
      </w:r>
      <w:r>
        <w:rPr>
          <w:rFonts w:ascii="仿宋_GB2312" w:hAnsi="仿宋_GB2312" w:eastAsia="仿宋_GB2312"/>
          <w:b w:val="0"/>
          <w:sz w:val="32"/>
        </w:rPr>
        <w:t>占13.28%。</w:t>
      </w:r>
    </w:p>
    <w:p w14:paraId="16623E48">
      <w:pPr>
        <w:spacing w:line="640" w:lineRule="exact"/>
        <w:ind w:firstLine="640"/>
        <w:jc w:val="both"/>
        <w:outlineLvl w:val="3"/>
      </w:pPr>
      <w:r>
        <w:rPr>
          <w:rFonts w:ascii="楷体_GB2312" w:hAnsi="楷体_GB2312" w:eastAsia="楷体_GB2312"/>
          <w:b/>
          <w:sz w:val="32"/>
        </w:rPr>
        <w:t>（三）一般公共预算财政拨款支出决算具体情况</w:t>
      </w:r>
    </w:p>
    <w:p w14:paraId="2A99C3CA">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支出决算数为5.03万元，比上年决算增加2.17万元，增长75.87%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主要原因是：本年在职人员增加，养老保险缴费较上年增加。</w:t>
      </w:r>
    </w:p>
    <w:p w14:paraId="44BBC4E6">
      <w:pPr>
        <w:spacing w:line="580" w:lineRule="exact"/>
        <w:ind w:firstLine="640"/>
        <w:jc w:val="both"/>
      </w:pPr>
      <w:r>
        <w:rPr>
          <w:rFonts w:ascii="仿宋_GB2312" w:hAnsi="仿宋_GB2312" w:eastAsia="仿宋_GB2312"/>
          <w:b w:val="0"/>
          <w:sz w:val="32"/>
        </w:rPr>
        <w:t>2.社会保障和就业支出(类)红十字事业(款)行政运行(项)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支出决算数为0.00万元，比上年决算减少26.54万元，下降100.00%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主要原因是：本年功能科目调整，主科目变更，单位人员经费上年度在行政运行科目列支，本年调整至机关服务科目列支，导致经费较上年减少。</w:t>
      </w:r>
    </w:p>
    <w:p w14:paraId="48D4E142">
      <w:pPr>
        <w:spacing w:line="580" w:lineRule="exact"/>
        <w:ind w:firstLine="640"/>
        <w:jc w:val="both"/>
      </w:pPr>
      <w:r>
        <w:rPr>
          <w:rFonts w:ascii="仿宋_GB2312" w:hAnsi="仿宋_GB2312" w:eastAsia="仿宋_GB2312"/>
          <w:b w:val="0"/>
          <w:sz w:val="32"/>
        </w:rPr>
        <w:t>3.社会保障和就业支出(类)红十字事业(款)机关服务(项)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支出决算数为38.69万元，比上年决算增加38.69万元，增长100.00%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主要原因是：本年功能科目调整，主科目变更，单位人员经费上年度在行政运行科目列支，本年调整至本科目列支，导致经费较上年增加。</w:t>
      </w:r>
    </w:p>
    <w:p w14:paraId="025CA74A">
      <w:pPr>
        <w:spacing w:line="580" w:lineRule="exact"/>
        <w:ind w:firstLine="640"/>
        <w:jc w:val="both"/>
      </w:pPr>
      <w:r>
        <w:rPr>
          <w:rFonts w:ascii="仿宋_GB2312" w:hAnsi="仿宋_GB2312" w:eastAsia="仿宋_GB2312"/>
          <w:b w:val="0"/>
          <w:sz w:val="32"/>
        </w:rPr>
        <w:t>4.卫生健康支出(类)行政事业单位医疗(款)事业单位医疗(项)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支出决算数为2.14万元，比上年决算增加0.92万元，增长75.41%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主要原因是：本年在职人员增加，事业单位医疗较上年增加。</w:t>
      </w:r>
    </w:p>
    <w:p w14:paraId="42C25B71">
      <w:pPr>
        <w:spacing w:line="580" w:lineRule="exact"/>
        <w:ind w:firstLine="640"/>
        <w:jc w:val="both"/>
      </w:pPr>
      <w:r>
        <w:rPr>
          <w:rFonts w:ascii="仿宋_GB2312" w:hAnsi="仿宋_GB2312" w:eastAsia="仿宋_GB2312"/>
          <w:b w:val="0"/>
          <w:sz w:val="32"/>
        </w:rPr>
        <w:t>5.住房保障支出(类)住房改革支出(款)住房公积金(项)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支出决算数为4.11万元，比上年决算增加1.63万元，增长65.73%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主要原因是：本年在职人员增加，住房公积金支出较上年增加。</w:t>
      </w:r>
    </w:p>
    <w:p w14:paraId="25505683">
      <w:pPr>
        <w:spacing w:line="580" w:lineRule="exact"/>
        <w:ind w:firstLine="640"/>
        <w:jc w:val="both"/>
      </w:pPr>
      <w:r>
        <w:rPr>
          <w:rFonts w:ascii="仿宋_GB2312" w:hAnsi="仿宋_GB2312" w:eastAsia="仿宋_GB2312"/>
          <w:b w:val="0"/>
          <w:sz w:val="32"/>
        </w:rPr>
        <w:t>6.其他支出(类)其他支出(款)其他支出(项)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支出决算数为7.65万元，比上年决算增加4.62万元，增长152.48%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主要原因是：本年为民办实事项目经费较上年增加。</w:t>
      </w:r>
    </w:p>
    <w:p w14:paraId="476C713C">
      <w:pPr>
        <w:spacing w:line="640" w:lineRule="exact"/>
        <w:ind w:firstLine="640"/>
        <w:jc w:val="both"/>
        <w:outlineLvl w:val="2"/>
      </w:pPr>
      <w:r>
        <w:rPr>
          <w:rFonts w:ascii="黑体" w:hAnsi="黑体" w:eastAsia="黑体"/>
          <w:sz w:val="32"/>
        </w:rPr>
        <w:t>六、一般公共预算财政拨款基本支出决算情况说明</w:t>
      </w:r>
    </w:p>
    <w:p w14:paraId="62556038">
      <w:pPr>
        <w:spacing w:line="580" w:lineRule="exact"/>
        <w:ind w:firstLine="640"/>
        <w:jc w:val="both"/>
      </w:pPr>
      <w:r>
        <w:rPr>
          <w:rFonts w:ascii="仿宋_GB2312" w:hAnsi="仿宋_GB2312" w:eastAsia="仿宋_GB2312"/>
          <w:b w:val="0"/>
          <w:sz w:val="32"/>
        </w:rPr>
        <w:t>2024年度一般公共预算财政拨款基本支出49.97万元，其中：</w:t>
      </w:r>
      <w:r>
        <w:rPr>
          <w:rFonts w:ascii="仿宋_GB2312" w:hAnsi="仿宋_GB2312" w:eastAsia="仿宋_GB2312"/>
          <w:b/>
          <w:sz w:val="32"/>
        </w:rPr>
        <w:t>人员经费48.67万元，</w:t>
      </w:r>
      <w:r>
        <w:rPr>
          <w:rFonts w:ascii="仿宋_GB2312" w:hAnsi="仿宋_GB2312" w:eastAsia="仿宋_GB2312"/>
          <w:b w:val="0"/>
          <w:sz w:val="32"/>
        </w:rPr>
        <w:t>包括：基本工资、津贴补贴、奖金、机关事业单位基本养老保险缴费、职工基本医疗保险缴费、其他社会保障缴费、住房公积金。</w:t>
      </w:r>
    </w:p>
    <w:p w14:paraId="61CA72A3">
      <w:pPr>
        <w:spacing w:line="580" w:lineRule="exact"/>
        <w:ind w:firstLine="640"/>
        <w:jc w:val="both"/>
      </w:pPr>
      <w:r>
        <w:rPr>
          <w:rFonts w:ascii="仿宋_GB2312" w:hAnsi="仿宋_GB2312" w:eastAsia="仿宋_GB2312"/>
          <w:b/>
          <w:sz w:val="32"/>
        </w:rPr>
        <w:t>公用经费1.30万元，</w:t>
      </w:r>
      <w:r>
        <w:rPr>
          <w:rFonts w:ascii="仿宋_GB2312" w:hAnsi="仿宋_GB2312" w:eastAsia="仿宋_GB2312"/>
          <w:b w:val="0"/>
          <w:sz w:val="32"/>
        </w:rPr>
        <w:t>包括：办公费、邮电费、公务用车运行维护费。</w:t>
      </w:r>
    </w:p>
    <w:p w14:paraId="66CEADB8">
      <w:pPr>
        <w:spacing w:line="640" w:lineRule="exact"/>
        <w:ind w:firstLine="640"/>
        <w:jc w:val="both"/>
        <w:outlineLvl w:val="2"/>
      </w:pPr>
      <w:r>
        <w:rPr>
          <w:rFonts w:ascii="黑体" w:hAnsi="黑体" w:eastAsia="黑体"/>
          <w:sz w:val="32"/>
        </w:rPr>
        <w:t>七、政府性基金预算财政拨款收入支出决算情况说明</w:t>
      </w:r>
    </w:p>
    <w:p w14:paraId="149DF9E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9DC15F0">
      <w:pPr>
        <w:spacing w:line="640" w:lineRule="exact"/>
        <w:ind w:firstLine="640"/>
        <w:jc w:val="both"/>
        <w:outlineLvl w:val="2"/>
      </w:pPr>
      <w:r>
        <w:rPr>
          <w:rFonts w:ascii="黑体" w:hAnsi="黑体" w:eastAsia="黑体"/>
          <w:sz w:val="32"/>
        </w:rPr>
        <w:t>八、国有资本经营预算财政拨款收入支出决算情况说明</w:t>
      </w:r>
    </w:p>
    <w:p w14:paraId="100BF60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E4AB08F">
      <w:pPr>
        <w:spacing w:line="640" w:lineRule="exact"/>
        <w:ind w:firstLine="640"/>
        <w:jc w:val="both"/>
        <w:outlineLvl w:val="2"/>
      </w:pPr>
      <w:r>
        <w:rPr>
          <w:rFonts w:ascii="黑体" w:hAnsi="黑体" w:eastAsia="黑体"/>
          <w:sz w:val="32"/>
        </w:rPr>
        <w:t>九、财政拨款“三公”经费支出决算情况说明</w:t>
      </w:r>
    </w:p>
    <w:p w14:paraId="0BC2E6F0">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0.18万元，增长29.03%，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0.80万元，占100.00%，比上年增加0.18万元，增长29.03%，主要原因是：本年因业务需求，用车次数增加，燃油费增加，导致公务用车运行维护费较上年增加。公务接待费支出0.00万元，占0.00%，比上年增加0.00万元，增长0.00%，主要原因是：2023年与2024年均未安排公务接待费支出。</w:t>
      </w:r>
    </w:p>
    <w:p w14:paraId="1FF94251">
      <w:pPr>
        <w:spacing w:line="580" w:lineRule="exact"/>
        <w:ind w:firstLine="640"/>
        <w:jc w:val="both"/>
      </w:pPr>
      <w:r>
        <w:rPr>
          <w:rFonts w:ascii="仿宋_GB2312" w:hAnsi="仿宋_GB2312" w:eastAsia="仿宋_GB2312"/>
          <w:b/>
          <w:sz w:val="32"/>
        </w:rPr>
        <w:t>具体情况如下：</w:t>
      </w:r>
    </w:p>
    <w:p w14:paraId="38E4E03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84FD2E7">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审车费等。公务用车购置数0辆，公务用车保有量1辆。国有资产占用情况中固定资产车辆1辆，与公务用车保有量差异原因是：本单位固定资产车辆与公务用车保有量一致无差异。</w:t>
      </w:r>
    </w:p>
    <w:p w14:paraId="5541803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F59963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0.80万元，决算数0.80万元，预决算差异率0.00%，主要原因是：严格按照预算执行，预决算无差异。公务接待费全年预算数0.00万元，决算数0.00万元，预决算差异率0.00%，主要原因是：本单位无公务接待费。</w:t>
      </w:r>
    </w:p>
    <w:p w14:paraId="53E28595">
      <w:pPr>
        <w:spacing w:line="640" w:lineRule="exact"/>
        <w:ind w:firstLine="640"/>
        <w:jc w:val="both"/>
        <w:outlineLvl w:val="2"/>
      </w:pPr>
      <w:r>
        <w:rPr>
          <w:rFonts w:ascii="黑体" w:hAnsi="黑体" w:eastAsia="黑体"/>
          <w:sz w:val="32"/>
        </w:rPr>
        <w:t>十、其他重要事项的情况说明</w:t>
      </w:r>
    </w:p>
    <w:p w14:paraId="6A2B32D1">
      <w:pPr>
        <w:spacing w:line="640" w:lineRule="exact"/>
        <w:ind w:firstLine="640"/>
        <w:jc w:val="both"/>
        <w:outlineLvl w:val="3"/>
      </w:pPr>
      <w:r>
        <w:rPr>
          <w:rFonts w:ascii="楷体_GB2312" w:hAnsi="楷体_GB2312" w:eastAsia="楷体_GB2312"/>
          <w:b/>
          <w:sz w:val="32"/>
        </w:rPr>
        <w:t>（一）机关运行经费及公用经费支出情况</w:t>
      </w:r>
    </w:p>
    <w:p w14:paraId="05EE1CFF">
      <w:pPr>
        <w:spacing w:line="580" w:lineRule="exact"/>
        <w:ind w:firstLine="640"/>
        <w:jc w:val="both"/>
      </w:pPr>
      <w:r>
        <w:rPr>
          <w:rFonts w:ascii="仿宋_GB2312" w:hAnsi="仿宋_GB2312" w:eastAsia="仿宋_GB2312"/>
          <w:b w:val="0"/>
          <w:sz w:val="32"/>
        </w:rPr>
        <w:t>2024年度疏附县红十字会（事业单位）公用经费支出1.30万元，比上年增加0.18万元，增长16.07%，主要原因是：本年因业务需求，用车次数增加，燃油费增加，导致公务用车运行维护费较上年增加。</w:t>
      </w:r>
    </w:p>
    <w:p w14:paraId="648C3D58">
      <w:pPr>
        <w:spacing w:line="640" w:lineRule="exact"/>
        <w:ind w:firstLine="640"/>
        <w:jc w:val="both"/>
        <w:outlineLvl w:val="3"/>
      </w:pPr>
      <w:r>
        <w:rPr>
          <w:rFonts w:ascii="楷体_GB2312" w:hAnsi="楷体_GB2312" w:eastAsia="楷体_GB2312"/>
          <w:b/>
          <w:sz w:val="32"/>
        </w:rPr>
        <w:t>（二）政府采购情况</w:t>
      </w:r>
    </w:p>
    <w:p w14:paraId="73FF627A">
      <w:pPr>
        <w:spacing w:line="580" w:lineRule="exact"/>
        <w:ind w:firstLine="640"/>
        <w:jc w:val="both"/>
      </w:pPr>
      <w:r>
        <w:rPr>
          <w:rFonts w:ascii="仿宋_GB2312" w:hAnsi="仿宋_GB2312" w:eastAsia="仿宋_GB2312"/>
          <w:b w:val="0"/>
          <w:sz w:val="32"/>
        </w:rPr>
        <w:t>2024年度政府采购支出总额0.07万元，其中：政府采购货物支出0.07万元、政府采购工程支出0.00万元、政府采购服务支出0.00万元。</w:t>
      </w:r>
    </w:p>
    <w:p w14:paraId="6274222C">
      <w:pPr>
        <w:spacing w:line="580" w:lineRule="exact"/>
        <w:ind w:firstLine="640"/>
        <w:jc w:val="both"/>
      </w:pPr>
      <w:r>
        <w:rPr>
          <w:rFonts w:ascii="仿宋_GB2312" w:hAnsi="仿宋_GB2312" w:eastAsia="仿宋_GB2312"/>
          <w:b w:val="0"/>
          <w:sz w:val="32"/>
        </w:rPr>
        <w:t>授予中小企业合同金额0.07万元，占政府采购支出总额的100.00%，其中：授予小微企业合同金额0.07万元，占政府采购支出总额的100.00%。</w:t>
      </w:r>
    </w:p>
    <w:p w14:paraId="1B9C6B65">
      <w:pPr>
        <w:spacing w:line="640" w:lineRule="exact"/>
        <w:ind w:firstLine="640"/>
        <w:jc w:val="both"/>
        <w:outlineLvl w:val="3"/>
      </w:pPr>
      <w:r>
        <w:rPr>
          <w:rFonts w:ascii="楷体_GB2312" w:hAnsi="楷体_GB2312" w:eastAsia="楷体_GB2312"/>
          <w:b/>
          <w:sz w:val="32"/>
        </w:rPr>
        <w:t>（三）国有资产占用情况说明</w:t>
      </w:r>
    </w:p>
    <w:p w14:paraId="2CB705E0">
      <w:pPr>
        <w:spacing w:line="580" w:lineRule="exact"/>
        <w:ind w:firstLine="640"/>
        <w:jc w:val="both"/>
      </w:pPr>
      <w:r>
        <w:rPr>
          <w:rFonts w:ascii="仿宋_GB2312" w:hAnsi="仿宋_GB2312" w:eastAsia="仿宋_GB2312"/>
          <w:b w:val="0"/>
          <w:sz w:val="32"/>
        </w:rPr>
        <w:t>截至2024年12月31日，房屋0.00平方米，价值0.00万元。车辆1辆，价值9.92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3519AB2D">
      <w:pPr>
        <w:spacing w:line="640" w:lineRule="exact"/>
        <w:ind w:firstLine="640"/>
        <w:jc w:val="both"/>
        <w:outlineLvl w:val="2"/>
      </w:pPr>
      <w:r>
        <w:rPr>
          <w:rFonts w:ascii="黑体" w:hAnsi="黑体" w:eastAsia="黑体"/>
          <w:sz w:val="32"/>
        </w:rPr>
        <w:t>十一、预算绩效的情况说明</w:t>
      </w:r>
    </w:p>
    <w:p w14:paraId="710D8A1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484.48万元，实际执行总额477.13万元；预算绩效评价项目1个，全年预算数419.52万元，全年执行数419.52万元。预算绩效管理取得的成效：一是确保资金的高效使用，充分发挥财政资金的作用；二是严格按照预算绩效管理和相关文件依据，确保专款专用；三是严格控制资金的流出方向，确保资金的合规性。发现的问题及原因：一是缺乏绩效专业人员，绩效工作规范有盲点；二是预算绩效工作的覆盖面广、专业性强、预算在开展过程中需要具备一定专业素养和实战经验的人员的指导。下一步改进措施：一是今后加强预算管理，结合实际情况进行预算的填报，提高预算的准确度；二是加强对以前年度资金使用情况的分析和总结，加强预算编制科学化、精细化，增强预算编制的严肃性和权威性。具体附整体支出绩效自评表，项目支出绩效自评表。</w:t>
      </w:r>
    </w:p>
    <w:p w14:paraId="377B235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766C678">
        <w:tblPrEx>
          <w:tblCellMar>
            <w:top w:w="0" w:type="dxa"/>
            <w:left w:w="108" w:type="dxa"/>
            <w:bottom w:w="0" w:type="dxa"/>
            <w:right w:w="108" w:type="dxa"/>
          </w:tblCellMar>
        </w:tblPrEx>
        <w:tc>
          <w:tcPr>
            <w:tcW w:w="8847" w:type="dxa"/>
            <w:gridSpan w:val="9"/>
            <w:vAlign w:val="center"/>
          </w:tcPr>
          <w:p w14:paraId="0A0297FD">
            <w:pPr>
              <w:jc w:val="center"/>
            </w:pPr>
            <w:r>
              <w:rPr>
                <w:rFonts w:ascii="宋体" w:hAnsi="宋体" w:eastAsia="宋体"/>
                <w:sz w:val="24"/>
              </w:rPr>
              <w:t>单位整体支出绩效自评表</w:t>
            </w:r>
          </w:p>
        </w:tc>
      </w:tr>
      <w:tr w14:paraId="36725FA5">
        <w:tblPrEx>
          <w:tblCellMar>
            <w:top w:w="0" w:type="dxa"/>
            <w:left w:w="108" w:type="dxa"/>
            <w:bottom w:w="0" w:type="dxa"/>
            <w:right w:w="108" w:type="dxa"/>
          </w:tblCellMar>
        </w:tblPrEx>
        <w:tc>
          <w:tcPr>
            <w:tcW w:w="8847" w:type="dxa"/>
            <w:gridSpan w:val="9"/>
            <w:vAlign w:val="center"/>
          </w:tcPr>
          <w:p w14:paraId="439AAB3F">
            <w:pPr>
              <w:jc w:val="center"/>
            </w:pPr>
            <w:r>
              <w:rPr>
                <w:rFonts w:ascii="宋体" w:hAnsi="宋体" w:eastAsia="宋体"/>
                <w:sz w:val="24"/>
              </w:rPr>
              <w:t>（2024年度）</w:t>
            </w:r>
          </w:p>
        </w:tc>
      </w:tr>
      <w:tr w14:paraId="71DEAD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3B0B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6BDF20">
            <w:pPr>
              <w:jc w:val="center"/>
            </w:pPr>
            <w:r>
              <w:rPr>
                <w:rFonts w:ascii="宋体" w:hAnsi="宋体" w:eastAsia="宋体"/>
                <w:sz w:val="16"/>
              </w:rPr>
              <w:t>疏附县红十字会</w:t>
            </w:r>
          </w:p>
        </w:tc>
      </w:tr>
      <w:tr w14:paraId="128A29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E429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FEE9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83CA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4F8A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9B88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0961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3F6A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2D50E">
            <w:pPr>
              <w:jc w:val="center"/>
            </w:pPr>
            <w:r>
              <w:rPr>
                <w:rFonts w:ascii="宋体" w:hAnsi="宋体" w:eastAsia="宋体"/>
                <w:sz w:val="16"/>
              </w:rPr>
              <w:t>得分</w:t>
            </w:r>
          </w:p>
        </w:tc>
      </w:tr>
      <w:tr w14:paraId="3ABBF8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2A5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99B1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E54D8">
            <w:pPr>
              <w:jc w:val="center"/>
            </w:pPr>
            <w:r>
              <w:rPr>
                <w:rFonts w:ascii="宋体" w:hAnsi="宋体" w:eastAsia="宋体"/>
                <w:sz w:val="16"/>
              </w:rPr>
              <w:t>34.80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2F9DA">
            <w:pPr>
              <w:jc w:val="center"/>
            </w:pPr>
            <w:r>
              <w:rPr>
                <w:rFonts w:ascii="宋体" w:hAnsi="宋体" w:eastAsia="宋体"/>
                <w:sz w:val="16"/>
              </w:rPr>
              <w:t>484.48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1500A">
            <w:pPr>
              <w:jc w:val="center"/>
            </w:pPr>
            <w:r>
              <w:rPr>
                <w:rFonts w:ascii="宋体" w:hAnsi="宋体" w:eastAsia="宋体"/>
                <w:sz w:val="16"/>
              </w:rPr>
              <w:t>477.13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C9E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09428">
            <w:pPr>
              <w:jc w:val="center"/>
            </w:pPr>
            <w:r>
              <w:rPr>
                <w:rFonts w:ascii="宋体" w:hAnsi="宋体" w:eastAsia="宋体"/>
                <w:sz w:val="16"/>
              </w:rPr>
              <w:t>98.48%</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D90D5">
            <w:pPr>
              <w:jc w:val="center"/>
            </w:pPr>
            <w:r>
              <w:rPr>
                <w:rFonts w:ascii="宋体" w:hAnsi="宋体" w:eastAsia="宋体"/>
                <w:sz w:val="16"/>
              </w:rPr>
              <w:t>10</w:t>
            </w:r>
          </w:p>
        </w:tc>
      </w:tr>
      <w:tr w14:paraId="31B467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F822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8C2F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781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EC207">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C7EA8">
            <w:pPr>
              <w:jc w:val="center"/>
            </w:pPr>
            <w:r>
              <w:rPr>
                <w:rFonts w:ascii="宋体" w:hAnsi="宋体" w:eastAsia="宋体"/>
                <w:sz w:val="16"/>
              </w:rPr>
              <w:t>7.65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2FF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D303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F2431">
            <w:pPr>
              <w:jc w:val="center"/>
            </w:pPr>
            <w:r>
              <w:rPr>
                <w:rFonts w:ascii="宋体" w:hAnsi="宋体" w:eastAsia="宋体"/>
                <w:sz w:val="16"/>
              </w:rPr>
              <w:t>—</w:t>
            </w:r>
          </w:p>
        </w:tc>
      </w:tr>
      <w:tr w14:paraId="647C25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0C1B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D775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B9BE8">
            <w:pPr>
              <w:jc w:val="center"/>
            </w:pPr>
            <w:r>
              <w:rPr>
                <w:rFonts w:ascii="宋体" w:hAnsi="宋体" w:eastAsia="宋体"/>
                <w:sz w:val="16"/>
              </w:rPr>
              <w:t>34.80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5BEA9">
            <w:pPr>
              <w:jc w:val="center"/>
            </w:pPr>
            <w:r>
              <w:rPr>
                <w:rFonts w:ascii="宋体" w:hAnsi="宋体" w:eastAsia="宋体"/>
                <w:sz w:val="16"/>
              </w:rPr>
              <w:t>49.97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1194E">
            <w:pPr>
              <w:jc w:val="center"/>
            </w:pPr>
            <w:r>
              <w:rPr>
                <w:rFonts w:ascii="宋体" w:hAnsi="宋体" w:eastAsia="宋体"/>
                <w:sz w:val="16"/>
              </w:rPr>
              <w:t>49.97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DA1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2E4C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97EF4">
            <w:pPr>
              <w:jc w:val="center"/>
            </w:pPr>
            <w:r>
              <w:rPr>
                <w:rFonts w:ascii="宋体" w:hAnsi="宋体" w:eastAsia="宋体"/>
                <w:sz w:val="16"/>
              </w:rPr>
              <w:t>—</w:t>
            </w:r>
          </w:p>
        </w:tc>
      </w:tr>
      <w:tr w14:paraId="44E77A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38A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59C5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E31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B0F98">
            <w:pPr>
              <w:jc w:val="center"/>
            </w:pPr>
            <w:r>
              <w:rPr>
                <w:rFonts w:ascii="宋体" w:hAnsi="宋体" w:eastAsia="宋体"/>
                <w:sz w:val="16"/>
              </w:rPr>
              <w:t>419.51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6C32C">
            <w:pPr>
              <w:jc w:val="center"/>
            </w:pPr>
            <w:r>
              <w:rPr>
                <w:rFonts w:ascii="宋体" w:hAnsi="宋体" w:eastAsia="宋体"/>
                <w:sz w:val="16"/>
              </w:rPr>
              <w:t>419.51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C18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991A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D88B3">
            <w:pPr>
              <w:jc w:val="center"/>
            </w:pPr>
            <w:r>
              <w:rPr>
                <w:rFonts w:ascii="宋体" w:hAnsi="宋体" w:eastAsia="宋体"/>
                <w:sz w:val="16"/>
              </w:rPr>
              <w:t>—</w:t>
            </w:r>
          </w:p>
        </w:tc>
      </w:tr>
      <w:tr w14:paraId="4FAF03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0444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3AAD4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D3819A">
            <w:pPr>
              <w:jc w:val="center"/>
            </w:pPr>
            <w:r>
              <w:rPr>
                <w:rFonts w:ascii="宋体" w:hAnsi="宋体" w:eastAsia="宋体"/>
                <w:sz w:val="16"/>
              </w:rPr>
              <w:t>实际完成情况</w:t>
            </w:r>
          </w:p>
        </w:tc>
      </w:tr>
      <w:tr w14:paraId="199388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B41A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466C7C">
            <w:pPr>
              <w:jc w:val="both"/>
            </w:pPr>
            <w:r>
              <w:rPr>
                <w:rFonts w:ascii="宋体" w:hAnsi="宋体" w:eastAsia="宋体"/>
                <w:sz w:val="16"/>
              </w:rPr>
              <w:t>疏附县红十字会将紧紧围绕习近平总书记对群团工作和红十字事业的重要指示精神，以习近平总书记关于红十字事业发展的重要论述为根本遵循和行动指南，以党的二十大精神为指引，在县委、县人民政府的正确领导下，立足我县实情，认真贯彻落实县委和政府的中心工作，紧紧围绕“三救三献”主责主业，大力弘扬“人道、博爱、奉献”的红十字精神，不断促进我县红十字事业稳步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D77275">
            <w:pPr>
              <w:jc w:val="both"/>
            </w:pPr>
            <w:r>
              <w:rPr>
                <w:rFonts w:hint="eastAsia" w:ascii="宋体" w:hAnsi="宋体"/>
                <w:sz w:val="16"/>
                <w:lang w:eastAsia="zh-CN"/>
              </w:rPr>
              <w:t>县</w:t>
            </w:r>
            <w:r>
              <w:rPr>
                <w:rFonts w:ascii="宋体" w:hAnsi="宋体" w:eastAsia="宋体"/>
                <w:sz w:val="16"/>
              </w:rPr>
              <w:t>红十字会将紧紧围绕习近平总书记对群团工作和红十字事业的重要指示精神，以习近平总书记关于红十字事业发展的重要论述为根本遵循和行动指南，以党的二十大精神为指引，在县委、县人民政府的正确领导下，立足我县实情，认真贯彻落实县委和政府的中心工作，紧紧围绕“三救三献”主责主业，大力弘扬“人道、博爱、奉献”的红十字精神，不断促进我县红十字事业稳步发展。</w:t>
            </w:r>
            <w:r>
              <w:rPr>
                <w:rFonts w:hint="eastAsia" w:ascii="宋体" w:hAnsi="宋体"/>
                <w:sz w:val="16"/>
                <w:lang w:eastAsia="zh-CN"/>
              </w:rPr>
              <w:t>截至</w:t>
            </w:r>
            <w:r>
              <w:rPr>
                <w:rFonts w:ascii="宋体" w:hAnsi="宋体" w:eastAsia="宋体"/>
                <w:sz w:val="16"/>
              </w:rPr>
              <w:t>2024年12月31日，救助大病患者人数完成了10人，该指标完成率为100%。红十字救护员培训完成了350人，该指标完成率为100%。造血干细胞捐献登记完成了30人，该指标完成率为100%。开展应急救护讲座完成了200人次，该指标完成率为100%。志愿工作开展合格率达到了95%，该指标完成率为100%。</w:t>
            </w:r>
          </w:p>
        </w:tc>
      </w:tr>
      <w:tr w14:paraId="36E7D5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01F2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524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EA38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C379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C040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8DA7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82B4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C799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98D9F">
            <w:pPr>
              <w:jc w:val="center"/>
            </w:pPr>
            <w:r>
              <w:rPr>
                <w:rFonts w:ascii="宋体" w:hAnsi="宋体" w:eastAsia="宋体"/>
                <w:sz w:val="16"/>
              </w:rPr>
              <w:t>得分</w:t>
            </w:r>
          </w:p>
        </w:tc>
      </w:tr>
      <w:tr w14:paraId="546C95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8FF5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15E8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46182">
            <w:pPr>
              <w:jc w:val="center"/>
            </w:pPr>
            <w:r>
              <w:rPr>
                <w:rFonts w:ascii="宋体" w:hAnsi="宋体" w:eastAsia="宋体"/>
                <w:sz w:val="16"/>
              </w:rPr>
              <w:t>救助大病患者人数（人）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B54BA">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A2435">
            <w:pPr>
              <w:jc w:val="center"/>
            </w:pPr>
            <w:r>
              <w:rPr>
                <w:rFonts w:ascii="宋体" w:hAnsi="宋体" w:eastAsia="宋体"/>
                <w:sz w:val="16"/>
              </w:rPr>
              <w:t>疏附县红十字会2024年度工作计划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AF1F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4AB09">
            <w:pPr>
              <w:jc w:val="center"/>
            </w:pPr>
            <w:r>
              <w:rPr>
                <w:rFonts w:ascii="宋体" w:hAnsi="宋体" w:eastAsia="宋体"/>
                <w:sz w:val="16"/>
              </w:rPr>
              <w:t>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A8C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92BE7">
            <w:pPr>
              <w:jc w:val="center"/>
            </w:pPr>
            <w:r>
              <w:rPr>
                <w:rFonts w:ascii="宋体" w:hAnsi="宋体" w:eastAsia="宋体"/>
                <w:sz w:val="16"/>
              </w:rPr>
              <w:t>20</w:t>
            </w:r>
          </w:p>
        </w:tc>
      </w:tr>
      <w:tr w14:paraId="3BE3D9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14A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ED6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5198B">
            <w:pPr>
              <w:jc w:val="center"/>
            </w:pPr>
            <w:r>
              <w:rPr>
                <w:rFonts w:ascii="宋体" w:hAnsi="宋体" w:eastAsia="宋体"/>
                <w:sz w:val="16"/>
              </w:rPr>
              <w:t>红十字救护员培训人数（人）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96E9D">
            <w:pPr>
              <w:jc w:val="center"/>
            </w:pPr>
            <w:r>
              <w:rPr>
                <w:rFonts w:ascii="宋体" w:hAnsi="宋体" w:eastAsia="宋体"/>
                <w:sz w:val="16"/>
              </w:rPr>
              <w:t>&gt;=350人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3B973">
            <w:pPr>
              <w:jc w:val="center"/>
            </w:pPr>
            <w:r>
              <w:rPr>
                <w:rFonts w:ascii="宋体" w:hAnsi="宋体" w:eastAsia="宋体"/>
                <w:sz w:val="16"/>
              </w:rPr>
              <w:t>疏附县红十字会2024年度工作计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4E5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4E0C1">
            <w:pPr>
              <w:jc w:val="center"/>
            </w:pPr>
            <w:r>
              <w:rPr>
                <w:rFonts w:ascii="宋体" w:hAnsi="宋体" w:eastAsia="宋体"/>
                <w:sz w:val="16"/>
              </w:rPr>
              <w:t>350人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92D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492D5">
            <w:pPr>
              <w:jc w:val="center"/>
            </w:pPr>
            <w:r>
              <w:rPr>
                <w:rFonts w:ascii="宋体" w:hAnsi="宋体" w:eastAsia="宋体"/>
                <w:sz w:val="16"/>
              </w:rPr>
              <w:t>20</w:t>
            </w:r>
          </w:p>
        </w:tc>
      </w:tr>
      <w:tr w14:paraId="2FB7AD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42B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784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EB8D1">
            <w:pPr>
              <w:jc w:val="center"/>
            </w:pPr>
            <w:r>
              <w:rPr>
                <w:rFonts w:ascii="宋体" w:hAnsi="宋体" w:eastAsia="宋体"/>
                <w:sz w:val="16"/>
              </w:rPr>
              <w:t>造血干细胞捐献登记（人）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A1492">
            <w:pPr>
              <w:jc w:val="center"/>
            </w:pPr>
            <w:r>
              <w:rPr>
                <w:rFonts w:ascii="宋体" w:hAnsi="宋体" w:eastAsia="宋体"/>
                <w:sz w:val="16"/>
              </w:rPr>
              <w:t>&gt;=30人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81CA5">
            <w:pPr>
              <w:jc w:val="center"/>
            </w:pPr>
            <w:r>
              <w:rPr>
                <w:rFonts w:ascii="宋体" w:hAnsi="宋体" w:eastAsia="宋体"/>
                <w:sz w:val="16"/>
              </w:rPr>
              <w:t>疏附县红十字会2024年度工作计划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E64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F88DC">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858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1989E">
            <w:pPr>
              <w:jc w:val="center"/>
            </w:pPr>
            <w:r>
              <w:rPr>
                <w:rFonts w:ascii="宋体" w:hAnsi="宋体" w:eastAsia="宋体"/>
                <w:sz w:val="16"/>
              </w:rPr>
              <w:t>20</w:t>
            </w:r>
          </w:p>
        </w:tc>
      </w:tr>
      <w:tr w14:paraId="0B37F8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142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0BC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37474">
            <w:pPr>
              <w:jc w:val="center"/>
            </w:pPr>
            <w:r>
              <w:rPr>
                <w:rFonts w:ascii="宋体" w:hAnsi="宋体" w:eastAsia="宋体"/>
                <w:sz w:val="16"/>
              </w:rPr>
              <w:t>开展应急救护讲座人次（人次）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8AEAD">
            <w:pPr>
              <w:jc w:val="center"/>
            </w:pPr>
            <w:r>
              <w:rPr>
                <w:rFonts w:ascii="宋体" w:hAnsi="宋体" w:eastAsia="宋体"/>
                <w:sz w:val="16"/>
              </w:rPr>
              <w:t>&gt;=200人次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E2A13">
            <w:pPr>
              <w:jc w:val="center"/>
            </w:pPr>
            <w:r>
              <w:rPr>
                <w:rFonts w:ascii="宋体" w:hAnsi="宋体" w:eastAsia="宋体"/>
                <w:sz w:val="16"/>
              </w:rPr>
              <w:t>疏附县红十字会2024年度工作计划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80B2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E9B52">
            <w:pPr>
              <w:jc w:val="center"/>
            </w:pPr>
            <w:r>
              <w:rPr>
                <w:rFonts w:ascii="宋体" w:hAnsi="宋体" w:eastAsia="宋体"/>
                <w:sz w:val="16"/>
              </w:rPr>
              <w:t>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1E2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DF981">
            <w:pPr>
              <w:jc w:val="center"/>
            </w:pPr>
            <w:r>
              <w:rPr>
                <w:rFonts w:ascii="宋体" w:hAnsi="宋体" w:eastAsia="宋体"/>
                <w:sz w:val="16"/>
              </w:rPr>
              <w:t>15</w:t>
            </w:r>
          </w:p>
        </w:tc>
      </w:tr>
      <w:tr w14:paraId="55407E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CB0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FD1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F6F8C">
            <w:pPr>
              <w:jc w:val="center"/>
            </w:pPr>
            <w:r>
              <w:rPr>
                <w:rFonts w:ascii="宋体" w:hAnsi="宋体" w:eastAsia="宋体"/>
                <w:sz w:val="16"/>
              </w:rPr>
              <w:t>志愿工作开展合格率（%）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375D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F592B">
            <w:pPr>
              <w:jc w:val="center"/>
            </w:pPr>
            <w:r>
              <w:rPr>
                <w:rFonts w:ascii="宋体" w:hAnsi="宋体" w:eastAsia="宋体"/>
                <w:sz w:val="16"/>
              </w:rPr>
              <w:t>疏附县红十字会2024年度工作计划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D7D5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B08F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E27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C9E00">
            <w:pPr>
              <w:jc w:val="center"/>
            </w:pPr>
            <w:r>
              <w:rPr>
                <w:rFonts w:ascii="宋体" w:hAnsi="宋体" w:eastAsia="宋体"/>
                <w:sz w:val="16"/>
              </w:rPr>
              <w:t>15</w:t>
            </w:r>
          </w:p>
        </w:tc>
      </w:tr>
    </w:tbl>
    <w:p w14:paraId="7FD70249">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56D0B91D">
        <w:tblPrEx>
          <w:tblCellMar>
            <w:top w:w="0" w:type="dxa"/>
            <w:left w:w="108" w:type="dxa"/>
            <w:bottom w:w="0" w:type="dxa"/>
            <w:right w:w="108" w:type="dxa"/>
          </w:tblCellMar>
        </w:tblPrEx>
        <w:tc>
          <w:tcPr>
            <w:tcW w:w="8848" w:type="dxa"/>
            <w:gridSpan w:val="14"/>
            <w:vAlign w:val="center"/>
          </w:tcPr>
          <w:p w14:paraId="50FC72B9">
            <w:pPr>
              <w:jc w:val="center"/>
            </w:pPr>
            <w:r>
              <w:rPr>
                <w:rFonts w:ascii="宋体" w:hAnsi="宋体" w:eastAsia="宋体"/>
                <w:sz w:val="24"/>
              </w:rPr>
              <w:t>项目支出绩效自评表</w:t>
            </w:r>
          </w:p>
        </w:tc>
      </w:tr>
      <w:tr w14:paraId="05F59F1E">
        <w:tblPrEx>
          <w:tblCellMar>
            <w:top w:w="0" w:type="dxa"/>
            <w:left w:w="108" w:type="dxa"/>
            <w:bottom w:w="0" w:type="dxa"/>
            <w:right w:w="108" w:type="dxa"/>
          </w:tblCellMar>
        </w:tblPrEx>
        <w:tc>
          <w:tcPr>
            <w:tcW w:w="8848" w:type="dxa"/>
            <w:gridSpan w:val="14"/>
            <w:vAlign w:val="center"/>
          </w:tcPr>
          <w:p w14:paraId="4D7718E0">
            <w:pPr>
              <w:jc w:val="center"/>
            </w:pPr>
            <w:r>
              <w:rPr>
                <w:rFonts w:ascii="宋体" w:hAnsi="宋体" w:eastAsia="宋体"/>
                <w:sz w:val="24"/>
              </w:rPr>
              <w:t>(2024年度)</w:t>
            </w:r>
          </w:p>
        </w:tc>
      </w:tr>
      <w:tr w14:paraId="0ABB66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42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596ACF">
            <w:pPr>
              <w:jc w:val="center"/>
            </w:pPr>
            <w:r>
              <w:rPr>
                <w:rFonts w:ascii="宋体" w:hAnsi="宋体" w:eastAsia="宋体"/>
                <w:sz w:val="16"/>
              </w:rPr>
              <w:t>2024年疏附县红十字会单位资金项目</w:t>
            </w:r>
          </w:p>
        </w:tc>
      </w:tr>
      <w:tr w14:paraId="528924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A7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62622F">
            <w:pPr>
              <w:jc w:val="center"/>
            </w:pPr>
            <w:r>
              <w:rPr>
                <w:rFonts w:ascii="宋体" w:hAnsi="宋体" w:eastAsia="宋体"/>
                <w:sz w:val="16"/>
              </w:rPr>
              <w:t>新疆维吾尔自治区红十字会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8D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751C3E">
            <w:pPr>
              <w:jc w:val="center"/>
            </w:pPr>
            <w:r>
              <w:rPr>
                <w:rFonts w:ascii="宋体" w:hAnsi="宋体" w:eastAsia="宋体"/>
                <w:sz w:val="16"/>
              </w:rPr>
              <w:t>疏附县红十字会</w:t>
            </w:r>
          </w:p>
        </w:tc>
      </w:tr>
      <w:tr w14:paraId="440DB8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9EC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1BE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5A0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0C2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658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97A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2B0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AE27">
            <w:pPr>
              <w:jc w:val="center"/>
            </w:pPr>
            <w:r>
              <w:rPr>
                <w:rFonts w:ascii="宋体" w:hAnsi="宋体" w:eastAsia="宋体"/>
                <w:sz w:val="16"/>
              </w:rPr>
              <w:t>得分</w:t>
            </w:r>
          </w:p>
        </w:tc>
      </w:tr>
      <w:tr w14:paraId="2BDB0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C61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354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85DA6">
            <w:pPr>
              <w:jc w:val="center"/>
            </w:pPr>
            <w:r>
              <w:rPr>
                <w:rFonts w:ascii="宋体" w:hAnsi="宋体" w:eastAsia="宋体"/>
                <w:sz w:val="16"/>
              </w:rPr>
              <w:t>419.52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D9841">
            <w:pPr>
              <w:jc w:val="center"/>
            </w:pPr>
            <w:r>
              <w:rPr>
                <w:rFonts w:ascii="宋体" w:hAnsi="宋体" w:eastAsia="宋体"/>
                <w:sz w:val="16"/>
              </w:rPr>
              <w:t>419.52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A3B82">
            <w:pPr>
              <w:jc w:val="center"/>
            </w:pPr>
            <w:r>
              <w:rPr>
                <w:rFonts w:ascii="宋体" w:hAnsi="宋体" w:eastAsia="宋体"/>
                <w:sz w:val="16"/>
              </w:rPr>
              <w:t>419.52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115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7C55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4757">
            <w:pPr>
              <w:jc w:val="center"/>
            </w:pPr>
            <w:r>
              <w:rPr>
                <w:rFonts w:ascii="宋体" w:hAnsi="宋体" w:eastAsia="宋体"/>
                <w:sz w:val="16"/>
              </w:rPr>
              <w:t>10.00分</w:t>
            </w:r>
          </w:p>
        </w:tc>
      </w:tr>
      <w:tr w14:paraId="41D36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24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FE9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0F88">
            <w:pPr>
              <w:jc w:val="center"/>
            </w:pPr>
            <w:r>
              <w:rPr>
                <w:rFonts w:ascii="宋体" w:hAnsi="宋体" w:eastAsia="宋体"/>
                <w:sz w:val="16"/>
              </w:rPr>
              <w:t>419.52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E509A">
            <w:pPr>
              <w:jc w:val="center"/>
            </w:pPr>
            <w:r>
              <w:rPr>
                <w:rFonts w:ascii="宋体" w:hAnsi="宋体" w:eastAsia="宋体"/>
                <w:sz w:val="16"/>
              </w:rPr>
              <w:t>419.52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7674C">
            <w:pPr>
              <w:jc w:val="center"/>
            </w:pPr>
            <w:r>
              <w:rPr>
                <w:rFonts w:ascii="宋体" w:hAnsi="宋体" w:eastAsia="宋体"/>
                <w:sz w:val="16"/>
              </w:rPr>
              <w:t>419.52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DC6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88F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52A0">
            <w:pPr>
              <w:jc w:val="center"/>
            </w:pPr>
            <w:r>
              <w:rPr>
                <w:rFonts w:ascii="宋体" w:hAnsi="宋体" w:eastAsia="宋体"/>
                <w:sz w:val="16"/>
              </w:rPr>
              <w:t>—</w:t>
            </w:r>
          </w:p>
        </w:tc>
      </w:tr>
      <w:tr w14:paraId="25C08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72D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D96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5ED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DCC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CA4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B8B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22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40FC">
            <w:pPr>
              <w:jc w:val="center"/>
            </w:pPr>
            <w:r>
              <w:rPr>
                <w:rFonts w:ascii="宋体" w:hAnsi="宋体" w:eastAsia="宋体"/>
                <w:sz w:val="16"/>
              </w:rPr>
              <w:t>—</w:t>
            </w:r>
          </w:p>
        </w:tc>
      </w:tr>
      <w:tr w14:paraId="68C5E7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6F6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A4DB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FFFD70">
            <w:pPr>
              <w:jc w:val="center"/>
            </w:pPr>
            <w:r>
              <w:rPr>
                <w:rFonts w:ascii="宋体" w:hAnsi="宋体" w:eastAsia="宋体"/>
                <w:sz w:val="16"/>
              </w:rPr>
              <w:t>实际完成情况</w:t>
            </w:r>
          </w:p>
        </w:tc>
      </w:tr>
      <w:tr w14:paraId="1C6F9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175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F5CA1C">
            <w:pPr>
              <w:jc w:val="both"/>
            </w:pPr>
            <w:r>
              <w:rPr>
                <w:rFonts w:ascii="宋体" w:hAnsi="宋体" w:eastAsia="宋体"/>
                <w:sz w:val="16"/>
              </w:rPr>
              <w:t>本项目预算金额为419.52万元，主要用于专用材料费197.28，其他支出222.24万元，预计通过本项目的实施有效保障各类捐赠支出收支，使得受益对象满意度达到95%以上。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AF2B3E">
            <w:pPr>
              <w:jc w:val="both"/>
            </w:pPr>
            <w:r>
              <w:rPr>
                <w:rFonts w:hint="eastAsia" w:ascii="宋体" w:hAnsi="宋体"/>
                <w:sz w:val="16"/>
                <w:lang w:eastAsia="zh-CN"/>
              </w:rPr>
              <w:t>截至</w:t>
            </w:r>
            <w:r>
              <w:rPr>
                <w:rFonts w:ascii="宋体" w:hAnsi="宋体" w:eastAsia="宋体"/>
                <w:sz w:val="16"/>
              </w:rPr>
              <w:t>2024年12月31日，本项目预算金额为419.52万元，主要用于单位资金项目数2个，专用材料费197.28，其他支出222.24万元，通过本项目的实施有效保障各类捐赠支出收支，使得受益对象满意度达到了95%。</w:t>
            </w:r>
          </w:p>
        </w:tc>
      </w:tr>
      <w:tr w14:paraId="7EF8E5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35B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CA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3B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7B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A92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53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43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19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BE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4A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3B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5C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FBF17">
            <w:pPr>
              <w:jc w:val="center"/>
            </w:pPr>
            <w:r>
              <w:rPr>
                <w:rFonts w:ascii="宋体" w:hAnsi="宋体" w:eastAsia="宋体"/>
                <w:sz w:val="16"/>
              </w:rPr>
              <w:t>偏差原因分析及改进措施</w:t>
            </w:r>
          </w:p>
        </w:tc>
      </w:tr>
      <w:tr w14:paraId="142858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FB6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1571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1D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A4E6">
            <w:pPr>
              <w:jc w:val="center"/>
            </w:pPr>
            <w:r>
              <w:rPr>
                <w:rFonts w:ascii="宋体" w:hAnsi="宋体" w:eastAsia="宋体"/>
                <w:sz w:val="16"/>
              </w:rPr>
              <w:t>单位资金项目数（个）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A1A9">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33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1E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C2A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12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C10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E5E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527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43910">
            <w:pPr>
              <w:jc w:val="center"/>
            </w:pPr>
          </w:p>
        </w:tc>
      </w:tr>
      <w:tr w14:paraId="6ADEE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31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76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6B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8753">
            <w:pPr>
              <w:jc w:val="center"/>
            </w:pPr>
            <w:r>
              <w:rPr>
                <w:rFonts w:ascii="宋体" w:hAnsi="宋体" w:eastAsia="宋体"/>
                <w:sz w:val="16"/>
              </w:rPr>
              <w:t>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330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0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CA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622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74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94A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B5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0E7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25363">
            <w:pPr>
              <w:jc w:val="center"/>
            </w:pPr>
          </w:p>
        </w:tc>
      </w:tr>
      <w:tr w14:paraId="45181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E6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ACD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D2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2CD8">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201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88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A0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2C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8F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EBA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7A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D3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545F">
            <w:pPr>
              <w:jc w:val="center"/>
            </w:pPr>
          </w:p>
        </w:tc>
      </w:tr>
      <w:tr w14:paraId="73BB1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195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4ED2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92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181C">
            <w:pPr>
              <w:jc w:val="center"/>
            </w:pPr>
            <w:r>
              <w:rPr>
                <w:rFonts w:ascii="宋体" w:hAnsi="宋体" w:eastAsia="宋体"/>
                <w:sz w:val="16"/>
              </w:rPr>
              <w:t>专用材料费（万元）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4267">
            <w:pPr>
              <w:jc w:val="center"/>
            </w:pPr>
            <w:r>
              <w:rPr>
                <w:rFonts w:ascii="宋体" w:hAnsi="宋体" w:eastAsia="宋体"/>
                <w:sz w:val="16"/>
              </w:rPr>
              <w:t>&lt;=197.28万元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8A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3C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BA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A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ECD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6E17">
            <w:pPr>
              <w:jc w:val="center"/>
            </w:pPr>
            <w:r>
              <w:rPr>
                <w:rFonts w:ascii="宋体" w:hAnsi="宋体" w:eastAsia="宋体"/>
                <w:sz w:val="16"/>
              </w:rPr>
              <w:t>=197.28万元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FF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ADDF4">
            <w:pPr>
              <w:jc w:val="center"/>
            </w:pPr>
          </w:p>
        </w:tc>
      </w:tr>
      <w:tr w14:paraId="74433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D5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2E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218A">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ACD6">
            <w:pPr>
              <w:jc w:val="center"/>
            </w:pPr>
            <w:r>
              <w:rPr>
                <w:rFonts w:ascii="宋体" w:hAnsi="宋体" w:eastAsia="宋体"/>
                <w:sz w:val="16"/>
              </w:rPr>
              <w:t>其他支出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892C">
            <w:pPr>
              <w:jc w:val="center"/>
            </w:pPr>
            <w:r>
              <w:rPr>
                <w:rFonts w:ascii="宋体" w:hAnsi="宋体" w:eastAsia="宋体"/>
                <w:sz w:val="16"/>
              </w:rPr>
              <w:t>&lt;=222.24万元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FE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62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83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7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7F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FD1D">
            <w:pPr>
              <w:jc w:val="center"/>
            </w:pPr>
            <w:r>
              <w:rPr>
                <w:rFonts w:ascii="宋体" w:hAnsi="宋体" w:eastAsia="宋体"/>
                <w:sz w:val="16"/>
              </w:rPr>
              <w:t>=222.24万元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26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D66A4">
            <w:pPr>
              <w:jc w:val="center"/>
            </w:pPr>
          </w:p>
        </w:tc>
      </w:tr>
      <w:tr w14:paraId="3F3A5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9D8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9FE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02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BD37">
            <w:pPr>
              <w:jc w:val="center"/>
            </w:pPr>
            <w:r>
              <w:rPr>
                <w:rFonts w:ascii="宋体" w:hAnsi="宋体" w:eastAsia="宋体"/>
                <w:sz w:val="16"/>
              </w:rPr>
              <w:t>有效保障各类捐赠正常收支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E57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5E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0E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26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E7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70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947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10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B0645">
            <w:pPr>
              <w:jc w:val="center"/>
            </w:pPr>
          </w:p>
        </w:tc>
      </w:tr>
      <w:tr w14:paraId="1B5B2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097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0A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1B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08EE">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EE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E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07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AA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D7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4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E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5F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FCC3B">
            <w:pPr>
              <w:jc w:val="center"/>
            </w:pPr>
            <w:r>
              <w:rPr>
                <w:rFonts w:ascii="宋体" w:hAnsi="宋体" w:eastAsia="宋体"/>
                <w:sz w:val="16"/>
              </w:rPr>
              <w:t>预期目标大于等于95%，实际完成100%，完成率105%，导致出现正偏差。</w:t>
            </w:r>
          </w:p>
        </w:tc>
      </w:tr>
      <w:tr w14:paraId="4B50F88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D583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767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03E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FFE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D8B396"/>
        </w:tc>
      </w:tr>
    </w:tbl>
    <w:p w14:paraId="1EA28E99">
      <w:r>
        <w:br w:type="page"/>
      </w:r>
    </w:p>
    <w:p w14:paraId="4FB1BDE9">
      <w:pPr>
        <w:spacing w:line="640" w:lineRule="exact"/>
        <w:ind w:firstLine="640"/>
        <w:jc w:val="both"/>
        <w:outlineLvl w:val="2"/>
      </w:pPr>
      <w:r>
        <w:rPr>
          <w:rFonts w:ascii="黑体" w:hAnsi="黑体" w:eastAsia="黑体"/>
          <w:sz w:val="32"/>
        </w:rPr>
        <w:t>十二、其他需说明的事项</w:t>
      </w:r>
    </w:p>
    <w:p w14:paraId="7AB51A7E">
      <w:pPr>
        <w:spacing w:line="580" w:lineRule="exact"/>
        <w:ind w:firstLine="640"/>
        <w:jc w:val="both"/>
      </w:pPr>
      <w:r>
        <w:rPr>
          <w:rFonts w:ascii="仿宋_GB2312" w:hAnsi="仿宋_GB2312" w:eastAsia="仿宋_GB2312"/>
          <w:b w:val="0"/>
          <w:sz w:val="32"/>
        </w:rPr>
        <w:t>本单位无其他需说明的事项。</w:t>
      </w:r>
    </w:p>
    <w:p w14:paraId="6B88BA19">
      <w:r>
        <w:br w:type="page"/>
      </w:r>
    </w:p>
    <w:p w14:paraId="1E75395C">
      <w:pPr>
        <w:spacing w:line="240" w:lineRule="auto"/>
        <w:jc w:val="center"/>
        <w:outlineLvl w:val="1"/>
      </w:pPr>
      <w:r>
        <w:rPr>
          <w:rFonts w:ascii="黑体" w:hAnsi="黑体" w:eastAsia="黑体"/>
          <w:sz w:val="32"/>
        </w:rPr>
        <w:t>第三部分 专业名词解释</w:t>
      </w:r>
    </w:p>
    <w:p w14:paraId="05D89AC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81407D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C7DF8F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645705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A55F5F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4CBE2B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559A96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D3F94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8E328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74D4C7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4945C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7CD75F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0E5B47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922E1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6431D08">
      <w:r>
        <w:br w:type="page"/>
      </w:r>
    </w:p>
    <w:p w14:paraId="62161717">
      <w:pPr>
        <w:spacing w:line="240" w:lineRule="auto"/>
        <w:jc w:val="center"/>
        <w:outlineLvl w:val="1"/>
      </w:pPr>
      <w:r>
        <w:rPr>
          <w:rFonts w:ascii="黑体" w:hAnsi="黑体" w:eastAsia="黑体"/>
          <w:sz w:val="32"/>
        </w:rPr>
        <w:t>第四部分 部门决算报表（见附表）</w:t>
      </w:r>
    </w:p>
    <w:p w14:paraId="328E84D5">
      <w:pPr>
        <w:spacing w:line="240" w:lineRule="auto"/>
        <w:ind w:firstLine="640"/>
        <w:jc w:val="both"/>
      </w:pPr>
      <w:r>
        <w:rPr>
          <w:rFonts w:ascii="仿宋_GB2312" w:hAnsi="仿宋_GB2312" w:eastAsia="仿宋_GB2312"/>
          <w:b w:val="0"/>
          <w:sz w:val="32"/>
        </w:rPr>
        <w:t>一、《收入支出决算总表》</w:t>
      </w:r>
    </w:p>
    <w:p w14:paraId="77C628DB">
      <w:pPr>
        <w:spacing w:line="240" w:lineRule="auto"/>
        <w:ind w:firstLine="640"/>
        <w:jc w:val="both"/>
      </w:pPr>
      <w:r>
        <w:rPr>
          <w:rFonts w:ascii="仿宋_GB2312" w:hAnsi="仿宋_GB2312" w:eastAsia="仿宋_GB2312"/>
          <w:b w:val="0"/>
          <w:sz w:val="32"/>
        </w:rPr>
        <w:t>二、《收入决算表》</w:t>
      </w:r>
    </w:p>
    <w:p w14:paraId="6F48F37D">
      <w:pPr>
        <w:spacing w:line="240" w:lineRule="auto"/>
        <w:ind w:firstLine="640"/>
        <w:jc w:val="both"/>
      </w:pPr>
      <w:r>
        <w:rPr>
          <w:rFonts w:ascii="仿宋_GB2312" w:hAnsi="仿宋_GB2312" w:eastAsia="仿宋_GB2312"/>
          <w:b w:val="0"/>
          <w:sz w:val="32"/>
        </w:rPr>
        <w:t>三、《支出决算表》</w:t>
      </w:r>
    </w:p>
    <w:p w14:paraId="1AAEE413">
      <w:pPr>
        <w:spacing w:line="240" w:lineRule="auto"/>
        <w:ind w:firstLine="640"/>
        <w:jc w:val="both"/>
      </w:pPr>
      <w:r>
        <w:rPr>
          <w:rFonts w:ascii="仿宋_GB2312" w:hAnsi="仿宋_GB2312" w:eastAsia="仿宋_GB2312"/>
          <w:b w:val="0"/>
          <w:sz w:val="32"/>
        </w:rPr>
        <w:t>四、《财政拨款收入支出决算总表》</w:t>
      </w:r>
    </w:p>
    <w:p w14:paraId="002EEABE">
      <w:pPr>
        <w:spacing w:line="240" w:lineRule="auto"/>
        <w:ind w:firstLine="640"/>
        <w:jc w:val="both"/>
      </w:pPr>
      <w:r>
        <w:rPr>
          <w:rFonts w:ascii="仿宋_GB2312" w:hAnsi="仿宋_GB2312" w:eastAsia="仿宋_GB2312"/>
          <w:b w:val="0"/>
          <w:sz w:val="32"/>
        </w:rPr>
        <w:t>五、《一般公共预算财政拨款支出决算表》</w:t>
      </w:r>
    </w:p>
    <w:p w14:paraId="77D67B27">
      <w:pPr>
        <w:spacing w:line="240" w:lineRule="auto"/>
        <w:ind w:firstLine="640"/>
        <w:jc w:val="both"/>
      </w:pPr>
      <w:r>
        <w:rPr>
          <w:rFonts w:ascii="仿宋_GB2312" w:hAnsi="仿宋_GB2312" w:eastAsia="仿宋_GB2312"/>
          <w:b w:val="0"/>
          <w:sz w:val="32"/>
        </w:rPr>
        <w:t>六、《一般公共预算财政拨款基本支出决算表》</w:t>
      </w:r>
    </w:p>
    <w:p w14:paraId="2F93C1A5">
      <w:pPr>
        <w:spacing w:line="240" w:lineRule="auto"/>
        <w:ind w:firstLine="640"/>
        <w:jc w:val="both"/>
      </w:pPr>
      <w:r>
        <w:rPr>
          <w:rFonts w:ascii="仿宋_GB2312" w:hAnsi="仿宋_GB2312" w:eastAsia="仿宋_GB2312"/>
          <w:b w:val="0"/>
          <w:sz w:val="32"/>
        </w:rPr>
        <w:t>七、《政府性基金预算财政拨款收入支出决算表》</w:t>
      </w:r>
    </w:p>
    <w:p w14:paraId="5BFA3E9D">
      <w:pPr>
        <w:spacing w:line="240" w:lineRule="auto"/>
        <w:ind w:firstLine="640"/>
        <w:jc w:val="both"/>
      </w:pPr>
      <w:r>
        <w:rPr>
          <w:rFonts w:ascii="仿宋_GB2312" w:hAnsi="仿宋_GB2312" w:eastAsia="仿宋_GB2312"/>
          <w:b w:val="0"/>
          <w:sz w:val="32"/>
        </w:rPr>
        <w:t>八、《国有资本经营预算财政拨款收入支出决算表》</w:t>
      </w:r>
    </w:p>
    <w:p w14:paraId="5744873B">
      <w:pPr>
        <w:spacing w:line="240" w:lineRule="auto"/>
        <w:ind w:firstLine="640"/>
        <w:jc w:val="both"/>
      </w:pPr>
      <w:r>
        <w:rPr>
          <w:rFonts w:ascii="仿宋_GB2312" w:hAnsi="仿宋_GB2312" w:eastAsia="仿宋_GB2312"/>
          <w:b w:val="0"/>
          <w:sz w:val="32"/>
        </w:rPr>
        <w:t>九、《财政拨款“三公”经费支出决算表》</w:t>
      </w:r>
    </w:p>
    <w:p w14:paraId="4379933B">
      <w:pPr>
        <w:spacing w:line="240" w:lineRule="auto"/>
        <w:ind w:firstLine="640"/>
        <w:jc w:val="both"/>
      </w:pPr>
    </w:p>
    <w:p w14:paraId="6052DB58">
      <w:pPr>
        <w:spacing w:line="240" w:lineRule="auto"/>
        <w:ind w:firstLine="640"/>
        <w:jc w:val="both"/>
      </w:pPr>
    </w:p>
    <w:p w14:paraId="2FCD6E0E">
      <w:pPr>
        <w:spacing w:line="240" w:lineRule="auto"/>
        <w:ind w:firstLine="640"/>
        <w:jc w:val="both"/>
      </w:pPr>
    </w:p>
    <w:p w14:paraId="2FBA297E">
      <w:pPr>
        <w:spacing w:line="240" w:lineRule="auto"/>
        <w:ind w:firstLine="640"/>
        <w:jc w:val="both"/>
      </w:pPr>
    </w:p>
    <w:p w14:paraId="6273922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3E91C13"/>
    <w:rsid w:val="25275618"/>
    <w:rsid w:val="27CE017C"/>
    <w:rsid w:val="27CF2642"/>
    <w:rsid w:val="282459E2"/>
    <w:rsid w:val="29116777"/>
    <w:rsid w:val="2A053397"/>
    <w:rsid w:val="2A444FB1"/>
    <w:rsid w:val="2A6064E2"/>
    <w:rsid w:val="2B28655D"/>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5143</Words>
  <Characters>5870</Characters>
  <Lines>0</Lines>
  <Paragraphs>0</Paragraphs>
  <TotalTime>11</TotalTime>
  <ScaleCrop>false</ScaleCrop>
  <LinksUpToDate>false</LinksUpToDate>
  <CharactersWithSpaces>5878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2025-09-16T10:03:26Z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