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疏附县石园镇卫生院2024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CE0BD9">
      <w:r>
        <w:br w:type="page"/>
      </w:r>
    </w:p>
    <w:p w14:paraId="560F6742">
      <w:pPr>
        <w:spacing w:line="640" w:lineRule="exact"/>
        <w:jc w:val="center"/>
        <w:outlineLvl w:val="1"/>
      </w:pPr>
      <w:r>
        <w:rPr>
          <w:rFonts w:ascii="黑体" w:hAnsi="黑体" w:eastAsia="黑体"/>
          <w:sz w:val="32"/>
        </w:rPr>
        <w:t>第一部分 单位概况</w:t>
      </w:r>
    </w:p>
    <w:p w14:paraId="7FE833FD">
      <w:pPr>
        <w:spacing w:line="640" w:lineRule="exact"/>
        <w:ind w:firstLine="640"/>
        <w:jc w:val="both"/>
        <w:outlineLvl w:val="2"/>
      </w:pPr>
      <w:r>
        <w:rPr>
          <w:rFonts w:ascii="黑体" w:hAnsi="黑体" w:eastAsia="黑体"/>
          <w:sz w:val="32"/>
        </w:rPr>
        <w:t>一、主要职能</w:t>
      </w:r>
    </w:p>
    <w:p w14:paraId="5D4F0F16">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6FC8CB8F">
      <w:pPr>
        <w:spacing w:line="640" w:lineRule="exact"/>
        <w:ind w:firstLine="640"/>
        <w:jc w:val="both"/>
        <w:outlineLvl w:val="2"/>
      </w:pPr>
      <w:r>
        <w:rPr>
          <w:rFonts w:ascii="黑体" w:hAnsi="黑体" w:eastAsia="黑体"/>
          <w:sz w:val="32"/>
        </w:rPr>
        <w:t>二、机构设置及人员情况</w:t>
      </w:r>
    </w:p>
    <w:p w14:paraId="35CE383F">
      <w:pPr>
        <w:spacing w:line="580" w:lineRule="exact"/>
        <w:ind w:firstLine="640"/>
        <w:jc w:val="both"/>
      </w:pPr>
      <w:r>
        <w:rPr>
          <w:rFonts w:ascii="仿宋_GB2312" w:hAnsi="仿宋_GB2312" w:eastAsia="仿宋_GB2312"/>
          <w:sz w:val="32"/>
        </w:rPr>
        <w:t>疏附县石园镇卫生院2024年度，实有人数46人，其中：在职人员40人，增加4人；离休人员0人，增加0人；退休人员6人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050D43C6">
      <w:pPr>
        <w:spacing w:line="580" w:lineRule="exact"/>
        <w:ind w:firstLine="640"/>
        <w:jc w:val="both"/>
      </w:pPr>
      <w:r>
        <w:rPr>
          <w:rFonts w:ascii="仿宋_GB2312" w:hAnsi="仿宋_GB2312" w:eastAsia="仿宋_GB2312"/>
          <w:sz w:val="32"/>
        </w:rPr>
        <w:t>疏附县石园镇卫生院无下属预算单位，下设6个科室，分别是：体检科、公卫科、门诊部、住院部、辅助检查科室、院办。</w:t>
      </w:r>
    </w:p>
    <w:p w14:paraId="0DC7DBC3">
      <w:r>
        <w:br w:type="page"/>
      </w:r>
    </w:p>
    <w:p w14:paraId="23CFB3AF">
      <w:pPr>
        <w:spacing w:line="240" w:lineRule="auto"/>
        <w:jc w:val="center"/>
        <w:outlineLvl w:val="1"/>
      </w:pPr>
      <w:r>
        <w:rPr>
          <w:rFonts w:ascii="黑体" w:hAnsi="黑体" w:eastAsia="黑体"/>
          <w:sz w:val="32"/>
        </w:rPr>
        <w:t>第二部分 部门决算情况说明</w:t>
      </w:r>
    </w:p>
    <w:p w14:paraId="3AC16B21">
      <w:pPr>
        <w:spacing w:line="640" w:lineRule="exact"/>
        <w:ind w:firstLine="640"/>
        <w:jc w:val="both"/>
        <w:outlineLvl w:val="2"/>
      </w:pPr>
      <w:r>
        <w:rPr>
          <w:rFonts w:ascii="黑体" w:hAnsi="黑体" w:eastAsia="黑体"/>
          <w:sz w:val="32"/>
        </w:rPr>
        <w:t>一、收入支出决算总体情况说明</w:t>
      </w:r>
    </w:p>
    <w:p w14:paraId="7381BA8A">
      <w:pPr>
        <w:spacing w:line="580" w:lineRule="exact"/>
        <w:ind w:firstLine="640"/>
        <w:jc w:val="both"/>
      </w:pPr>
      <w:r>
        <w:rPr>
          <w:rFonts w:ascii="仿宋_GB2312" w:hAnsi="仿宋_GB2312" w:eastAsia="仿宋_GB2312"/>
          <w:b/>
          <w:sz w:val="32"/>
        </w:rPr>
        <w:t>2024年度收入总计1,389.95万元，</w:t>
      </w:r>
      <w:r>
        <w:rPr>
          <w:rFonts w:ascii="仿宋_GB2312" w:hAnsi="仿宋_GB2312" w:eastAsia="仿宋_GB2312"/>
          <w:b w:val="0"/>
          <w:sz w:val="32"/>
        </w:rPr>
        <w:t>其中：本年收入合计1,331.34万元，使用非财政拨款结余（含专用结余）0.00万元，年初结转和结余58.61万元。</w:t>
      </w:r>
    </w:p>
    <w:p w14:paraId="47237F6F">
      <w:pPr>
        <w:spacing w:line="580" w:lineRule="exact"/>
        <w:ind w:firstLine="640"/>
        <w:jc w:val="both"/>
      </w:pPr>
      <w:r>
        <w:rPr>
          <w:rFonts w:ascii="仿宋_GB2312" w:hAnsi="仿宋_GB2312" w:eastAsia="仿宋_GB2312"/>
          <w:b/>
          <w:sz w:val="32"/>
        </w:rPr>
        <w:t>2024年度支出总计1,389.95万元，</w:t>
      </w:r>
      <w:r>
        <w:rPr>
          <w:rFonts w:ascii="仿宋_GB2312" w:hAnsi="仿宋_GB2312" w:eastAsia="仿宋_GB2312"/>
          <w:b w:val="0"/>
          <w:sz w:val="32"/>
        </w:rPr>
        <w:t>其中：本年支出合计1,389.95万元，结余分配0.00万元，年末结转和结余0.00万元。</w:t>
      </w:r>
    </w:p>
    <w:p w14:paraId="59E4C31E">
      <w:pPr>
        <w:spacing w:line="580" w:lineRule="exact"/>
        <w:ind w:firstLine="640"/>
        <w:jc w:val="both"/>
      </w:pPr>
      <w:r>
        <w:rPr>
          <w:rFonts w:ascii="仿宋_GB2312" w:hAnsi="仿宋_GB2312" w:eastAsia="仿宋_GB2312"/>
          <w:b w:val="0"/>
          <w:sz w:val="32"/>
        </w:rPr>
        <w:t>收入支出总体与上年相比，增加111.94万元，增长8.76%，主要原因是：本年在职人员工资调薪，工资、社保、公积金等相关人员经费增加，本年基本公共卫生项目资金，基本药物补助资金，自治区公共卫生地方性补助资金</w:t>
      </w:r>
      <w:r>
        <w:rPr>
          <w:rFonts w:hint="eastAsia" w:ascii="仿宋_GB2312" w:hAnsi="仿宋_GB2312" w:eastAsia="仿宋_GB2312"/>
          <w:b w:val="0"/>
          <w:sz w:val="32"/>
          <w:lang w:eastAsia="zh-CN"/>
        </w:rPr>
        <w:t>、</w:t>
      </w:r>
      <w:r>
        <w:rPr>
          <w:rFonts w:ascii="仿宋_GB2312" w:hAnsi="仿宋_GB2312" w:eastAsia="仿宋_GB2312"/>
          <w:b w:val="0"/>
          <w:sz w:val="32"/>
        </w:rPr>
        <w:t>彩票公益金地方社会公益事业发展资金增加，导致经费较上年增加。</w:t>
      </w:r>
    </w:p>
    <w:p w14:paraId="2D665E98">
      <w:pPr>
        <w:spacing w:line="640" w:lineRule="exact"/>
        <w:ind w:firstLine="640"/>
        <w:jc w:val="both"/>
        <w:outlineLvl w:val="2"/>
      </w:pPr>
      <w:r>
        <w:rPr>
          <w:rFonts w:ascii="黑体" w:hAnsi="黑体" w:eastAsia="黑体"/>
          <w:sz w:val="32"/>
        </w:rPr>
        <w:t>二、收入决算情况说明</w:t>
      </w:r>
    </w:p>
    <w:p w14:paraId="2284E10A">
      <w:pPr>
        <w:spacing w:line="580" w:lineRule="exact"/>
        <w:ind w:firstLine="640"/>
        <w:jc w:val="both"/>
      </w:pPr>
      <w:r>
        <w:rPr>
          <w:rFonts w:ascii="仿宋_GB2312" w:hAnsi="仿宋_GB2312" w:eastAsia="仿宋_GB2312"/>
          <w:b/>
          <w:sz w:val="32"/>
        </w:rPr>
        <w:t>本年收入1,331.34万元，</w:t>
      </w:r>
      <w:r>
        <w:rPr>
          <w:rFonts w:ascii="仿宋_GB2312" w:hAnsi="仿宋_GB2312" w:eastAsia="仿宋_GB2312"/>
          <w:b w:val="0"/>
          <w:sz w:val="32"/>
        </w:rPr>
        <w:t>其中：财政拨款收入1,104.16万元，占82.94%；上级补助收入0.00万元，占0.00%；事业收入227.18万元，占17.06%；经营收入0.00万元，占0.00%；附属单位上缴收入0.00万元，占0.00%；其他收入0.00万元，占0.00%。</w:t>
      </w:r>
    </w:p>
    <w:p w14:paraId="4E0D3292">
      <w:pPr>
        <w:spacing w:line="640" w:lineRule="exact"/>
        <w:ind w:firstLine="640"/>
        <w:jc w:val="both"/>
        <w:outlineLvl w:val="2"/>
      </w:pPr>
      <w:r>
        <w:rPr>
          <w:rFonts w:ascii="黑体" w:hAnsi="黑体" w:eastAsia="黑体"/>
          <w:sz w:val="32"/>
        </w:rPr>
        <w:t>三、支出决算情况说明</w:t>
      </w:r>
    </w:p>
    <w:p w14:paraId="581655F7">
      <w:pPr>
        <w:spacing w:line="580" w:lineRule="exact"/>
        <w:ind w:firstLine="640"/>
        <w:jc w:val="both"/>
      </w:pPr>
      <w:r>
        <w:rPr>
          <w:rFonts w:ascii="仿宋_GB2312" w:hAnsi="仿宋_GB2312" w:eastAsia="仿宋_GB2312"/>
          <w:b/>
          <w:sz w:val="32"/>
        </w:rPr>
        <w:t>本年支出1,389.95万元，</w:t>
      </w:r>
      <w:r>
        <w:rPr>
          <w:rFonts w:ascii="仿宋_GB2312" w:hAnsi="仿宋_GB2312" w:eastAsia="仿宋_GB2312"/>
          <w:b w:val="0"/>
          <w:sz w:val="32"/>
        </w:rPr>
        <w:t>其中：基本支出947.65万元，占68.18%；项目支出442.30万元，占31.82%；上缴上级支出0.00万元，占0.00%；经营支出0.00万元，占0.00%；对附属单位补助支出0.00万元，占0.00%。</w:t>
      </w:r>
    </w:p>
    <w:p w14:paraId="0578B3BD">
      <w:pPr>
        <w:spacing w:line="640" w:lineRule="exact"/>
        <w:ind w:firstLine="640"/>
        <w:jc w:val="both"/>
        <w:outlineLvl w:val="2"/>
      </w:pPr>
      <w:r>
        <w:rPr>
          <w:rFonts w:ascii="黑体" w:hAnsi="黑体" w:eastAsia="黑体"/>
          <w:sz w:val="32"/>
        </w:rPr>
        <w:t>四、财政拨款收入支出决算总体情况说明</w:t>
      </w:r>
    </w:p>
    <w:p w14:paraId="792F019D">
      <w:pPr>
        <w:spacing w:line="580" w:lineRule="exact"/>
        <w:ind w:firstLine="640"/>
        <w:jc w:val="both"/>
      </w:pPr>
      <w:r>
        <w:rPr>
          <w:rFonts w:ascii="仿宋_GB2312" w:hAnsi="仿宋_GB2312" w:eastAsia="仿宋_GB2312"/>
          <w:b/>
          <w:sz w:val="32"/>
        </w:rPr>
        <w:t>2024年度财政拨款收入总计1,104.16万元，</w:t>
      </w:r>
      <w:r>
        <w:rPr>
          <w:rFonts w:ascii="仿宋_GB2312" w:hAnsi="仿宋_GB2312" w:eastAsia="仿宋_GB2312"/>
          <w:b w:val="0"/>
          <w:sz w:val="32"/>
        </w:rPr>
        <w:t>其中：年初财政拨款结转和结余0.00万元，本年财政拨款收入1,104.16万元。</w:t>
      </w:r>
      <w:r>
        <w:rPr>
          <w:rFonts w:ascii="仿宋_GB2312" w:hAnsi="仿宋_GB2312" w:eastAsia="仿宋_GB2312"/>
          <w:b/>
          <w:sz w:val="32"/>
        </w:rPr>
        <w:t>财政拨款支出总计1,104.16万元，</w:t>
      </w:r>
      <w:r>
        <w:rPr>
          <w:rFonts w:ascii="仿宋_GB2312" w:hAnsi="仿宋_GB2312" w:eastAsia="仿宋_GB2312"/>
          <w:b w:val="0"/>
          <w:sz w:val="32"/>
        </w:rPr>
        <w:t>其中：年末财政拨款结转和结余0.00万元，本年财政拨款支出1,104.16万元。</w:t>
      </w:r>
    </w:p>
    <w:p w14:paraId="5125B3E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增加164.15万元，增长17.46%，主要原因是：本年在职人员工资调薪，工资、社保、公积金等相关人员经费增加，本年基本公共卫生项目资金，基本药物补助资金，自治区公共卫生地方性补助资金</w:t>
      </w:r>
      <w:r>
        <w:rPr>
          <w:rFonts w:hint="eastAsia" w:ascii="仿宋_GB2312" w:hAnsi="仿宋_GB2312" w:eastAsia="仿宋_GB2312"/>
          <w:b w:val="0"/>
          <w:sz w:val="32"/>
          <w:lang w:eastAsia="zh-CN"/>
        </w:rPr>
        <w:t>、</w:t>
      </w:r>
      <w:r>
        <w:rPr>
          <w:rFonts w:ascii="仿宋_GB2312" w:hAnsi="仿宋_GB2312" w:eastAsia="仿宋_GB2312"/>
          <w:b w:val="0"/>
          <w:sz w:val="32"/>
        </w:rPr>
        <w:t>彩票公益金地方社会公益事业发展资金增加，导致经费较上年增加。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652.19万元，决算数1,104.16万元，预决算差异率69.30%，主要原因是：年中追加人员工资、社保、公积金基数调增部分资金，年中追加2024年中央基本药物制度补助资金、2024年基本公共卫生服务补助资金、彩票公益金地方社会公益事业发展资金</w:t>
      </w:r>
      <w:r>
        <w:rPr>
          <w:rFonts w:hint="eastAsia" w:ascii="仿宋_GB2312" w:hAnsi="仿宋_GB2312" w:eastAsia="仿宋_GB2312"/>
          <w:b w:val="0"/>
          <w:sz w:val="32"/>
          <w:lang w:eastAsia="zh-CN"/>
        </w:rPr>
        <w:t>，</w:t>
      </w:r>
      <w:r>
        <w:rPr>
          <w:rFonts w:ascii="仿宋_GB2312" w:hAnsi="仿宋_GB2312" w:eastAsia="仿宋_GB2312"/>
          <w:b w:val="0"/>
          <w:sz w:val="32"/>
        </w:rPr>
        <w:t>导致预决算产生差异。</w:t>
      </w:r>
    </w:p>
    <w:p w14:paraId="20D62F50">
      <w:pPr>
        <w:spacing w:line="640" w:lineRule="exact"/>
        <w:ind w:firstLine="640"/>
        <w:jc w:val="both"/>
        <w:outlineLvl w:val="2"/>
      </w:pPr>
      <w:r>
        <w:rPr>
          <w:rFonts w:ascii="黑体" w:hAnsi="黑体" w:eastAsia="黑体"/>
          <w:sz w:val="32"/>
        </w:rPr>
        <w:t>五、一般公共预算财政拨款支出决算情况说明</w:t>
      </w:r>
    </w:p>
    <w:p w14:paraId="222E13B1">
      <w:pPr>
        <w:spacing w:line="640" w:lineRule="exact"/>
        <w:ind w:firstLine="640"/>
        <w:jc w:val="both"/>
        <w:outlineLvl w:val="3"/>
      </w:pPr>
      <w:r>
        <w:rPr>
          <w:rFonts w:ascii="楷体_GB2312" w:hAnsi="楷体_GB2312" w:eastAsia="楷体_GB2312"/>
          <w:b/>
          <w:sz w:val="32"/>
        </w:rPr>
        <w:t>（一）一般公共预算财政拨款支出决算总体情况</w:t>
      </w:r>
    </w:p>
    <w:p w14:paraId="59DEB176">
      <w:pPr>
        <w:spacing w:line="580" w:lineRule="exact"/>
        <w:ind w:firstLine="640"/>
        <w:jc w:val="both"/>
      </w:pPr>
      <w:r>
        <w:rPr>
          <w:rFonts w:ascii="仿宋_GB2312" w:hAnsi="仿宋_GB2312" w:eastAsia="仿宋_GB2312"/>
          <w:b/>
          <w:sz w:val="32"/>
        </w:rPr>
        <w:t>2024年度一般公共预算财政拨款支出1,103.06万元，</w:t>
      </w:r>
      <w:r>
        <w:rPr>
          <w:rFonts w:ascii="仿宋_GB2312" w:hAnsi="仿宋_GB2312" w:eastAsia="仿宋_GB2312"/>
          <w:b w:val="0"/>
          <w:sz w:val="32"/>
        </w:rPr>
        <w:t>占本年支出合计的79.36%。</w:t>
      </w:r>
      <w:r>
        <w:rPr>
          <w:rFonts w:ascii="仿宋_GB2312" w:hAnsi="仿宋_GB2312" w:eastAsia="仿宋_GB2312"/>
          <w:b/>
          <w:sz w:val="32"/>
        </w:rPr>
        <w:t>与上年相比，</w:t>
      </w:r>
      <w:r>
        <w:rPr>
          <w:rFonts w:ascii="仿宋_GB2312" w:hAnsi="仿宋_GB2312" w:eastAsia="仿宋_GB2312"/>
          <w:b w:val="0"/>
          <w:sz w:val="32"/>
        </w:rPr>
        <w:t>增加163.05万元，增长17.35%，主要原因是：本年在职人员工资调薪，工资、社保、公积金等相关人员经费增加，本年基本公共卫生项目资金，基本药物补助资金，自治区公共卫生地方性补助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652.19万元，决算数1,103.06万元，预决算差异率69.13%，主要原因是：年中追加人员工资、社保、公积金基数调增部分资金，年中追加2024年中央基本药物制度补助资金、2024年基本公共卫生服务补助资金、导致预决算产生差异。</w:t>
      </w:r>
    </w:p>
    <w:p w14:paraId="35946939">
      <w:pPr>
        <w:spacing w:line="640" w:lineRule="exact"/>
        <w:ind w:firstLine="640"/>
        <w:jc w:val="both"/>
        <w:outlineLvl w:val="3"/>
      </w:pPr>
      <w:r>
        <w:rPr>
          <w:rFonts w:ascii="楷体_GB2312" w:hAnsi="楷体_GB2312" w:eastAsia="楷体_GB2312"/>
          <w:b/>
          <w:sz w:val="32"/>
        </w:rPr>
        <w:t>（二）一般公共预算财政拨款支出决算结构情况</w:t>
      </w:r>
    </w:p>
    <w:p w14:paraId="1B46372E">
      <w:pPr>
        <w:spacing w:line="580" w:lineRule="exact"/>
        <w:ind w:firstLine="640"/>
        <w:jc w:val="both"/>
      </w:pPr>
      <w:r>
        <w:rPr>
          <w:rFonts w:ascii="仿宋_GB2312" w:hAnsi="仿宋_GB2312" w:eastAsia="仿宋_GB2312"/>
          <w:b w:val="0"/>
          <w:sz w:val="32"/>
        </w:rPr>
        <w:t>1.社会保障和就业支出(类)72.07万元,占6.53%。</w:t>
      </w:r>
    </w:p>
    <w:p w14:paraId="0F7BD352">
      <w:pPr>
        <w:spacing w:line="580" w:lineRule="exact"/>
        <w:ind w:firstLine="640"/>
        <w:jc w:val="both"/>
      </w:pPr>
      <w:r>
        <w:rPr>
          <w:rFonts w:ascii="仿宋_GB2312" w:hAnsi="仿宋_GB2312" w:eastAsia="仿宋_GB2312"/>
          <w:b w:val="0"/>
          <w:sz w:val="32"/>
        </w:rPr>
        <w:t>2.卫生健康支出(类)980.08万元,占88.85%。</w:t>
      </w:r>
    </w:p>
    <w:p w14:paraId="7961520F">
      <w:pPr>
        <w:spacing w:line="580" w:lineRule="exact"/>
        <w:ind w:firstLine="640"/>
        <w:jc w:val="both"/>
      </w:pPr>
      <w:r>
        <w:rPr>
          <w:rFonts w:ascii="仿宋_GB2312" w:hAnsi="仿宋_GB2312" w:eastAsia="仿宋_GB2312"/>
          <w:b w:val="0"/>
          <w:sz w:val="32"/>
        </w:rPr>
        <w:t>3.住房保障支出(类)50.90万元,占4.61%。</w:t>
      </w:r>
    </w:p>
    <w:p w14:paraId="1B0A2067">
      <w:pPr>
        <w:spacing w:line="640" w:lineRule="exact"/>
        <w:ind w:firstLine="640"/>
        <w:jc w:val="both"/>
        <w:outlineLvl w:val="3"/>
      </w:pPr>
      <w:r>
        <w:rPr>
          <w:rFonts w:ascii="楷体_GB2312" w:hAnsi="楷体_GB2312" w:eastAsia="楷体_GB2312"/>
          <w:b/>
          <w:sz w:val="32"/>
        </w:rPr>
        <w:t>（三）一般公共预算财政拨款支出决算具体情况</w:t>
      </w:r>
    </w:p>
    <w:p w14:paraId="0587ED8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1.社会保障和就业支出(类)行政事业单位养老支出(款)事业单位离退休(项):支出决算数为8.47万元，比上年决算增加2.46万元，增长40.93%,主要原因是：本年补发退休人员绩效，导致退休费较上年增加。</w:t>
      </w:r>
    </w:p>
    <w:p w14:paraId="2302726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63.60万元，比上年决算增加11.59万元，增长22.28%,主要原因是：本年在职人员工资基数调增，养老缴费基数上涨，相应支出增加。</w:t>
      </w:r>
    </w:p>
    <w:p w14:paraId="1C78E78A">
      <w:pPr>
        <w:spacing w:line="580" w:lineRule="exact"/>
        <w:ind w:firstLine="640"/>
        <w:jc w:val="both"/>
      </w:pPr>
      <w:r>
        <w:rPr>
          <w:rFonts w:ascii="仿宋_GB2312" w:hAnsi="仿宋_GB2312" w:eastAsia="仿宋_GB2312"/>
          <w:b w:val="0"/>
          <w:sz w:val="32"/>
        </w:rPr>
        <w:t>3.卫生健康支出(类)基层医疗卫生机构(款)乡镇卫生院(项):支出决算数为511.85万元，比上年决算增加59.95万元，增长13.27%,主要原因是：本年在职人员工资调薪，相关人员经费增加。</w:t>
      </w:r>
    </w:p>
    <w:p w14:paraId="26EE96F3">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4.卫生健康支出(类)基层医疗卫生机构(款)其他基层医疗卫生机构支出(项):支出决算数为33.40万元，比上年决算增加4.32万元，增长14.86%,主要原因是：本年基本药物补助资金较上年增</w:t>
      </w:r>
      <w:r>
        <w:rPr>
          <w:rFonts w:hint="eastAsia" w:ascii="仿宋_GB2312" w:hAnsi="仿宋_GB2312" w:eastAsia="仿宋_GB2312"/>
          <w:b w:val="0"/>
          <w:sz w:val="32"/>
          <w:lang w:val="en-US" w:eastAsia="zh-CN"/>
        </w:rPr>
        <w:t>加</w:t>
      </w:r>
      <w:r>
        <w:rPr>
          <w:rFonts w:ascii="仿宋_GB2312" w:hAnsi="仿宋_GB2312" w:eastAsia="仿宋_GB2312"/>
          <w:b w:val="0"/>
          <w:sz w:val="32"/>
        </w:rPr>
        <w:t>。</w:t>
      </w:r>
    </w:p>
    <w:p w14:paraId="76E5BA62">
      <w:pPr>
        <w:spacing w:line="580" w:lineRule="exact"/>
        <w:ind w:firstLine="640"/>
        <w:jc w:val="both"/>
      </w:pPr>
      <w:r>
        <w:rPr>
          <w:rFonts w:ascii="仿宋_GB2312" w:hAnsi="仿宋_GB2312" w:eastAsia="仿宋_GB2312"/>
          <w:b w:val="0"/>
          <w:sz w:val="32"/>
        </w:rPr>
        <w:t>5.卫生健康支出(类)公共卫生(款)基本公共卫生服务(项):支出决算数为214.43万元，比上年决算增加5.72万元，增长2.74%,主要原因是：本年2024年基本公共卫生服务补助资金支出较上年增加。</w:t>
      </w:r>
    </w:p>
    <w:p w14:paraId="23F4818A">
      <w:pPr>
        <w:spacing w:line="580" w:lineRule="exact"/>
        <w:ind w:firstLine="640"/>
        <w:jc w:val="both"/>
      </w:pPr>
      <w:r>
        <w:rPr>
          <w:rFonts w:ascii="仿宋_GB2312" w:hAnsi="仿宋_GB2312" w:eastAsia="仿宋_GB2312"/>
          <w:b w:val="0"/>
          <w:sz w:val="32"/>
        </w:rPr>
        <w:t>6.卫生健康支出(类)公共卫生(款)其他公共卫生支出(项):支出决算数为193.38万元，比上年决算增加68.47万元，增长54.82%,主要原因是：本年自治区公共卫生地方性补助资金支出较上年增加。</w:t>
      </w:r>
    </w:p>
    <w:p w14:paraId="7E8E7048">
      <w:pPr>
        <w:spacing w:line="580" w:lineRule="exact"/>
        <w:ind w:firstLine="640"/>
        <w:jc w:val="both"/>
      </w:pPr>
      <w:r>
        <w:rPr>
          <w:rFonts w:ascii="仿宋_GB2312" w:hAnsi="仿宋_GB2312" w:eastAsia="仿宋_GB2312"/>
          <w:b w:val="0"/>
          <w:sz w:val="32"/>
        </w:rPr>
        <w:t>7.卫生健康支出(类)行政事业单位医疗(款)事业单位医疗(项):支出决算数为27.03万元，比上年决算增加2.81万元，增长11.60%,主要原因是：本年在职人员工资基数调增，医疗缴费基数上涨，相应支出增加。</w:t>
      </w:r>
    </w:p>
    <w:p w14:paraId="50C228EF">
      <w:pPr>
        <w:spacing w:line="580" w:lineRule="exact"/>
        <w:ind w:firstLine="640"/>
        <w:jc w:val="both"/>
      </w:pPr>
      <w:r>
        <w:rPr>
          <w:rFonts w:ascii="仿宋_GB2312" w:hAnsi="仿宋_GB2312" w:eastAsia="仿宋_GB2312"/>
          <w:b w:val="0"/>
          <w:sz w:val="32"/>
        </w:rPr>
        <w:t>8.住房保障支出(类)住房改革支出(款)住房公积金(项):支出决算数为50.90万元，比上年决算增加7.73万元，增长17.91%,主要原因是：本年在职人员工资基数调增，公积金缴费基数上涨，相应支出增加。</w:t>
      </w:r>
    </w:p>
    <w:p w14:paraId="175FAEE1">
      <w:pPr>
        <w:spacing w:line="640" w:lineRule="exact"/>
        <w:ind w:firstLine="640"/>
        <w:jc w:val="both"/>
        <w:outlineLvl w:val="2"/>
      </w:pPr>
      <w:r>
        <w:rPr>
          <w:rFonts w:ascii="黑体" w:hAnsi="黑体" w:eastAsia="黑体"/>
          <w:sz w:val="32"/>
        </w:rPr>
        <w:t>六、一般公共预算财政拨款基本支出决算情况说明</w:t>
      </w:r>
    </w:p>
    <w:p w14:paraId="0BE68B47">
      <w:pPr>
        <w:spacing w:line="580" w:lineRule="exact"/>
        <w:ind w:firstLine="640"/>
        <w:jc w:val="both"/>
      </w:pPr>
      <w:r>
        <w:rPr>
          <w:rFonts w:ascii="仿宋_GB2312" w:hAnsi="仿宋_GB2312" w:eastAsia="仿宋_GB2312"/>
          <w:b w:val="0"/>
          <w:sz w:val="32"/>
        </w:rPr>
        <w:t>2024年度一般公共预算财政拨款基本支出661.85万元，其中：</w:t>
      </w:r>
      <w:r>
        <w:rPr>
          <w:rFonts w:ascii="仿宋_GB2312" w:hAnsi="仿宋_GB2312" w:eastAsia="仿宋_GB2312"/>
          <w:b/>
          <w:sz w:val="32"/>
        </w:rPr>
        <w:t>人员经费661.85万元，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DBDE83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EECBE61">
      <w:pPr>
        <w:spacing w:line="640" w:lineRule="exact"/>
        <w:ind w:firstLine="640"/>
        <w:jc w:val="both"/>
        <w:outlineLvl w:val="2"/>
      </w:pPr>
      <w:r>
        <w:rPr>
          <w:rFonts w:ascii="黑体" w:hAnsi="黑体" w:eastAsia="黑体"/>
          <w:sz w:val="32"/>
        </w:rPr>
        <w:t>七、政府性基金预算财政拨款收入支出决算情况说明</w:t>
      </w:r>
    </w:p>
    <w:p w14:paraId="590EFC78">
      <w:pPr>
        <w:spacing w:line="580" w:lineRule="exact"/>
        <w:ind w:firstLine="640"/>
        <w:jc w:val="both"/>
      </w:pPr>
      <w:r>
        <w:rPr>
          <w:rFonts w:ascii="仿宋_GB2312" w:hAnsi="仿宋_GB2312" w:eastAsia="仿宋_GB2312"/>
          <w:b/>
          <w:sz w:val="32"/>
        </w:rPr>
        <w:t>2024年度政府性基金预算财政拨款收入总计1.10万元，</w:t>
      </w:r>
      <w:r>
        <w:rPr>
          <w:rFonts w:ascii="仿宋_GB2312" w:hAnsi="仿宋_GB2312" w:eastAsia="仿宋_GB2312"/>
          <w:b w:val="0"/>
          <w:sz w:val="32"/>
        </w:rPr>
        <w:t>其中：年初结转和结余0.00万元，本年收入1.10万元。</w:t>
      </w:r>
      <w:r>
        <w:rPr>
          <w:rFonts w:ascii="仿宋_GB2312" w:hAnsi="仿宋_GB2312" w:eastAsia="仿宋_GB2312"/>
          <w:b/>
          <w:sz w:val="32"/>
        </w:rPr>
        <w:t>政府性基金预算财政拨款支出总计1.10万元，</w:t>
      </w:r>
      <w:r>
        <w:rPr>
          <w:rFonts w:ascii="仿宋_GB2312" w:hAnsi="仿宋_GB2312" w:eastAsia="仿宋_GB2312"/>
          <w:b w:val="0"/>
          <w:sz w:val="32"/>
        </w:rPr>
        <w:t>其中：年末结转和结余0.00万元，本年支出1.10万元。</w:t>
      </w:r>
    </w:p>
    <w:p w14:paraId="036BD7D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增加1.10万元，增长100.00%，主要原因是：本年增加彩票公益金地方社会公益事业发展资金，导致经费较上年增加。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年初预算数0.00万元，决算数1.10万元，预决算差异率100.00%，主要原因是：年中追加彩票公益金地方社会公益事业发展资金，导致预决算存在差异。</w:t>
      </w:r>
    </w:p>
    <w:p w14:paraId="40B7366C">
      <w:pPr>
        <w:spacing w:line="580" w:lineRule="exact"/>
        <w:ind w:firstLine="640"/>
        <w:jc w:val="both"/>
      </w:pPr>
      <w:r>
        <w:rPr>
          <w:rFonts w:ascii="仿宋_GB2312" w:hAnsi="仿宋_GB2312" w:eastAsia="仿宋_GB2312"/>
          <w:b w:val="0"/>
          <w:sz w:val="32"/>
        </w:rPr>
        <w:t>政府性基金预算财政拨款支出1.10万元。</w:t>
      </w:r>
    </w:p>
    <w:p w14:paraId="029909C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1.10万元，比上年决算增加1.10万元，增长100.00%,主要原因是：本年增加彩票公益金地方社会公益事业发展资金，导致经费较上年增加。</w:t>
      </w:r>
    </w:p>
    <w:p w14:paraId="1A608C30">
      <w:pPr>
        <w:spacing w:line="640" w:lineRule="exact"/>
        <w:ind w:firstLine="640"/>
        <w:jc w:val="both"/>
        <w:outlineLvl w:val="2"/>
      </w:pPr>
      <w:r>
        <w:rPr>
          <w:rFonts w:ascii="黑体" w:hAnsi="黑体" w:eastAsia="黑体"/>
          <w:sz w:val="32"/>
        </w:rPr>
        <w:t>八、国有资本经营预算财政拨款收入支出决算情况说明</w:t>
      </w:r>
    </w:p>
    <w:p w14:paraId="12AD4EC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8274197">
      <w:pPr>
        <w:spacing w:line="640" w:lineRule="exact"/>
        <w:ind w:firstLine="640"/>
        <w:jc w:val="both"/>
        <w:outlineLvl w:val="2"/>
      </w:pPr>
      <w:r>
        <w:rPr>
          <w:rFonts w:ascii="黑体" w:hAnsi="黑体" w:eastAsia="黑体"/>
          <w:sz w:val="32"/>
        </w:rPr>
        <w:t>九、财政拨款“三公”经费支出决算情况说明</w:t>
      </w:r>
    </w:p>
    <w:p w14:paraId="00E38C1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2D81F77">
      <w:pPr>
        <w:spacing w:line="580" w:lineRule="exact"/>
        <w:ind w:firstLine="640"/>
        <w:jc w:val="both"/>
      </w:pPr>
      <w:r>
        <w:rPr>
          <w:rFonts w:ascii="仿宋_GB2312" w:hAnsi="仿宋_GB2312" w:eastAsia="仿宋_GB2312"/>
          <w:b/>
          <w:sz w:val="32"/>
        </w:rPr>
        <w:t>具体情况如下：</w:t>
      </w:r>
    </w:p>
    <w:p w14:paraId="713367B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EA8B5D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事业收入经费保障。</w:t>
      </w:r>
    </w:p>
    <w:p w14:paraId="5BDB22C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6B27D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493C12F">
      <w:pPr>
        <w:spacing w:line="640" w:lineRule="exact"/>
        <w:ind w:firstLine="640"/>
        <w:jc w:val="both"/>
        <w:outlineLvl w:val="2"/>
      </w:pPr>
      <w:r>
        <w:rPr>
          <w:rFonts w:ascii="黑体" w:hAnsi="黑体" w:eastAsia="黑体"/>
          <w:sz w:val="32"/>
        </w:rPr>
        <w:t>十、其他重要事项的情况说明</w:t>
      </w:r>
    </w:p>
    <w:p w14:paraId="2219A15E">
      <w:pPr>
        <w:spacing w:line="640" w:lineRule="exact"/>
        <w:ind w:firstLine="640"/>
        <w:jc w:val="both"/>
        <w:outlineLvl w:val="3"/>
      </w:pPr>
      <w:r>
        <w:rPr>
          <w:rFonts w:ascii="楷体_GB2312" w:hAnsi="楷体_GB2312" w:eastAsia="楷体_GB2312"/>
          <w:b/>
          <w:sz w:val="32"/>
        </w:rPr>
        <w:t>（一）机关运行经费及公用经费支出情况</w:t>
      </w:r>
    </w:p>
    <w:p w14:paraId="424FC0A8">
      <w:pPr>
        <w:spacing w:line="580" w:lineRule="exact"/>
        <w:ind w:firstLine="640"/>
        <w:jc w:val="both"/>
      </w:pPr>
      <w:r>
        <w:rPr>
          <w:rFonts w:ascii="仿宋_GB2312" w:hAnsi="仿宋_GB2312" w:eastAsia="仿宋_GB2312"/>
          <w:b w:val="0"/>
          <w:sz w:val="32"/>
        </w:rPr>
        <w:t>2024年度疏附县石园镇卫生院（事业单位）公用经费支出0.00万元，比上年增加0.00万元，增长0.00%，主要原因是：2023年与2024年均未安排公用经费支出。</w:t>
      </w:r>
    </w:p>
    <w:p w14:paraId="6E0C07D5">
      <w:pPr>
        <w:spacing w:line="640" w:lineRule="exact"/>
        <w:ind w:firstLine="640"/>
        <w:jc w:val="both"/>
        <w:outlineLvl w:val="3"/>
      </w:pPr>
      <w:r>
        <w:rPr>
          <w:rFonts w:ascii="楷体_GB2312" w:hAnsi="楷体_GB2312" w:eastAsia="楷体_GB2312"/>
          <w:b/>
          <w:sz w:val="32"/>
        </w:rPr>
        <w:t>（二）政府采购情况</w:t>
      </w:r>
    </w:p>
    <w:p w14:paraId="4A5BB8BF">
      <w:pPr>
        <w:spacing w:line="580" w:lineRule="exact"/>
        <w:ind w:firstLine="640"/>
        <w:jc w:val="both"/>
      </w:pPr>
      <w:r>
        <w:rPr>
          <w:rFonts w:ascii="仿宋_GB2312" w:hAnsi="仿宋_GB2312" w:eastAsia="仿宋_GB2312"/>
          <w:b w:val="0"/>
          <w:sz w:val="32"/>
        </w:rPr>
        <w:t>2024年度政府采购支出总额0.75万元，其中：政府采购货物支出0.75万元、政府采购工程支出0.00万元、政府采购服务支出0.00万元。</w:t>
      </w:r>
    </w:p>
    <w:p w14:paraId="5F7A811F">
      <w:pPr>
        <w:spacing w:line="580" w:lineRule="exact"/>
        <w:ind w:firstLine="640"/>
        <w:jc w:val="both"/>
      </w:pPr>
      <w:r>
        <w:rPr>
          <w:rFonts w:ascii="仿宋_GB2312" w:hAnsi="仿宋_GB2312" w:eastAsia="仿宋_GB2312"/>
          <w:b w:val="0"/>
          <w:sz w:val="32"/>
        </w:rPr>
        <w:t>授予中小企业合同金额0.75万元，占政府采购支出总额的100.00%，其中：授予小微企业合同金额0.75万元，占政府采购支出总额的100.00%。</w:t>
      </w:r>
    </w:p>
    <w:p w14:paraId="1FD97D8E">
      <w:pPr>
        <w:spacing w:line="640" w:lineRule="exact"/>
        <w:ind w:firstLine="640"/>
        <w:jc w:val="both"/>
        <w:outlineLvl w:val="3"/>
      </w:pPr>
      <w:r>
        <w:rPr>
          <w:rFonts w:ascii="楷体_GB2312" w:hAnsi="楷体_GB2312" w:eastAsia="楷体_GB2312"/>
          <w:b/>
          <w:sz w:val="32"/>
        </w:rPr>
        <w:t>（三）国有资产占用情况说明</w:t>
      </w:r>
    </w:p>
    <w:p w14:paraId="0ABB0CDB">
      <w:pPr>
        <w:spacing w:line="580" w:lineRule="exact"/>
        <w:ind w:firstLine="640"/>
        <w:jc w:val="both"/>
      </w:pPr>
      <w:r>
        <w:rPr>
          <w:rFonts w:ascii="仿宋_GB2312" w:hAnsi="仿宋_GB2312" w:eastAsia="仿宋_GB2312"/>
          <w:b w:val="0"/>
          <w:sz w:val="32"/>
        </w:rPr>
        <w:t>截至2024年12月31日，房屋3,631.20平方米，价值409.97万元。车辆1辆，价值7.00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1709F34C">
      <w:pPr>
        <w:spacing w:line="640" w:lineRule="exact"/>
        <w:ind w:firstLine="640"/>
        <w:jc w:val="both"/>
        <w:outlineLvl w:val="2"/>
      </w:pPr>
      <w:r>
        <w:rPr>
          <w:rFonts w:ascii="黑体" w:hAnsi="黑体" w:eastAsia="黑体"/>
          <w:sz w:val="32"/>
        </w:rPr>
        <w:t>十一、预算绩效的情况说明</w:t>
      </w:r>
    </w:p>
    <w:p w14:paraId="2667CE6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397E20BA">
      <w:r>
        <w:br w:type="page"/>
      </w:r>
    </w:p>
    <w:p w14:paraId="78CE1179">
      <w:pPr>
        <w:spacing w:line="640" w:lineRule="exact"/>
        <w:ind w:firstLine="640"/>
        <w:jc w:val="both"/>
        <w:outlineLvl w:val="2"/>
      </w:pPr>
      <w:r>
        <w:rPr>
          <w:rFonts w:ascii="黑体" w:hAnsi="黑体" w:eastAsia="黑体"/>
          <w:sz w:val="32"/>
        </w:rPr>
        <w:t>十二、其他需说明的事项</w:t>
      </w:r>
    </w:p>
    <w:p w14:paraId="1624BEDA">
      <w:pPr>
        <w:spacing w:line="580" w:lineRule="exact"/>
        <w:ind w:firstLine="640"/>
        <w:jc w:val="both"/>
      </w:pPr>
      <w:r>
        <w:rPr>
          <w:rFonts w:ascii="仿宋_GB2312" w:hAnsi="仿宋_GB2312" w:eastAsia="仿宋_GB2312"/>
          <w:b w:val="0"/>
          <w:sz w:val="32"/>
        </w:rPr>
        <w:t>本年度本单位整体绩效自评表由人民医院编报并公开。</w:t>
      </w:r>
    </w:p>
    <w:p w14:paraId="0205FA7D">
      <w:r>
        <w:br w:type="page"/>
      </w:r>
    </w:p>
    <w:p w14:paraId="0A39CDCF">
      <w:pPr>
        <w:spacing w:line="240" w:lineRule="auto"/>
        <w:jc w:val="center"/>
        <w:outlineLvl w:val="1"/>
      </w:pPr>
      <w:r>
        <w:rPr>
          <w:rFonts w:ascii="黑体" w:hAnsi="黑体" w:eastAsia="黑体"/>
          <w:sz w:val="32"/>
        </w:rPr>
        <w:t>第三部分 专业名词解释</w:t>
      </w:r>
    </w:p>
    <w:p w14:paraId="0C22D17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CF941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4D75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48311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E78A6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7608C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687A2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08DE0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A9F3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94723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342F2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B422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D6D3C1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68A21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5E4AAB8">
      <w:r>
        <w:br w:type="page"/>
      </w:r>
    </w:p>
    <w:p w14:paraId="61B8D75F">
      <w:pPr>
        <w:spacing w:line="240" w:lineRule="auto"/>
        <w:jc w:val="center"/>
        <w:outlineLvl w:val="1"/>
      </w:pPr>
      <w:r>
        <w:rPr>
          <w:rFonts w:ascii="黑体" w:hAnsi="黑体" w:eastAsia="黑体"/>
          <w:sz w:val="32"/>
        </w:rPr>
        <w:t>第四部分 部门决算报表（见附表）</w:t>
      </w:r>
    </w:p>
    <w:p w14:paraId="2C14F126">
      <w:pPr>
        <w:spacing w:line="240" w:lineRule="auto"/>
        <w:ind w:firstLine="640"/>
        <w:jc w:val="both"/>
      </w:pPr>
      <w:r>
        <w:rPr>
          <w:rFonts w:ascii="仿宋_GB2312" w:hAnsi="仿宋_GB2312" w:eastAsia="仿宋_GB2312"/>
          <w:b w:val="0"/>
          <w:sz w:val="32"/>
        </w:rPr>
        <w:t>一、《收入支出决算总表》</w:t>
      </w:r>
    </w:p>
    <w:p w14:paraId="7A1E8208">
      <w:pPr>
        <w:spacing w:line="240" w:lineRule="auto"/>
        <w:ind w:firstLine="640"/>
        <w:jc w:val="both"/>
      </w:pPr>
      <w:r>
        <w:rPr>
          <w:rFonts w:ascii="仿宋_GB2312" w:hAnsi="仿宋_GB2312" w:eastAsia="仿宋_GB2312"/>
          <w:b w:val="0"/>
          <w:sz w:val="32"/>
        </w:rPr>
        <w:t>二、《收入决算表》</w:t>
      </w:r>
    </w:p>
    <w:p w14:paraId="0F5F06EF">
      <w:pPr>
        <w:spacing w:line="240" w:lineRule="auto"/>
        <w:ind w:firstLine="640"/>
        <w:jc w:val="both"/>
      </w:pPr>
      <w:r>
        <w:rPr>
          <w:rFonts w:ascii="仿宋_GB2312" w:hAnsi="仿宋_GB2312" w:eastAsia="仿宋_GB2312"/>
          <w:b w:val="0"/>
          <w:sz w:val="32"/>
        </w:rPr>
        <w:t>三、《支出决算表》</w:t>
      </w:r>
    </w:p>
    <w:p w14:paraId="65AF6B08">
      <w:pPr>
        <w:spacing w:line="240" w:lineRule="auto"/>
        <w:ind w:firstLine="640"/>
        <w:jc w:val="both"/>
      </w:pPr>
      <w:r>
        <w:rPr>
          <w:rFonts w:ascii="仿宋_GB2312" w:hAnsi="仿宋_GB2312" w:eastAsia="仿宋_GB2312"/>
          <w:b w:val="0"/>
          <w:sz w:val="32"/>
        </w:rPr>
        <w:t>四、《财政拨款收入支出决算总表》</w:t>
      </w:r>
    </w:p>
    <w:p w14:paraId="4F12231C">
      <w:pPr>
        <w:spacing w:line="240" w:lineRule="auto"/>
        <w:ind w:firstLine="640"/>
        <w:jc w:val="both"/>
      </w:pPr>
      <w:r>
        <w:rPr>
          <w:rFonts w:ascii="仿宋_GB2312" w:hAnsi="仿宋_GB2312" w:eastAsia="仿宋_GB2312"/>
          <w:b w:val="0"/>
          <w:sz w:val="32"/>
        </w:rPr>
        <w:t>五、《一般公共预算财政拨款支出决算表》</w:t>
      </w:r>
    </w:p>
    <w:p w14:paraId="0FC6A494">
      <w:pPr>
        <w:spacing w:line="240" w:lineRule="auto"/>
        <w:ind w:firstLine="640"/>
        <w:jc w:val="both"/>
      </w:pPr>
      <w:r>
        <w:rPr>
          <w:rFonts w:ascii="仿宋_GB2312" w:hAnsi="仿宋_GB2312" w:eastAsia="仿宋_GB2312"/>
          <w:b w:val="0"/>
          <w:sz w:val="32"/>
        </w:rPr>
        <w:t>六、《一般公共预算财政拨款基本支出决算表》</w:t>
      </w:r>
    </w:p>
    <w:p w14:paraId="6D19898C">
      <w:pPr>
        <w:spacing w:line="240" w:lineRule="auto"/>
        <w:ind w:firstLine="640"/>
        <w:jc w:val="both"/>
      </w:pPr>
      <w:r>
        <w:rPr>
          <w:rFonts w:ascii="仿宋_GB2312" w:hAnsi="仿宋_GB2312" w:eastAsia="仿宋_GB2312"/>
          <w:b w:val="0"/>
          <w:sz w:val="32"/>
        </w:rPr>
        <w:t>七、《政府性基金预算财政拨款收入支出决算表》</w:t>
      </w:r>
    </w:p>
    <w:p w14:paraId="66172178">
      <w:pPr>
        <w:spacing w:line="240" w:lineRule="auto"/>
        <w:ind w:firstLine="640"/>
        <w:jc w:val="both"/>
      </w:pPr>
      <w:r>
        <w:rPr>
          <w:rFonts w:ascii="仿宋_GB2312" w:hAnsi="仿宋_GB2312" w:eastAsia="仿宋_GB2312"/>
          <w:b w:val="0"/>
          <w:sz w:val="32"/>
        </w:rPr>
        <w:t>八、《国有资本经营预算财政拨款收入支出决算表》</w:t>
      </w:r>
    </w:p>
    <w:p w14:paraId="74E6BBFD">
      <w:pPr>
        <w:spacing w:line="240" w:lineRule="auto"/>
        <w:ind w:firstLine="640"/>
        <w:jc w:val="both"/>
      </w:pPr>
      <w:r>
        <w:rPr>
          <w:rFonts w:ascii="仿宋_GB2312" w:hAnsi="仿宋_GB2312" w:eastAsia="仿宋_GB2312"/>
          <w:b w:val="0"/>
          <w:sz w:val="32"/>
        </w:rPr>
        <w:t>九、《财政拨款“三公”经费支出决算表》</w:t>
      </w:r>
    </w:p>
    <w:p w14:paraId="60FB3833">
      <w:pPr>
        <w:spacing w:line="240" w:lineRule="auto"/>
        <w:ind w:firstLine="640"/>
        <w:jc w:val="both"/>
      </w:pPr>
    </w:p>
    <w:p w14:paraId="570129A1">
      <w:pPr>
        <w:spacing w:line="240" w:lineRule="auto"/>
        <w:ind w:firstLine="640"/>
        <w:jc w:val="both"/>
      </w:pPr>
    </w:p>
    <w:p w14:paraId="55476E09">
      <w:pPr>
        <w:spacing w:line="240" w:lineRule="auto"/>
        <w:ind w:firstLine="640"/>
        <w:jc w:val="both"/>
      </w:pPr>
    </w:p>
    <w:p w14:paraId="23412698">
      <w:pPr>
        <w:spacing w:line="240" w:lineRule="auto"/>
        <w:ind w:firstLine="640"/>
        <w:jc w:val="both"/>
      </w:pPr>
    </w:p>
    <w:p w14:paraId="01EA8E5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B73F5E"/>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1E1DDE"/>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5507</Words>
  <Characters>6253</Characters>
  <Lines>0</Lines>
  <Paragraphs>0</Paragraphs>
  <TotalTime>3</TotalTime>
  <ScaleCrop>false</ScaleCrop>
  <LinksUpToDate>false</LinksUpToDate>
  <CharactersWithSpaces>6263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