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中共疏附县委员会机构编制委员会办公室2024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2DBCFEA">
      <w:r>
        <w:br w:type="page"/>
      </w:r>
    </w:p>
    <w:p w14:paraId="6EEC8705">
      <w:pPr>
        <w:spacing w:line="640" w:lineRule="exact"/>
        <w:jc w:val="center"/>
        <w:outlineLvl w:val="1"/>
      </w:pPr>
      <w:r>
        <w:rPr>
          <w:rFonts w:ascii="黑体" w:hAnsi="黑体" w:eastAsia="黑体"/>
          <w:sz w:val="32"/>
        </w:rPr>
        <w:t>第一部分 单位概况</w:t>
      </w:r>
    </w:p>
    <w:p w14:paraId="2F7692EE">
      <w:pPr>
        <w:spacing w:line="640" w:lineRule="exact"/>
        <w:ind w:firstLine="640"/>
        <w:jc w:val="both"/>
        <w:outlineLvl w:val="2"/>
      </w:pPr>
      <w:r>
        <w:rPr>
          <w:rFonts w:ascii="黑体" w:hAnsi="黑体" w:eastAsia="黑体"/>
          <w:sz w:val="32"/>
        </w:rPr>
        <w:t>一、主要职能</w:t>
      </w:r>
    </w:p>
    <w:p w14:paraId="7574A2EF">
      <w:pPr>
        <w:spacing w:line="580" w:lineRule="exact"/>
        <w:ind w:firstLine="640"/>
        <w:jc w:val="both"/>
      </w:pPr>
      <w:r>
        <w:rPr>
          <w:rFonts w:ascii="仿宋_GB2312" w:hAnsi="仿宋_GB2312" w:eastAsia="仿宋_GB2312"/>
          <w:sz w:val="32"/>
        </w:rPr>
        <w:t>1.贯彻落实上级关于行政管理体制改革、机构改革和机构编制管理的方针、政策、法规。研究拟订全县行政管理体制改革、机构改革和机构编制管理的意见，并组织实施。</w:t>
      </w:r>
    </w:p>
    <w:p w14:paraId="1F5BBB14">
      <w:pPr>
        <w:spacing w:line="580" w:lineRule="exact"/>
        <w:ind w:firstLine="640"/>
        <w:jc w:val="both"/>
      </w:pPr>
      <w:r>
        <w:rPr>
          <w:rFonts w:ascii="仿宋_GB2312" w:hAnsi="仿宋_GB2312" w:eastAsia="仿宋_GB2312"/>
          <w:sz w:val="32"/>
        </w:rPr>
        <w:t>2.统一负责全县各级党政机关，人大、政协，各社会团体机关及事业单位的机构编制管理工作。</w:t>
      </w:r>
    </w:p>
    <w:p w14:paraId="7660CFAB">
      <w:pPr>
        <w:spacing w:line="580" w:lineRule="exact"/>
        <w:ind w:firstLine="640"/>
        <w:jc w:val="both"/>
      </w:pPr>
      <w:r>
        <w:rPr>
          <w:rFonts w:ascii="仿宋_GB2312" w:hAnsi="仿宋_GB2312" w:eastAsia="仿宋_GB2312"/>
          <w:sz w:val="32"/>
        </w:rPr>
        <w:t>3.研究拟订全县行政体制与机构改革的总体方案，并组织实施。审核全县党政机关，人大、政协、各社会团体机关的机构改革规定；研究拟订县、乡镇（场）机构改革方案，并组织实施。</w:t>
      </w:r>
    </w:p>
    <w:p w14:paraId="4F2B1FBB">
      <w:pPr>
        <w:spacing w:line="580" w:lineRule="exact"/>
        <w:ind w:firstLine="640"/>
        <w:jc w:val="both"/>
      </w:pPr>
      <w:r>
        <w:rPr>
          <w:rFonts w:ascii="仿宋_GB2312" w:hAnsi="仿宋_GB2312" w:eastAsia="仿宋_GB2312"/>
          <w:sz w:val="32"/>
        </w:rPr>
        <w:t>4.负责全县党政机关，人大、政协，各社会团体机关机构设置、职能配置和人员编制。</w:t>
      </w:r>
    </w:p>
    <w:p w14:paraId="237AEFEA">
      <w:pPr>
        <w:spacing w:line="580" w:lineRule="exact"/>
        <w:ind w:firstLine="640"/>
        <w:jc w:val="both"/>
      </w:pPr>
      <w:r>
        <w:rPr>
          <w:rFonts w:ascii="仿宋_GB2312" w:hAnsi="仿宋_GB2312" w:eastAsia="仿宋_GB2312"/>
          <w:sz w:val="32"/>
        </w:rPr>
        <w:t>5.研究拟订全县事业单位分类改革方案和事业单位机构编制管理的政策、规定；审核全县事业单位机构设置、职责任务和人员编制。</w:t>
      </w:r>
    </w:p>
    <w:p w14:paraId="2BD06CC7">
      <w:pPr>
        <w:spacing w:line="580" w:lineRule="exact"/>
        <w:ind w:firstLine="640"/>
        <w:jc w:val="both"/>
      </w:pPr>
      <w:r>
        <w:rPr>
          <w:rFonts w:ascii="仿宋_GB2312" w:hAnsi="仿宋_GB2312" w:eastAsia="仿宋_GB2312"/>
          <w:sz w:val="32"/>
        </w:rPr>
        <w:t>6.贯彻落实《事业单位登记管理暂行条例》，依法开展事业单位登记管理和监督检查。</w:t>
      </w:r>
    </w:p>
    <w:p w14:paraId="7E032FF8">
      <w:pPr>
        <w:spacing w:line="580" w:lineRule="exact"/>
        <w:ind w:firstLine="640"/>
        <w:jc w:val="both"/>
      </w:pPr>
      <w:r>
        <w:rPr>
          <w:rFonts w:ascii="仿宋_GB2312" w:hAnsi="仿宋_GB2312" w:eastAsia="仿宋_GB2312"/>
          <w:sz w:val="32"/>
        </w:rPr>
        <w:t>7.负责全县党政机关，人大、政协，各社会团体机关统一社会信用代码的赋码工作，加强《统一社会信用代码证书》使用管理以及相关工作。</w:t>
      </w:r>
    </w:p>
    <w:p w14:paraId="2E447033">
      <w:pPr>
        <w:spacing w:line="580" w:lineRule="exact"/>
        <w:ind w:firstLine="640"/>
        <w:jc w:val="both"/>
      </w:pPr>
      <w:r>
        <w:rPr>
          <w:rFonts w:ascii="仿宋_GB2312" w:hAnsi="仿宋_GB2312" w:eastAsia="仿宋_GB2312"/>
          <w:sz w:val="32"/>
        </w:rPr>
        <w:t>8.完成县委交办的其他任务。</w:t>
      </w:r>
    </w:p>
    <w:p w14:paraId="240BA8AA">
      <w:pPr>
        <w:spacing w:line="640" w:lineRule="exact"/>
        <w:ind w:firstLine="640"/>
        <w:jc w:val="both"/>
        <w:outlineLvl w:val="2"/>
      </w:pPr>
      <w:r>
        <w:rPr>
          <w:rFonts w:ascii="黑体" w:hAnsi="黑体" w:eastAsia="黑体"/>
          <w:sz w:val="32"/>
        </w:rPr>
        <w:t>二、机构设置及人员情况</w:t>
      </w:r>
    </w:p>
    <w:p w14:paraId="3AF9F16D">
      <w:pPr>
        <w:spacing w:line="580" w:lineRule="exact"/>
        <w:ind w:firstLine="640"/>
        <w:jc w:val="both"/>
      </w:pPr>
      <w:r>
        <w:rPr>
          <w:rFonts w:ascii="仿宋_GB2312" w:hAnsi="仿宋_GB2312" w:eastAsia="仿宋_GB2312"/>
          <w:sz w:val="32"/>
        </w:rPr>
        <w:t>中共疏附县委员会机构编制委员会办公室2024年度，实有人数13人，其中：在职人员11人，增加1人；离休人员0人，增加0人；退休人员2人,增加0人。</w:t>
      </w:r>
    </w:p>
    <w:p w14:paraId="2ED97A79">
      <w:pPr>
        <w:spacing w:line="580" w:lineRule="exact"/>
        <w:ind w:firstLine="640"/>
        <w:jc w:val="both"/>
      </w:pPr>
      <w:r>
        <w:rPr>
          <w:rFonts w:ascii="仿宋_GB2312" w:hAnsi="仿宋_GB2312" w:eastAsia="仿宋_GB2312"/>
          <w:sz w:val="32"/>
        </w:rPr>
        <w:t>中共疏附县委员会机构编制委员会办公室无下属预算单位，下设3个科室，分别是：综合股、政策法规股、业务股。</w:t>
      </w:r>
    </w:p>
    <w:p w14:paraId="2C11B2DA">
      <w:r>
        <w:br w:type="page"/>
      </w:r>
    </w:p>
    <w:p w14:paraId="3981C84E">
      <w:pPr>
        <w:spacing w:line="240" w:lineRule="auto"/>
        <w:jc w:val="center"/>
        <w:outlineLvl w:val="1"/>
      </w:pPr>
      <w:r>
        <w:rPr>
          <w:rFonts w:ascii="黑体" w:hAnsi="黑体" w:eastAsia="黑体"/>
          <w:sz w:val="32"/>
        </w:rPr>
        <w:t>第二部分 部门决算情况说明</w:t>
      </w:r>
    </w:p>
    <w:p w14:paraId="7E97AF0C">
      <w:pPr>
        <w:spacing w:line="640" w:lineRule="exact"/>
        <w:ind w:firstLine="640"/>
        <w:jc w:val="both"/>
        <w:outlineLvl w:val="2"/>
      </w:pPr>
      <w:r>
        <w:rPr>
          <w:rFonts w:ascii="黑体" w:hAnsi="黑体" w:eastAsia="黑体"/>
          <w:sz w:val="32"/>
        </w:rPr>
        <w:t>一、收入支出决算总体情况说明</w:t>
      </w:r>
    </w:p>
    <w:p w14:paraId="60C3070C">
      <w:pPr>
        <w:spacing w:line="580" w:lineRule="exact"/>
        <w:ind w:firstLine="640"/>
        <w:jc w:val="both"/>
      </w:pPr>
      <w:r>
        <w:rPr>
          <w:rFonts w:ascii="仿宋_GB2312" w:hAnsi="仿宋_GB2312" w:eastAsia="仿宋_GB2312"/>
          <w:b/>
          <w:sz w:val="32"/>
        </w:rPr>
        <w:t>2024年度收入总计179.34万元，</w:t>
      </w:r>
      <w:r>
        <w:rPr>
          <w:rFonts w:ascii="仿宋_GB2312" w:hAnsi="仿宋_GB2312" w:eastAsia="仿宋_GB2312"/>
          <w:b w:val="0"/>
          <w:sz w:val="32"/>
        </w:rPr>
        <w:t>其中：本年收入合计179.34万元，使用非财政拨款结余（含专用结余）0.00万元，年初结转和结余0.00万元。</w:t>
      </w:r>
    </w:p>
    <w:p w14:paraId="4ECCDE4C">
      <w:pPr>
        <w:spacing w:line="580" w:lineRule="exact"/>
        <w:ind w:firstLine="640"/>
        <w:jc w:val="both"/>
      </w:pPr>
      <w:r>
        <w:rPr>
          <w:rFonts w:ascii="仿宋_GB2312" w:hAnsi="仿宋_GB2312" w:eastAsia="仿宋_GB2312"/>
          <w:b/>
          <w:sz w:val="32"/>
        </w:rPr>
        <w:t>2024年度支出总计179.34万元，</w:t>
      </w:r>
      <w:r>
        <w:rPr>
          <w:rFonts w:ascii="仿宋_GB2312" w:hAnsi="仿宋_GB2312" w:eastAsia="仿宋_GB2312"/>
          <w:b w:val="0"/>
          <w:sz w:val="32"/>
        </w:rPr>
        <w:t>其中：本年支出合计179.34万元，结余分配0.00万元，年末结转和结余0.00万元。</w:t>
      </w:r>
    </w:p>
    <w:p w14:paraId="04C7C9E5">
      <w:pPr>
        <w:spacing w:line="580" w:lineRule="exact"/>
        <w:ind w:firstLine="640"/>
        <w:jc w:val="both"/>
      </w:pPr>
      <w:r>
        <w:rPr>
          <w:rFonts w:ascii="仿宋_GB2312" w:hAnsi="仿宋_GB2312" w:eastAsia="仿宋_GB2312"/>
          <w:b w:val="0"/>
          <w:sz w:val="32"/>
        </w:rPr>
        <w:t>收入支出总体与上年相比，增加37.51万元，增长26.45%，主要原因是：本年在职人员增加，在职人员工资调增、社保、公积金基数调增，人员经费增加。</w:t>
      </w:r>
      <w:r>
        <w:rPr>
          <w:rFonts w:hint="eastAsia" w:ascii="仿宋_GB2312" w:hAnsi="仿宋_GB2312" w:eastAsia="仿宋_GB2312"/>
          <w:b w:val="0"/>
          <w:sz w:val="32"/>
          <w:lang w:val="en-US" w:eastAsia="zh-CN"/>
        </w:rPr>
        <w:t>为民办实事</w:t>
      </w:r>
      <w:r>
        <w:rPr>
          <w:rFonts w:ascii="仿宋_GB2312" w:hAnsi="仿宋_GB2312" w:eastAsia="仿宋_GB2312"/>
          <w:b w:val="0"/>
          <w:sz w:val="32"/>
        </w:rPr>
        <w:t>项目资金较上年增加。</w:t>
      </w:r>
    </w:p>
    <w:p w14:paraId="00BAE18C">
      <w:pPr>
        <w:spacing w:line="640" w:lineRule="exact"/>
        <w:ind w:firstLine="640"/>
        <w:jc w:val="both"/>
        <w:outlineLvl w:val="2"/>
      </w:pPr>
      <w:r>
        <w:rPr>
          <w:rFonts w:ascii="黑体" w:hAnsi="黑体" w:eastAsia="黑体"/>
          <w:sz w:val="32"/>
        </w:rPr>
        <w:t>二、收入决算情况说明</w:t>
      </w:r>
    </w:p>
    <w:p w14:paraId="5347140E">
      <w:pPr>
        <w:spacing w:line="580" w:lineRule="exact"/>
        <w:ind w:firstLine="640"/>
        <w:jc w:val="both"/>
      </w:pPr>
      <w:r>
        <w:rPr>
          <w:rFonts w:ascii="仿宋_GB2312" w:hAnsi="仿宋_GB2312" w:eastAsia="仿宋_GB2312"/>
          <w:b/>
          <w:sz w:val="32"/>
        </w:rPr>
        <w:t>本年收入179.34万元，</w:t>
      </w:r>
      <w:r>
        <w:rPr>
          <w:rFonts w:ascii="仿宋_GB2312" w:hAnsi="仿宋_GB2312" w:eastAsia="仿宋_GB2312"/>
          <w:b w:val="0"/>
          <w:sz w:val="32"/>
        </w:rPr>
        <w:t>其中：财政拨款收入179.34万元，占100.00%；上级补助收入0.00万元，占0.00%；事业收入0.00万元，占0.00%；经营收入0.00万元，占0.00%；附属单位上缴收入0.00万元，占0.00%；其他收入0.00万元，占0.00%。</w:t>
      </w:r>
    </w:p>
    <w:p w14:paraId="1C606E31">
      <w:pPr>
        <w:spacing w:line="640" w:lineRule="exact"/>
        <w:ind w:firstLine="640"/>
        <w:jc w:val="both"/>
        <w:outlineLvl w:val="2"/>
      </w:pPr>
      <w:r>
        <w:rPr>
          <w:rFonts w:ascii="黑体" w:hAnsi="黑体" w:eastAsia="黑体"/>
          <w:sz w:val="32"/>
        </w:rPr>
        <w:t>三、支出决算情况说明</w:t>
      </w:r>
    </w:p>
    <w:p w14:paraId="010EBEBD">
      <w:pPr>
        <w:spacing w:line="580" w:lineRule="exact"/>
        <w:ind w:firstLine="640"/>
        <w:jc w:val="both"/>
      </w:pPr>
      <w:r>
        <w:rPr>
          <w:rFonts w:ascii="仿宋_GB2312" w:hAnsi="仿宋_GB2312" w:eastAsia="仿宋_GB2312"/>
          <w:b/>
          <w:sz w:val="32"/>
        </w:rPr>
        <w:t>本年支出179.34万元，</w:t>
      </w:r>
      <w:r>
        <w:rPr>
          <w:rFonts w:ascii="仿宋_GB2312" w:hAnsi="仿宋_GB2312" w:eastAsia="仿宋_GB2312"/>
          <w:b w:val="0"/>
          <w:sz w:val="32"/>
        </w:rPr>
        <w:t>其中：基本支出169.08万元，占94.28%；项目支出10.26万元，占5.72%；上缴上级支出0.00万元，占0.00%；经营支出0.00万元，占0.00%；对附属单位补助支出0.00万元，占0.00%。</w:t>
      </w:r>
    </w:p>
    <w:p w14:paraId="60A25ED7">
      <w:pPr>
        <w:spacing w:line="640" w:lineRule="exact"/>
        <w:ind w:firstLine="640"/>
        <w:jc w:val="both"/>
        <w:outlineLvl w:val="2"/>
      </w:pPr>
      <w:r>
        <w:rPr>
          <w:rFonts w:ascii="黑体" w:hAnsi="黑体" w:eastAsia="黑体"/>
          <w:sz w:val="32"/>
        </w:rPr>
        <w:t>四、财政拨款收入支出决算总体情况说明</w:t>
      </w:r>
    </w:p>
    <w:p w14:paraId="1EF89761">
      <w:pPr>
        <w:spacing w:line="580" w:lineRule="exact"/>
        <w:ind w:firstLine="640"/>
        <w:jc w:val="both"/>
      </w:pPr>
      <w:r>
        <w:rPr>
          <w:rFonts w:ascii="仿宋_GB2312" w:hAnsi="仿宋_GB2312" w:eastAsia="仿宋_GB2312"/>
          <w:b/>
          <w:sz w:val="32"/>
        </w:rPr>
        <w:t>2024年度财政拨款收入总计179.34万元，</w:t>
      </w:r>
      <w:r>
        <w:rPr>
          <w:rFonts w:ascii="仿宋_GB2312" w:hAnsi="仿宋_GB2312" w:eastAsia="仿宋_GB2312"/>
          <w:b w:val="0"/>
          <w:sz w:val="32"/>
        </w:rPr>
        <w:t>其中：年初财政拨款结转和结余0.00万元，本年财政拨款收入179.34万元。</w:t>
      </w:r>
      <w:r>
        <w:rPr>
          <w:rFonts w:ascii="仿宋_GB2312" w:hAnsi="仿宋_GB2312" w:eastAsia="仿宋_GB2312"/>
          <w:b/>
          <w:sz w:val="32"/>
        </w:rPr>
        <w:t>财政拨款支出总计179.34万元，</w:t>
      </w:r>
      <w:r>
        <w:rPr>
          <w:rFonts w:ascii="仿宋_GB2312" w:hAnsi="仿宋_GB2312" w:eastAsia="仿宋_GB2312"/>
          <w:b w:val="0"/>
          <w:sz w:val="32"/>
        </w:rPr>
        <w:t>其中：年末财政拨款结转和结余0.00万元，本年财政拨款支出179.34万元。</w:t>
      </w:r>
    </w:p>
    <w:p w14:paraId="279C0B2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增加37.51万元，增长26.45%，主要原因是：本年在职人员增加，在职人员工资调增、社保、公积金基数调增，人员经费增加。</w:t>
      </w:r>
      <w:r>
        <w:rPr>
          <w:rFonts w:hint="eastAsia" w:ascii="仿宋_GB2312" w:hAnsi="仿宋_GB2312" w:eastAsia="仿宋_GB2312"/>
          <w:b w:val="0"/>
          <w:sz w:val="32"/>
          <w:lang w:val="en-US" w:eastAsia="zh-CN"/>
        </w:rPr>
        <w:t>为民办实事</w:t>
      </w:r>
      <w:r>
        <w:rPr>
          <w:rFonts w:ascii="仿宋_GB2312" w:hAnsi="仿宋_GB2312" w:eastAsia="仿宋_GB2312"/>
          <w:b w:val="0"/>
          <w:sz w:val="32"/>
        </w:rPr>
        <w:t>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年初预算数154.49万元，决算数179.34万元，预决算差异率16.09%，主要原因是：本年在职人员增加，年中追加人员经费及人员工资、社保、公积金基数调增部分资金，</w:t>
      </w:r>
      <w:r>
        <w:rPr>
          <w:rFonts w:hint="eastAsia" w:ascii="仿宋_GB2312" w:hAnsi="仿宋_GB2312" w:eastAsia="仿宋_GB2312"/>
          <w:b w:val="0"/>
          <w:sz w:val="32"/>
          <w:lang w:eastAsia="zh-CN"/>
        </w:rPr>
        <w:t>为民办实事</w:t>
      </w:r>
      <w:r>
        <w:rPr>
          <w:rFonts w:ascii="仿宋_GB2312" w:hAnsi="仿宋_GB2312" w:eastAsia="仿宋_GB2312"/>
          <w:b w:val="0"/>
          <w:sz w:val="32"/>
        </w:rPr>
        <w:t>项目资金，导致预决算存在差异。</w:t>
      </w:r>
    </w:p>
    <w:p w14:paraId="4B83A100">
      <w:pPr>
        <w:spacing w:line="640" w:lineRule="exact"/>
        <w:ind w:firstLine="640"/>
        <w:jc w:val="both"/>
        <w:outlineLvl w:val="2"/>
      </w:pPr>
      <w:r>
        <w:rPr>
          <w:rFonts w:ascii="黑体" w:hAnsi="黑体" w:eastAsia="黑体"/>
          <w:sz w:val="32"/>
        </w:rPr>
        <w:t>五、一般公共预算财政拨款支出决算情况说明</w:t>
      </w:r>
    </w:p>
    <w:p w14:paraId="51B00C1D">
      <w:pPr>
        <w:spacing w:line="640" w:lineRule="exact"/>
        <w:ind w:firstLine="640"/>
        <w:jc w:val="both"/>
        <w:outlineLvl w:val="3"/>
      </w:pPr>
      <w:r>
        <w:rPr>
          <w:rFonts w:ascii="楷体_GB2312" w:hAnsi="楷体_GB2312" w:eastAsia="楷体_GB2312"/>
          <w:b/>
          <w:sz w:val="32"/>
        </w:rPr>
        <w:t>（一）一般公共预算财政拨款支出决算总体情况</w:t>
      </w:r>
    </w:p>
    <w:p w14:paraId="2351B071">
      <w:pPr>
        <w:spacing w:line="580" w:lineRule="exact"/>
        <w:ind w:firstLine="640"/>
        <w:jc w:val="both"/>
      </w:pPr>
      <w:r>
        <w:rPr>
          <w:rFonts w:ascii="仿宋_GB2312" w:hAnsi="仿宋_GB2312" w:eastAsia="仿宋_GB2312"/>
          <w:b/>
          <w:sz w:val="32"/>
        </w:rPr>
        <w:t>2024年度一般公共预算财政拨款支出179.34万元，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增加37.51万元，增长26.45%，主要原因是：本年在职人员增加，在职人员工资调增、社保、公积金基数调增，人员经费增加。</w:t>
      </w:r>
      <w:r>
        <w:rPr>
          <w:rFonts w:hint="eastAsia" w:ascii="仿宋_GB2312" w:hAnsi="仿宋_GB2312" w:eastAsia="仿宋_GB2312"/>
          <w:b w:val="0"/>
          <w:sz w:val="32"/>
          <w:lang w:val="en-US" w:eastAsia="zh-CN"/>
        </w:rPr>
        <w:t>为民办实事</w:t>
      </w:r>
      <w:r>
        <w:rPr>
          <w:rFonts w:ascii="仿宋_GB2312" w:hAnsi="仿宋_GB2312" w:eastAsia="仿宋_GB2312"/>
          <w:b w:val="0"/>
          <w:sz w:val="32"/>
        </w:rPr>
        <w:t>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年初预算数154.49万元，决算数179.34万元，预决算差异率16.09%，主要原因是：本年在职人员增加，年中追加人员经费及人员工资、社保、公积金基数调增部分资金，</w:t>
      </w:r>
      <w:r>
        <w:rPr>
          <w:rFonts w:hint="eastAsia" w:ascii="仿宋_GB2312" w:hAnsi="仿宋_GB2312" w:eastAsia="仿宋_GB2312"/>
          <w:b w:val="0"/>
          <w:sz w:val="32"/>
          <w:lang w:eastAsia="zh-CN"/>
        </w:rPr>
        <w:t>为民办实事</w:t>
      </w:r>
      <w:r>
        <w:rPr>
          <w:rFonts w:ascii="仿宋_GB2312" w:hAnsi="仿宋_GB2312" w:eastAsia="仿宋_GB2312"/>
          <w:b w:val="0"/>
          <w:sz w:val="32"/>
        </w:rPr>
        <w:t>项目资金，导致预决算存在差异。</w:t>
      </w:r>
    </w:p>
    <w:p w14:paraId="69338DD3">
      <w:pPr>
        <w:spacing w:line="640" w:lineRule="exact"/>
        <w:ind w:firstLine="640"/>
        <w:jc w:val="both"/>
        <w:outlineLvl w:val="3"/>
      </w:pPr>
      <w:r>
        <w:rPr>
          <w:rFonts w:ascii="楷体_GB2312" w:hAnsi="楷体_GB2312" w:eastAsia="楷体_GB2312"/>
          <w:b/>
          <w:sz w:val="32"/>
        </w:rPr>
        <w:t>（二）一般公共预算财政拨款支出决算结构情况</w:t>
      </w:r>
    </w:p>
    <w:p w14:paraId="3EF931D7">
      <w:pPr>
        <w:spacing w:line="580" w:lineRule="exact"/>
        <w:ind w:firstLine="640"/>
        <w:jc w:val="both"/>
      </w:pPr>
      <w:r>
        <w:rPr>
          <w:rFonts w:ascii="仿宋_GB2312" w:hAnsi="仿宋_GB2312" w:eastAsia="仿宋_GB2312"/>
          <w:b w:val="0"/>
          <w:sz w:val="32"/>
        </w:rPr>
        <w:t>1.一般公共服务支出(类)127.82万元,占71.27%。</w:t>
      </w:r>
    </w:p>
    <w:p w14:paraId="2E74D580">
      <w:pPr>
        <w:spacing w:line="580" w:lineRule="exact"/>
        <w:ind w:firstLine="640"/>
        <w:jc w:val="both"/>
      </w:pPr>
      <w:r>
        <w:rPr>
          <w:rFonts w:ascii="仿宋_GB2312" w:hAnsi="仿宋_GB2312" w:eastAsia="仿宋_GB2312"/>
          <w:b w:val="0"/>
          <w:sz w:val="32"/>
        </w:rPr>
        <w:t>2.社会保障和就业支出(类)19.57万元,占10.91%。</w:t>
      </w:r>
    </w:p>
    <w:p w14:paraId="1348BA0A">
      <w:pPr>
        <w:spacing w:line="580" w:lineRule="exact"/>
        <w:ind w:firstLine="640"/>
        <w:jc w:val="both"/>
      </w:pPr>
      <w:r>
        <w:rPr>
          <w:rFonts w:ascii="仿宋_GB2312" w:hAnsi="仿宋_GB2312" w:eastAsia="仿宋_GB2312"/>
          <w:b w:val="0"/>
          <w:sz w:val="32"/>
        </w:rPr>
        <w:t>3.卫生健康支出(类)9.19万元,占5.12%。</w:t>
      </w:r>
    </w:p>
    <w:p w14:paraId="7AA729A2">
      <w:pPr>
        <w:spacing w:line="580" w:lineRule="exact"/>
        <w:ind w:firstLine="640"/>
        <w:jc w:val="both"/>
      </w:pPr>
      <w:r>
        <w:rPr>
          <w:rFonts w:ascii="仿宋_GB2312" w:hAnsi="仿宋_GB2312" w:eastAsia="仿宋_GB2312"/>
          <w:b w:val="0"/>
          <w:sz w:val="32"/>
        </w:rPr>
        <w:t>4.住房保障支出(类)13.50万元,占7.53%。</w:t>
      </w:r>
    </w:p>
    <w:p w14:paraId="54574651">
      <w:pPr>
        <w:spacing w:line="580" w:lineRule="exact"/>
        <w:ind w:firstLine="640"/>
        <w:jc w:val="both"/>
      </w:pPr>
      <w:r>
        <w:rPr>
          <w:rFonts w:ascii="仿宋_GB2312" w:hAnsi="仿宋_GB2312" w:eastAsia="仿宋_GB2312"/>
          <w:b w:val="0"/>
          <w:sz w:val="32"/>
        </w:rPr>
        <w:t>5.其他支出(类)9.26万元,占5.16%。</w:t>
      </w:r>
    </w:p>
    <w:p w14:paraId="3DAAFBCB">
      <w:pPr>
        <w:spacing w:line="640" w:lineRule="exact"/>
        <w:ind w:firstLine="640"/>
        <w:jc w:val="both"/>
        <w:outlineLvl w:val="3"/>
      </w:pPr>
      <w:r>
        <w:rPr>
          <w:rFonts w:ascii="楷体_GB2312" w:hAnsi="楷体_GB2312" w:eastAsia="楷体_GB2312"/>
          <w:b/>
          <w:sz w:val="32"/>
        </w:rPr>
        <w:t>（三）一般公共预算财政拨款支出决算具体情况</w:t>
      </w:r>
    </w:p>
    <w:p w14:paraId="105B1371">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126.82万元，比上年决算增加22.36万元，增长21.41%,主要原因是：本年新增在职人员，人员经费增加，导致经费较上年有所增加。</w:t>
      </w:r>
    </w:p>
    <w:p w14:paraId="55BCC49D">
      <w:pPr>
        <w:spacing w:line="580" w:lineRule="exact"/>
        <w:ind w:firstLine="640"/>
        <w:jc w:val="both"/>
      </w:pPr>
      <w:r>
        <w:rPr>
          <w:rFonts w:ascii="仿宋_GB2312" w:hAnsi="仿宋_GB2312" w:eastAsia="仿宋_GB2312"/>
          <w:b w:val="0"/>
          <w:sz w:val="32"/>
        </w:rPr>
        <w:t>2.一般公共服务支出(类)党委办公厅（室）及相关机构事务(款)一般行政管理事务(项):支出决算数为1.00万元，比上年决算增加1.00万元，增长100.00%,主要原因是：本年增加办公费支出，相应经费增加。</w:t>
      </w:r>
    </w:p>
    <w:p w14:paraId="4CB3D2D6">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3.社会保障和就业支出(类)行政事业单位养老支出(款)行政单位离退休(项):支出决算数为2.85万元，比上年决算增加0.82万元，增长40.39%,主要原因是：本年增加退休人员基础绩效奖，退休费支出增加。</w:t>
      </w:r>
    </w:p>
    <w:p w14:paraId="34C762CF">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16.71万元，比上年决算增加4.53万元，增长37.19%,主要原因是：本年在职人员增加，养老保险缴费较上年增加。</w:t>
      </w:r>
    </w:p>
    <w:p w14:paraId="12DF2CF1">
      <w:pPr>
        <w:spacing w:line="580" w:lineRule="exact"/>
        <w:ind w:firstLine="640"/>
        <w:jc w:val="both"/>
      </w:pPr>
      <w:r>
        <w:rPr>
          <w:rFonts w:ascii="仿宋_GB2312" w:hAnsi="仿宋_GB2312" w:eastAsia="仿宋_GB2312"/>
          <w:b w:val="0"/>
          <w:sz w:val="32"/>
        </w:rPr>
        <w:t>5.卫生健康支出(类)行政事业单位医疗(款)行政单位医疗(项):支出决算数为7.10万元，比上年决算增加1.92万元，增长37.07%,主要原因是：本年在职人员增加，行政单位医疗支出较上年增加。</w:t>
      </w:r>
    </w:p>
    <w:p w14:paraId="22E3FF14">
      <w:pPr>
        <w:spacing w:line="580" w:lineRule="exact"/>
        <w:ind w:firstLine="640"/>
        <w:jc w:val="both"/>
      </w:pPr>
      <w:r>
        <w:rPr>
          <w:rFonts w:ascii="仿宋_GB2312" w:hAnsi="仿宋_GB2312" w:eastAsia="仿宋_GB2312"/>
          <w:b w:val="0"/>
          <w:sz w:val="32"/>
        </w:rPr>
        <w:t>6.卫生健康支出(类)行政事业单位医疗(款)公务员医疗补助(项):支出决算数为2.09万元，比上年决算增加0.57万元，增长37.50%,主要原因是：本年在职人员增加，公务员医疗补助较上年增加。</w:t>
      </w:r>
    </w:p>
    <w:p w14:paraId="5506DFDD">
      <w:pPr>
        <w:spacing w:line="580" w:lineRule="exact"/>
        <w:ind w:firstLine="640"/>
        <w:jc w:val="both"/>
      </w:pPr>
      <w:r>
        <w:rPr>
          <w:rFonts w:ascii="仿宋_GB2312" w:hAnsi="仿宋_GB2312" w:eastAsia="仿宋_GB2312"/>
          <w:b w:val="0"/>
          <w:sz w:val="32"/>
        </w:rPr>
        <w:t>7.住房保障支出(类)住房改革支出(款)住房公积金(项):支出决算数为13.50万元，比上年决算增加3.12万元，增长30.06%,主要原因是：本年在职人员增加，住房公积金支出较上年增加。</w:t>
      </w:r>
    </w:p>
    <w:p w14:paraId="54B06217">
      <w:pPr>
        <w:spacing w:line="580" w:lineRule="exact"/>
        <w:ind w:firstLine="640"/>
        <w:jc w:val="both"/>
      </w:pPr>
      <w:r>
        <w:rPr>
          <w:rFonts w:ascii="仿宋_GB2312" w:hAnsi="仿宋_GB2312" w:eastAsia="仿宋_GB2312"/>
          <w:b w:val="0"/>
          <w:sz w:val="32"/>
        </w:rPr>
        <w:t>8.其他支出(类)其他支出(款)其他支出(项):支出决算数为9.26万元，比上年决算增加3.18万元，增长52.30%,主要原因是：2024年为民办实事项目经费较上年增加。</w:t>
      </w:r>
    </w:p>
    <w:p w14:paraId="2E5E6B97">
      <w:pPr>
        <w:spacing w:line="640" w:lineRule="exact"/>
        <w:ind w:firstLine="640"/>
        <w:jc w:val="both"/>
        <w:outlineLvl w:val="2"/>
      </w:pPr>
      <w:r>
        <w:rPr>
          <w:rFonts w:ascii="黑体" w:hAnsi="黑体" w:eastAsia="黑体"/>
          <w:sz w:val="32"/>
        </w:rPr>
        <w:t>六、一般公共预算财政拨款基本支出决算情况说明</w:t>
      </w:r>
    </w:p>
    <w:p w14:paraId="0DB23F28">
      <w:pPr>
        <w:spacing w:line="580" w:lineRule="exact"/>
        <w:ind w:firstLine="640"/>
        <w:jc w:val="both"/>
      </w:pPr>
      <w:r>
        <w:rPr>
          <w:rFonts w:ascii="仿宋_GB2312" w:hAnsi="仿宋_GB2312" w:eastAsia="仿宋_GB2312"/>
          <w:b w:val="0"/>
          <w:sz w:val="32"/>
        </w:rPr>
        <w:t>2024年度一般公共预算财政拨款基本支出169.08万元，其中：</w:t>
      </w:r>
      <w:r>
        <w:rPr>
          <w:rFonts w:ascii="仿宋_GB2312" w:hAnsi="仿宋_GB2312" w:eastAsia="仿宋_GB2312"/>
          <w:b/>
          <w:sz w:val="32"/>
        </w:rPr>
        <w:t>人员经费166.83万元，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2848F8E6">
      <w:pPr>
        <w:spacing w:line="580" w:lineRule="exact"/>
        <w:ind w:firstLine="640"/>
        <w:jc w:val="both"/>
      </w:pPr>
      <w:r>
        <w:rPr>
          <w:rFonts w:ascii="仿宋_GB2312" w:hAnsi="仿宋_GB2312" w:eastAsia="仿宋_GB2312"/>
          <w:b/>
          <w:sz w:val="32"/>
        </w:rPr>
        <w:t>公用经费2.25万元，</w:t>
      </w:r>
      <w:r>
        <w:rPr>
          <w:rFonts w:ascii="仿宋_GB2312" w:hAnsi="仿宋_GB2312" w:eastAsia="仿宋_GB2312"/>
          <w:b w:val="0"/>
          <w:sz w:val="32"/>
        </w:rPr>
        <w:t>包括：办公费、邮电费、差旅费。</w:t>
      </w:r>
    </w:p>
    <w:p w14:paraId="7744CE3A">
      <w:pPr>
        <w:spacing w:line="640" w:lineRule="exact"/>
        <w:ind w:firstLine="640"/>
        <w:jc w:val="both"/>
        <w:outlineLvl w:val="2"/>
      </w:pPr>
      <w:r>
        <w:rPr>
          <w:rFonts w:ascii="黑体" w:hAnsi="黑体" w:eastAsia="黑体"/>
          <w:sz w:val="32"/>
        </w:rPr>
        <w:t>七、政府性基金预算财政拨款收入支出决算情况说明</w:t>
      </w:r>
    </w:p>
    <w:p w14:paraId="102AF4F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A2AA33E">
      <w:pPr>
        <w:spacing w:line="640" w:lineRule="exact"/>
        <w:ind w:firstLine="640"/>
        <w:jc w:val="both"/>
        <w:outlineLvl w:val="2"/>
      </w:pPr>
      <w:r>
        <w:rPr>
          <w:rFonts w:ascii="黑体" w:hAnsi="黑体" w:eastAsia="黑体"/>
          <w:sz w:val="32"/>
        </w:rPr>
        <w:t>八、国有资本经营预算财政拨款收入支出决算情况说明</w:t>
      </w:r>
    </w:p>
    <w:p w14:paraId="1F829A5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F4CD46D">
      <w:pPr>
        <w:spacing w:line="640" w:lineRule="exact"/>
        <w:ind w:firstLine="640"/>
        <w:jc w:val="both"/>
        <w:outlineLvl w:val="2"/>
      </w:pPr>
      <w:r>
        <w:rPr>
          <w:rFonts w:ascii="黑体" w:hAnsi="黑体" w:eastAsia="黑体"/>
          <w:sz w:val="32"/>
        </w:rPr>
        <w:t>九、财政拨款“三公”经费支出决算情况说明</w:t>
      </w:r>
    </w:p>
    <w:p w14:paraId="745AF08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6A49046">
      <w:pPr>
        <w:spacing w:line="580" w:lineRule="exact"/>
        <w:ind w:firstLine="640"/>
        <w:jc w:val="both"/>
      </w:pPr>
      <w:r>
        <w:rPr>
          <w:rFonts w:ascii="仿宋_GB2312" w:hAnsi="仿宋_GB2312" w:eastAsia="仿宋_GB2312"/>
          <w:b/>
          <w:sz w:val="32"/>
        </w:rPr>
        <w:t>具体情况如下：</w:t>
      </w:r>
    </w:p>
    <w:p w14:paraId="0DFF3D7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497524">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567740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B46D47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3E198F8">
      <w:pPr>
        <w:spacing w:line="640" w:lineRule="exact"/>
        <w:ind w:firstLine="640"/>
        <w:jc w:val="both"/>
        <w:outlineLvl w:val="2"/>
      </w:pPr>
      <w:r>
        <w:rPr>
          <w:rFonts w:ascii="黑体" w:hAnsi="黑体" w:eastAsia="黑体"/>
          <w:sz w:val="32"/>
        </w:rPr>
        <w:t>十、其他重要事项的情况说明</w:t>
      </w:r>
    </w:p>
    <w:p w14:paraId="58E833AB">
      <w:pPr>
        <w:spacing w:line="640" w:lineRule="exact"/>
        <w:ind w:firstLine="640"/>
        <w:jc w:val="both"/>
        <w:outlineLvl w:val="3"/>
      </w:pPr>
      <w:r>
        <w:rPr>
          <w:rFonts w:ascii="楷体_GB2312" w:hAnsi="楷体_GB2312" w:eastAsia="楷体_GB2312"/>
          <w:b/>
          <w:sz w:val="32"/>
        </w:rPr>
        <w:t>（一）机关运行经费及公用经费支出情况</w:t>
      </w:r>
    </w:p>
    <w:p w14:paraId="4B9FCB4B">
      <w:pPr>
        <w:spacing w:line="580" w:lineRule="exact"/>
        <w:ind w:firstLine="640"/>
        <w:jc w:val="both"/>
      </w:pPr>
      <w:r>
        <w:rPr>
          <w:rFonts w:ascii="仿宋_GB2312" w:hAnsi="仿宋_GB2312" w:eastAsia="仿宋_GB2312"/>
          <w:b w:val="0"/>
          <w:sz w:val="32"/>
        </w:rPr>
        <w:t>2024年度中共疏附县委员会机构编制委员会办公室（行政单位和参照公务员法管理事业单位）机关运行经费支出2.25万元，比上年增加0.05万元，增长2.27%，主要原因是：本年在职人员增加，办公费用增加。</w:t>
      </w:r>
    </w:p>
    <w:p w14:paraId="09FD4427">
      <w:pPr>
        <w:spacing w:line="640" w:lineRule="exact"/>
        <w:ind w:firstLine="640"/>
        <w:jc w:val="both"/>
        <w:outlineLvl w:val="3"/>
      </w:pPr>
      <w:r>
        <w:rPr>
          <w:rFonts w:ascii="楷体_GB2312" w:hAnsi="楷体_GB2312" w:eastAsia="楷体_GB2312"/>
          <w:b/>
          <w:sz w:val="32"/>
        </w:rPr>
        <w:t>（二）政府采购情况</w:t>
      </w:r>
    </w:p>
    <w:p w14:paraId="62871A2D">
      <w:pPr>
        <w:spacing w:line="580" w:lineRule="exact"/>
        <w:ind w:firstLine="640"/>
        <w:jc w:val="both"/>
      </w:pPr>
      <w:r>
        <w:rPr>
          <w:rFonts w:ascii="仿宋_GB2312" w:hAnsi="仿宋_GB2312" w:eastAsia="仿宋_GB2312"/>
          <w:b w:val="0"/>
          <w:sz w:val="32"/>
        </w:rPr>
        <w:t>2024年度政府采购支出总额0.40万元，其中：政府采购货物支出0.40万元、政府采购工程支出0.00万元、政府采购服务支出0.00万元。</w:t>
      </w:r>
    </w:p>
    <w:p w14:paraId="11521F6E">
      <w:pPr>
        <w:spacing w:line="580" w:lineRule="exact"/>
        <w:ind w:firstLine="640"/>
        <w:jc w:val="both"/>
      </w:pPr>
      <w:r>
        <w:rPr>
          <w:rFonts w:ascii="仿宋_GB2312" w:hAnsi="仿宋_GB2312" w:eastAsia="仿宋_GB2312"/>
          <w:b w:val="0"/>
          <w:sz w:val="32"/>
        </w:rPr>
        <w:t>授予中小企业合同金额0.40万元，占政府采购支出总额的100.00%，其中：授予小微企业合同金额0.40万元，占政府采购支出总额的100.00%。</w:t>
      </w:r>
    </w:p>
    <w:p w14:paraId="7F1BF6E6">
      <w:pPr>
        <w:spacing w:line="640" w:lineRule="exact"/>
        <w:ind w:firstLine="640"/>
        <w:jc w:val="both"/>
        <w:outlineLvl w:val="3"/>
      </w:pPr>
      <w:r>
        <w:rPr>
          <w:rFonts w:ascii="楷体_GB2312" w:hAnsi="楷体_GB2312" w:eastAsia="楷体_GB2312"/>
          <w:b/>
          <w:sz w:val="32"/>
        </w:rPr>
        <w:t>（三）国有资产占用情况说明</w:t>
      </w:r>
    </w:p>
    <w:p w14:paraId="73710556">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44A5D57">
      <w:pPr>
        <w:spacing w:line="640" w:lineRule="exact"/>
        <w:ind w:firstLine="640"/>
        <w:jc w:val="both"/>
        <w:outlineLvl w:val="2"/>
      </w:pPr>
      <w:r>
        <w:rPr>
          <w:rFonts w:ascii="黑体" w:hAnsi="黑体" w:eastAsia="黑体"/>
          <w:sz w:val="32"/>
        </w:rPr>
        <w:t>十一、预算绩效的情况说明</w:t>
      </w:r>
    </w:p>
    <w:p w14:paraId="734DDA6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根据预算绩效管理要求，本单位2024年度预算绩效管理形成整体支出绩效自评表1个，全年预算总额180.13万元，实际执行总额179.34万元；预算绩效评价项目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10.00万元，全年执行数9.26万元。预算绩效管理取得的成效：本单位无项目绩效自评表。发现的问题及原因：本单位无项目绩效自评表。下一步改进措施：本单位无项目绩效自评表。具体附整体支出绩效自评表。</w:t>
      </w:r>
    </w:p>
    <w:p w14:paraId="1DAB988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49146C">
        <w:tblPrEx>
          <w:tblCellMar>
            <w:top w:w="0" w:type="dxa"/>
            <w:left w:w="108" w:type="dxa"/>
            <w:bottom w:w="0" w:type="dxa"/>
            <w:right w:w="108" w:type="dxa"/>
          </w:tblCellMar>
        </w:tblPrEx>
        <w:tc>
          <w:tcPr>
            <w:tcW w:w="8847" w:type="dxa"/>
            <w:gridSpan w:val="9"/>
            <w:vAlign w:val="center"/>
          </w:tcPr>
          <w:p w14:paraId="10AE8B4F">
            <w:pPr>
              <w:jc w:val="center"/>
            </w:pPr>
            <w:r>
              <w:rPr>
                <w:rFonts w:ascii="宋体" w:hAnsi="宋体" w:eastAsia="宋体"/>
                <w:sz w:val="24"/>
              </w:rPr>
              <w:t>单位整体支出绩效自评表</w:t>
            </w:r>
          </w:p>
        </w:tc>
      </w:tr>
      <w:tr w14:paraId="6F13300D">
        <w:tblPrEx>
          <w:tblCellMar>
            <w:top w:w="0" w:type="dxa"/>
            <w:left w:w="108" w:type="dxa"/>
            <w:bottom w:w="0" w:type="dxa"/>
            <w:right w:w="108" w:type="dxa"/>
          </w:tblCellMar>
        </w:tblPrEx>
        <w:tc>
          <w:tcPr>
            <w:tcW w:w="8847" w:type="dxa"/>
            <w:gridSpan w:val="9"/>
            <w:vAlign w:val="center"/>
          </w:tcPr>
          <w:p w14:paraId="48D1F472">
            <w:pPr>
              <w:jc w:val="center"/>
            </w:pPr>
            <w:r>
              <w:rPr>
                <w:rFonts w:ascii="宋体" w:hAnsi="宋体" w:eastAsia="宋体"/>
                <w:sz w:val="24"/>
              </w:rPr>
              <w:t>（2024年度）</w:t>
            </w:r>
          </w:p>
        </w:tc>
      </w:tr>
      <w:tr w14:paraId="374D74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5767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BFF3BF">
            <w:pPr>
              <w:jc w:val="center"/>
            </w:pPr>
            <w:r>
              <w:rPr>
                <w:rFonts w:ascii="宋体" w:hAnsi="宋体" w:eastAsia="宋体"/>
                <w:sz w:val="16"/>
              </w:rPr>
              <w:t>中共疏附县委员会机构编制委员会办公室</w:t>
            </w:r>
          </w:p>
        </w:tc>
      </w:tr>
      <w:tr w14:paraId="304FE6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A3E8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1693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6483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F0E11">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0788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F5E1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2D43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524E5">
            <w:pPr>
              <w:jc w:val="center"/>
            </w:pPr>
            <w:r>
              <w:rPr>
                <w:rFonts w:ascii="宋体" w:hAnsi="宋体" w:eastAsia="宋体"/>
                <w:sz w:val="16"/>
              </w:rPr>
              <w:t>得分</w:t>
            </w:r>
          </w:p>
        </w:tc>
      </w:tr>
      <w:tr w14:paraId="410B76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EA0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9945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480FC">
            <w:pPr>
              <w:jc w:val="center"/>
            </w:pPr>
            <w:r>
              <w:rPr>
                <w:rFonts w:ascii="宋体" w:hAnsi="宋体" w:eastAsia="宋体"/>
                <w:sz w:val="16"/>
              </w:rPr>
              <w:t>154.49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7E119">
            <w:pPr>
              <w:jc w:val="center"/>
            </w:pPr>
            <w:r>
              <w:rPr>
                <w:rFonts w:ascii="宋体" w:hAnsi="宋体" w:eastAsia="宋体"/>
                <w:sz w:val="16"/>
              </w:rPr>
              <w:t>180.13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1412B">
            <w:pPr>
              <w:jc w:val="center"/>
            </w:pPr>
            <w:r>
              <w:rPr>
                <w:rFonts w:ascii="宋体" w:hAnsi="宋体" w:eastAsia="宋体"/>
                <w:sz w:val="16"/>
              </w:rPr>
              <w:t>179.34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BC7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68529">
            <w:pPr>
              <w:jc w:val="center"/>
            </w:pPr>
            <w:r>
              <w:rPr>
                <w:rFonts w:ascii="宋体" w:hAnsi="宋体" w:eastAsia="宋体"/>
                <w:sz w:val="16"/>
              </w:rPr>
              <w:t>99.56%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B5182">
            <w:pPr>
              <w:jc w:val="center"/>
            </w:pPr>
            <w:r>
              <w:rPr>
                <w:rFonts w:ascii="宋体" w:hAnsi="宋体" w:eastAsia="宋体"/>
                <w:sz w:val="16"/>
              </w:rPr>
              <w:t>9.96</w:t>
            </w:r>
          </w:p>
        </w:tc>
      </w:tr>
      <w:tr w14:paraId="413C4E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36F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F215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4B5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EDCA">
            <w:pPr>
              <w:jc w:val="center"/>
            </w:pPr>
            <w:r>
              <w:rPr>
                <w:rFonts w:ascii="宋体" w:hAnsi="宋体" w:eastAsia="宋体"/>
                <w:sz w:val="16"/>
              </w:rPr>
              <w:t>12.78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7D224">
            <w:pPr>
              <w:jc w:val="center"/>
            </w:pPr>
            <w:r>
              <w:rPr>
                <w:rFonts w:ascii="宋体" w:hAnsi="宋体" w:eastAsia="宋体"/>
                <w:sz w:val="16"/>
              </w:rPr>
              <w:t>12.04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4E9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863A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50C6B">
            <w:pPr>
              <w:jc w:val="center"/>
            </w:pPr>
            <w:r>
              <w:rPr>
                <w:rFonts w:ascii="宋体" w:hAnsi="宋体" w:eastAsia="宋体"/>
                <w:sz w:val="16"/>
              </w:rPr>
              <w:t>—</w:t>
            </w:r>
          </w:p>
        </w:tc>
      </w:tr>
      <w:tr w14:paraId="73E448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C0A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281E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BA165">
            <w:pPr>
              <w:jc w:val="center"/>
            </w:pPr>
            <w:r>
              <w:rPr>
                <w:rFonts w:ascii="宋体" w:hAnsi="宋体" w:eastAsia="宋体"/>
                <w:sz w:val="16"/>
              </w:rPr>
              <w:t>154.49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10125">
            <w:pPr>
              <w:jc w:val="center"/>
            </w:pPr>
            <w:r>
              <w:rPr>
                <w:rFonts w:ascii="宋体" w:hAnsi="宋体" w:eastAsia="宋体"/>
                <w:sz w:val="16"/>
              </w:rPr>
              <w:t>167.35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8C6BE">
            <w:pPr>
              <w:jc w:val="center"/>
            </w:pPr>
            <w:r>
              <w:rPr>
                <w:rFonts w:ascii="宋体" w:hAnsi="宋体" w:eastAsia="宋体"/>
                <w:sz w:val="16"/>
              </w:rPr>
              <w:t>167.30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0FA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4845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C0D6">
            <w:pPr>
              <w:jc w:val="center"/>
            </w:pPr>
            <w:r>
              <w:rPr>
                <w:rFonts w:ascii="宋体" w:hAnsi="宋体" w:eastAsia="宋体"/>
                <w:sz w:val="16"/>
              </w:rPr>
              <w:t>—</w:t>
            </w:r>
          </w:p>
        </w:tc>
      </w:tr>
      <w:tr w14:paraId="666FA8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44B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6535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4B8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919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C8E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049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D514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F4B6D">
            <w:pPr>
              <w:jc w:val="center"/>
            </w:pPr>
            <w:r>
              <w:rPr>
                <w:rFonts w:ascii="宋体" w:hAnsi="宋体" w:eastAsia="宋体"/>
                <w:sz w:val="16"/>
              </w:rPr>
              <w:t>—</w:t>
            </w:r>
          </w:p>
        </w:tc>
      </w:tr>
      <w:tr w14:paraId="1ADF0F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31B4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3136C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52A3D8">
            <w:pPr>
              <w:jc w:val="center"/>
            </w:pPr>
            <w:r>
              <w:rPr>
                <w:rFonts w:ascii="宋体" w:hAnsi="宋体" w:eastAsia="宋体"/>
                <w:sz w:val="16"/>
              </w:rPr>
              <w:t>实际完成情况</w:t>
            </w:r>
          </w:p>
        </w:tc>
      </w:tr>
      <w:tr w14:paraId="5679B6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09D3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C9C345">
            <w:pPr>
              <w:jc w:val="both"/>
            </w:pPr>
            <w:r>
              <w:rPr>
                <w:rFonts w:ascii="宋体" w:hAnsi="宋体" w:eastAsia="宋体"/>
                <w:sz w:val="16"/>
              </w:rPr>
              <w:t>按照自治区党委、地委的统一部署，有序组织实施事业单位改革工作任务。按照事业单位改革的总体部署，全面整合撤并“弱小散”事业单位，及时补充完善事业单位改革情况沟通表，加强</w:t>
            </w:r>
            <w:r>
              <w:rPr>
                <w:rFonts w:hint="eastAsia" w:ascii="宋体" w:hAnsi="宋体"/>
                <w:sz w:val="16"/>
                <w:lang w:eastAsia="zh-CN"/>
              </w:rPr>
              <w:t>与各</w:t>
            </w:r>
            <w:r>
              <w:rPr>
                <w:rFonts w:ascii="宋体" w:hAnsi="宋体" w:eastAsia="宋体"/>
                <w:sz w:val="16"/>
              </w:rPr>
              <w:t>地区的对接沟通，同步推进改革任务，在规定期限内完成改革任务并印发机构编制文件，确保事业机构编制管理规范，布局结构进一步优化。</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395A35">
            <w:pPr>
              <w:jc w:val="both"/>
            </w:pPr>
            <w:r>
              <w:rPr>
                <w:rFonts w:ascii="宋体" w:hAnsi="宋体" w:eastAsia="宋体"/>
                <w:sz w:val="16"/>
              </w:rPr>
              <w:t>全面完成党政机构改革任务。严格对标党中央、自治区党委机构改革工作要求，按照地委改革工作进度安排，完成全县35个党政机构改革任务，对7个部门进行了编制调整，对14个部门进行了职责调整，重新制定或修订9个部门单位“三定”规定。完成率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    2023年4月1日至2024年4月1日，编办办理事业单位设立登记5个，事业单位变更登记50个，事业单位法人证书补领1个；应参加年度报告公示事业单位113个，实参加报告公示单位113个，报告公示率100%。</w:t>
            </w:r>
          </w:p>
        </w:tc>
      </w:tr>
      <w:tr w14:paraId="040C16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4291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ECA8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7692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E30F1">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725B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D271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9BF4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4C768">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F1ABF">
            <w:pPr>
              <w:jc w:val="center"/>
            </w:pPr>
            <w:r>
              <w:rPr>
                <w:rFonts w:ascii="宋体" w:hAnsi="宋体" w:eastAsia="宋体"/>
                <w:sz w:val="16"/>
              </w:rPr>
              <w:t>得分</w:t>
            </w:r>
          </w:p>
        </w:tc>
      </w:tr>
      <w:tr w14:paraId="08085F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F061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47C4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C9A84">
            <w:pPr>
              <w:jc w:val="center"/>
            </w:pPr>
            <w:r>
              <w:rPr>
                <w:rFonts w:ascii="宋体" w:hAnsi="宋体" w:eastAsia="宋体"/>
                <w:sz w:val="16"/>
              </w:rPr>
              <w:t>党政机构改革（个）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0142C">
            <w:pPr>
              <w:jc w:val="center"/>
            </w:pPr>
            <w:r>
              <w:rPr>
                <w:rFonts w:ascii="宋体" w:hAnsi="宋体" w:eastAsia="宋体"/>
                <w:sz w:val="16"/>
              </w:rPr>
              <w:t>&gt;=35个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4719B">
            <w:pPr>
              <w:jc w:val="center"/>
            </w:pPr>
            <w:r>
              <w:rPr>
                <w:rFonts w:ascii="宋体" w:hAnsi="宋体" w:eastAsia="宋体"/>
                <w:sz w:val="16"/>
              </w:rPr>
              <w:t>中共疏附县委员会机构编制委员会办公室2024年度工作计划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7229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7A34B">
            <w:pPr>
              <w:jc w:val="center"/>
            </w:pPr>
            <w:r>
              <w:rPr>
                <w:rFonts w:ascii="宋体" w:hAnsi="宋体" w:eastAsia="宋体"/>
                <w:sz w:val="16"/>
              </w:rPr>
              <w:t>35个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569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F78C5">
            <w:pPr>
              <w:jc w:val="center"/>
            </w:pPr>
            <w:r>
              <w:rPr>
                <w:rFonts w:ascii="宋体" w:hAnsi="宋体" w:eastAsia="宋体"/>
                <w:sz w:val="16"/>
              </w:rPr>
              <w:t>20</w:t>
            </w:r>
          </w:p>
        </w:tc>
      </w:tr>
      <w:tr w14:paraId="3F40A6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14C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D1F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D7091">
            <w:pPr>
              <w:jc w:val="center"/>
            </w:pPr>
            <w:r>
              <w:rPr>
                <w:rFonts w:ascii="宋体" w:hAnsi="宋体" w:eastAsia="宋体"/>
                <w:sz w:val="16"/>
              </w:rPr>
              <w:t>党政机构改革新设单位数（个）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BD49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8590E">
            <w:pPr>
              <w:jc w:val="center"/>
            </w:pPr>
            <w:r>
              <w:rPr>
                <w:rFonts w:ascii="宋体" w:hAnsi="宋体" w:eastAsia="宋体"/>
                <w:sz w:val="16"/>
              </w:rPr>
              <w:t>中共疏附县委员会机构编制委员会办公室2024年工作计划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4D6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49B7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947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49C78">
            <w:pPr>
              <w:jc w:val="center"/>
            </w:pPr>
            <w:r>
              <w:rPr>
                <w:rFonts w:ascii="宋体" w:hAnsi="宋体" w:eastAsia="宋体"/>
                <w:sz w:val="16"/>
              </w:rPr>
              <w:t>20</w:t>
            </w:r>
          </w:p>
        </w:tc>
      </w:tr>
      <w:tr w14:paraId="413623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B3C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289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5EBC1">
            <w:pPr>
              <w:jc w:val="center"/>
            </w:pPr>
            <w:r>
              <w:rPr>
                <w:rFonts w:ascii="宋体" w:hAnsi="宋体" w:eastAsia="宋体"/>
                <w:sz w:val="16"/>
              </w:rPr>
              <w:t>开展机构编制培训（批次）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0C8E9">
            <w:pPr>
              <w:jc w:val="center"/>
            </w:pPr>
            <w:r>
              <w:rPr>
                <w:rFonts w:ascii="宋体" w:hAnsi="宋体" w:eastAsia="宋体"/>
                <w:sz w:val="16"/>
              </w:rPr>
              <w:t>&gt;=2批次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A6CA3">
            <w:pPr>
              <w:jc w:val="center"/>
            </w:pPr>
            <w:r>
              <w:rPr>
                <w:rFonts w:ascii="宋体" w:hAnsi="宋体" w:eastAsia="宋体"/>
                <w:sz w:val="16"/>
              </w:rPr>
              <w:t>中共疏附县委员会机构编制委员会办公室2024年工作计划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8EE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5EDD2">
            <w:pPr>
              <w:jc w:val="center"/>
            </w:pPr>
            <w:r>
              <w:rPr>
                <w:rFonts w:ascii="宋体" w:hAnsi="宋体" w:eastAsia="宋体"/>
                <w:sz w:val="16"/>
              </w:rPr>
              <w: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16F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C3AEB">
            <w:pPr>
              <w:jc w:val="center"/>
            </w:pPr>
            <w:r>
              <w:rPr>
                <w:rFonts w:ascii="宋体" w:hAnsi="宋体" w:eastAsia="宋体"/>
                <w:sz w:val="16"/>
              </w:rPr>
              <w:t>20</w:t>
            </w:r>
          </w:p>
        </w:tc>
      </w:tr>
      <w:tr w14:paraId="7E2045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A10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90F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04750">
            <w:pPr>
              <w:jc w:val="center"/>
            </w:pPr>
            <w:r>
              <w:rPr>
                <w:rFonts w:ascii="宋体" w:hAnsi="宋体" w:eastAsia="宋体"/>
                <w:sz w:val="16"/>
              </w:rPr>
              <w:t>事业单位法人年度报告公示数（个）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1760E">
            <w:pPr>
              <w:jc w:val="center"/>
            </w:pPr>
            <w:r>
              <w:rPr>
                <w:rFonts w:ascii="宋体" w:hAnsi="宋体" w:eastAsia="宋体"/>
                <w:sz w:val="16"/>
              </w:rPr>
              <w:t>=113个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E9E71">
            <w:pPr>
              <w:jc w:val="center"/>
            </w:pPr>
            <w:r>
              <w:rPr>
                <w:rFonts w:ascii="宋体" w:hAnsi="宋体" w:eastAsia="宋体"/>
                <w:sz w:val="16"/>
              </w:rPr>
              <w:t>中共疏附县委员会机构编制委员会办公室2024年工作计划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59EE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06460">
            <w:pPr>
              <w:jc w:val="center"/>
            </w:pPr>
            <w:r>
              <w:rPr>
                <w:rFonts w:ascii="宋体" w:hAnsi="宋体" w:eastAsia="宋体"/>
                <w:sz w:val="16"/>
              </w:rPr>
              <w:t>113个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DD9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7011">
            <w:pPr>
              <w:jc w:val="center"/>
            </w:pPr>
            <w:r>
              <w:rPr>
                <w:rFonts w:ascii="宋体" w:hAnsi="宋体" w:eastAsia="宋体"/>
                <w:sz w:val="16"/>
              </w:rPr>
              <w:t>15</w:t>
            </w:r>
          </w:p>
        </w:tc>
      </w:tr>
      <w:tr w14:paraId="5796D1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2F7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854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C3A87">
            <w:pPr>
              <w:jc w:val="center"/>
            </w:pPr>
            <w:r>
              <w:rPr>
                <w:rFonts w:ascii="宋体" w:hAnsi="宋体" w:eastAsia="宋体"/>
                <w:sz w:val="16"/>
              </w:rPr>
              <w:t>党政机构改革完成率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9B95">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9CF55">
            <w:pPr>
              <w:jc w:val="center"/>
            </w:pPr>
            <w:r>
              <w:rPr>
                <w:rFonts w:ascii="宋体" w:hAnsi="宋体" w:eastAsia="宋体"/>
                <w:sz w:val="16"/>
              </w:rPr>
              <w:t>中共疏附县委员会机构编制委员会办公室2024年工作计划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906C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ECA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8C5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F1899">
            <w:pPr>
              <w:jc w:val="center"/>
            </w:pPr>
            <w:r>
              <w:rPr>
                <w:rFonts w:ascii="宋体" w:hAnsi="宋体" w:eastAsia="宋体"/>
                <w:sz w:val="16"/>
              </w:rPr>
              <w:t>15</w:t>
            </w:r>
          </w:p>
        </w:tc>
      </w:tr>
    </w:tbl>
    <w:p w14:paraId="735A6A5E">
      <w:r>
        <w:br w:type="page"/>
      </w:r>
    </w:p>
    <w:p w14:paraId="5236DA71">
      <w:pPr>
        <w:spacing w:line="640" w:lineRule="exact"/>
        <w:ind w:firstLine="640"/>
        <w:jc w:val="both"/>
        <w:outlineLvl w:val="2"/>
      </w:pPr>
      <w:r>
        <w:rPr>
          <w:rFonts w:ascii="黑体" w:hAnsi="黑体" w:eastAsia="黑体"/>
          <w:sz w:val="32"/>
        </w:rPr>
        <w:t>十二、其他需说明的事项</w:t>
      </w:r>
    </w:p>
    <w:p w14:paraId="623B8AAA">
      <w:pPr>
        <w:spacing w:line="580" w:lineRule="exact"/>
        <w:ind w:firstLine="640"/>
        <w:jc w:val="both"/>
      </w:pPr>
      <w:r>
        <w:rPr>
          <w:rFonts w:ascii="仿宋_GB2312" w:hAnsi="仿宋_GB2312" w:eastAsia="仿宋_GB2312"/>
          <w:b w:val="0"/>
          <w:sz w:val="32"/>
        </w:rPr>
        <w:t>本年本单位SM项目1个，全年预算数10.00万元，全年执行数9.26万元。</w:t>
      </w:r>
      <w:bookmarkStart w:id="0" w:name="_GoBack"/>
      <w:bookmarkEnd w:id="0"/>
    </w:p>
    <w:p w14:paraId="1D8CB609">
      <w:r>
        <w:br w:type="page"/>
      </w:r>
    </w:p>
    <w:p w14:paraId="601AB73E">
      <w:pPr>
        <w:spacing w:line="240" w:lineRule="auto"/>
        <w:jc w:val="center"/>
        <w:outlineLvl w:val="1"/>
      </w:pPr>
      <w:r>
        <w:rPr>
          <w:rFonts w:ascii="黑体" w:hAnsi="黑体" w:eastAsia="黑体"/>
          <w:sz w:val="32"/>
        </w:rPr>
        <w:t>第三部分 专业名词解释</w:t>
      </w:r>
    </w:p>
    <w:p w14:paraId="3015CD1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9C949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2BF93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A500BF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F081EA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F7A3D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AB61B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CA8D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C2325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9B3095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33624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3A58FB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323582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8C78D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2DA821A">
      <w:r>
        <w:br w:type="page"/>
      </w:r>
    </w:p>
    <w:p w14:paraId="0B7B5D20">
      <w:pPr>
        <w:spacing w:line="240" w:lineRule="auto"/>
        <w:jc w:val="center"/>
        <w:outlineLvl w:val="1"/>
      </w:pPr>
      <w:r>
        <w:rPr>
          <w:rFonts w:ascii="黑体" w:hAnsi="黑体" w:eastAsia="黑体"/>
          <w:sz w:val="32"/>
        </w:rPr>
        <w:t>第四部分 部门决算报表（见附表）</w:t>
      </w:r>
    </w:p>
    <w:p w14:paraId="51F05DB8">
      <w:pPr>
        <w:spacing w:line="240" w:lineRule="auto"/>
        <w:ind w:firstLine="640"/>
        <w:jc w:val="both"/>
      </w:pPr>
      <w:r>
        <w:rPr>
          <w:rFonts w:ascii="仿宋_GB2312" w:hAnsi="仿宋_GB2312" w:eastAsia="仿宋_GB2312"/>
          <w:b w:val="0"/>
          <w:sz w:val="32"/>
        </w:rPr>
        <w:t>一、《收入支出决算总表》</w:t>
      </w:r>
    </w:p>
    <w:p w14:paraId="1121B640">
      <w:pPr>
        <w:spacing w:line="240" w:lineRule="auto"/>
        <w:ind w:firstLine="640"/>
        <w:jc w:val="both"/>
      </w:pPr>
      <w:r>
        <w:rPr>
          <w:rFonts w:ascii="仿宋_GB2312" w:hAnsi="仿宋_GB2312" w:eastAsia="仿宋_GB2312"/>
          <w:b w:val="0"/>
          <w:sz w:val="32"/>
        </w:rPr>
        <w:t>二、《收入决算表》</w:t>
      </w:r>
    </w:p>
    <w:p w14:paraId="0BD8DA9C">
      <w:pPr>
        <w:spacing w:line="240" w:lineRule="auto"/>
        <w:ind w:firstLine="640"/>
        <w:jc w:val="both"/>
      </w:pPr>
      <w:r>
        <w:rPr>
          <w:rFonts w:ascii="仿宋_GB2312" w:hAnsi="仿宋_GB2312" w:eastAsia="仿宋_GB2312"/>
          <w:b w:val="0"/>
          <w:sz w:val="32"/>
        </w:rPr>
        <w:t>三、《支出决算表》</w:t>
      </w:r>
    </w:p>
    <w:p w14:paraId="3CD82910">
      <w:pPr>
        <w:spacing w:line="240" w:lineRule="auto"/>
        <w:ind w:firstLine="640"/>
        <w:jc w:val="both"/>
      </w:pPr>
      <w:r>
        <w:rPr>
          <w:rFonts w:ascii="仿宋_GB2312" w:hAnsi="仿宋_GB2312" w:eastAsia="仿宋_GB2312"/>
          <w:b w:val="0"/>
          <w:sz w:val="32"/>
        </w:rPr>
        <w:t>四、《财政拨款收入支出决算总表》</w:t>
      </w:r>
    </w:p>
    <w:p w14:paraId="1F358F76">
      <w:pPr>
        <w:spacing w:line="240" w:lineRule="auto"/>
        <w:ind w:firstLine="640"/>
        <w:jc w:val="both"/>
      </w:pPr>
      <w:r>
        <w:rPr>
          <w:rFonts w:ascii="仿宋_GB2312" w:hAnsi="仿宋_GB2312" w:eastAsia="仿宋_GB2312"/>
          <w:b w:val="0"/>
          <w:sz w:val="32"/>
        </w:rPr>
        <w:t>五、《一般公共预算财政拨款支出决算表》</w:t>
      </w:r>
    </w:p>
    <w:p w14:paraId="59718FA3">
      <w:pPr>
        <w:spacing w:line="240" w:lineRule="auto"/>
        <w:ind w:firstLine="640"/>
        <w:jc w:val="both"/>
      </w:pPr>
      <w:r>
        <w:rPr>
          <w:rFonts w:ascii="仿宋_GB2312" w:hAnsi="仿宋_GB2312" w:eastAsia="仿宋_GB2312"/>
          <w:b w:val="0"/>
          <w:sz w:val="32"/>
        </w:rPr>
        <w:t>六、《一般公共预算财政拨款基本支出决算表》</w:t>
      </w:r>
    </w:p>
    <w:p w14:paraId="22CED561">
      <w:pPr>
        <w:spacing w:line="240" w:lineRule="auto"/>
        <w:ind w:firstLine="640"/>
        <w:jc w:val="both"/>
      </w:pPr>
      <w:r>
        <w:rPr>
          <w:rFonts w:ascii="仿宋_GB2312" w:hAnsi="仿宋_GB2312" w:eastAsia="仿宋_GB2312"/>
          <w:b w:val="0"/>
          <w:sz w:val="32"/>
        </w:rPr>
        <w:t>七、《政府性基金预算财政拨款收入支出决算表》</w:t>
      </w:r>
    </w:p>
    <w:p w14:paraId="01494B40">
      <w:pPr>
        <w:spacing w:line="240" w:lineRule="auto"/>
        <w:ind w:firstLine="640"/>
        <w:jc w:val="both"/>
      </w:pPr>
      <w:r>
        <w:rPr>
          <w:rFonts w:ascii="仿宋_GB2312" w:hAnsi="仿宋_GB2312" w:eastAsia="仿宋_GB2312"/>
          <w:b w:val="0"/>
          <w:sz w:val="32"/>
        </w:rPr>
        <w:t>八、《国有资本经营预算财政拨款收入支出决算表》</w:t>
      </w:r>
    </w:p>
    <w:p w14:paraId="00CA3910">
      <w:pPr>
        <w:spacing w:line="240" w:lineRule="auto"/>
        <w:ind w:firstLine="640"/>
        <w:jc w:val="both"/>
      </w:pPr>
      <w:r>
        <w:rPr>
          <w:rFonts w:ascii="仿宋_GB2312" w:hAnsi="仿宋_GB2312" w:eastAsia="仿宋_GB2312"/>
          <w:b w:val="0"/>
          <w:sz w:val="32"/>
        </w:rPr>
        <w:t>九、《财政拨款“三公”经费支出决算表》</w:t>
      </w:r>
    </w:p>
    <w:p w14:paraId="013B62BD">
      <w:pPr>
        <w:spacing w:line="240" w:lineRule="auto"/>
        <w:ind w:firstLine="640"/>
        <w:jc w:val="both"/>
      </w:pPr>
    </w:p>
    <w:p w14:paraId="1E9549AD">
      <w:pPr>
        <w:spacing w:line="240" w:lineRule="auto"/>
        <w:ind w:firstLine="640"/>
        <w:jc w:val="both"/>
      </w:pPr>
    </w:p>
    <w:p w14:paraId="061964E3">
      <w:pPr>
        <w:spacing w:line="240" w:lineRule="auto"/>
        <w:ind w:firstLine="640"/>
        <w:jc w:val="both"/>
      </w:pPr>
    </w:p>
    <w:p w14:paraId="4C97653E">
      <w:pPr>
        <w:spacing w:line="240" w:lineRule="auto"/>
        <w:ind w:firstLine="640"/>
        <w:jc w:val="both"/>
      </w:pPr>
    </w:p>
    <w:p w14:paraId="17DB235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7B3D96-387F-462A-8E29-FEDBB02D522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C2F97FB-BFE0-4D24-9A8C-72AE08FF97E1}"/>
  </w:font>
  <w:font w:name="仿宋_GB2312">
    <w:panose1 w:val="02010609030101010101"/>
    <w:charset w:val="86"/>
    <w:family w:val="modern"/>
    <w:pitch w:val="default"/>
    <w:sig w:usb0="00000001" w:usb1="080E0000" w:usb2="00000000" w:usb3="00000000" w:csb0="00040000" w:csb1="00000000"/>
    <w:embedRegular r:id="rId3" w:fontKey="{81D9ECBC-CCE6-4BBC-AD0D-1F0E0F4C31D3}"/>
  </w:font>
  <w:font w:name="楷体_GB2312">
    <w:panose1 w:val="02010609030101010101"/>
    <w:charset w:val="86"/>
    <w:family w:val="auto"/>
    <w:pitch w:val="default"/>
    <w:sig w:usb0="00000001" w:usb1="080E0000" w:usb2="00000000" w:usb3="00000000" w:csb0="00040000" w:csb1="00000000"/>
    <w:embedRegular r:id="rId4" w:fontKey="{028AAECA-8BA0-4D9B-966F-84606FE5066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54083F"/>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BED277E"/>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B90F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4474</Words>
  <Characters>5140</Characters>
  <Lines>0</Lines>
  <Paragraphs>0</Paragraphs>
  <TotalTime>2</TotalTime>
  <ScaleCrop>false</ScaleCrop>
  <LinksUpToDate>false</LinksUpToDate>
  <CharactersWithSpaces>5148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2025-09-16T09:09:50Z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