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A8AEFE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疏附县司法局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46CD01">
      <w:r>
        <w:br w:type="page"/>
      </w:r>
    </w:p>
    <w:p w14:paraId="00573222">
      <w:pPr>
        <w:spacing w:line="640" w:lineRule="exact"/>
        <w:jc w:val="center"/>
        <w:outlineLvl w:val="1"/>
      </w:pPr>
      <w:r>
        <w:rPr>
          <w:rFonts w:ascii="黑体" w:hAnsi="黑体" w:eastAsia="黑体"/>
          <w:sz w:val="32"/>
        </w:rPr>
        <w:t>第一部分 单位概况</w:t>
      </w:r>
    </w:p>
    <w:p w14:paraId="6959BDCC">
      <w:pPr>
        <w:spacing w:line="640" w:lineRule="exact"/>
        <w:ind w:firstLine="640"/>
        <w:jc w:val="both"/>
        <w:outlineLvl w:val="2"/>
      </w:pPr>
      <w:r>
        <w:rPr>
          <w:rFonts w:ascii="黑体" w:hAnsi="黑体" w:eastAsia="黑体"/>
          <w:sz w:val="32"/>
        </w:rPr>
        <w:t>一、主要职能</w:t>
      </w:r>
    </w:p>
    <w:p w14:paraId="670EAC2D">
      <w:pPr>
        <w:spacing w:line="580" w:lineRule="exact"/>
        <w:ind w:firstLine="640"/>
        <w:jc w:val="both"/>
      </w:pPr>
      <w:r>
        <w:rPr>
          <w:rFonts w:ascii="仿宋_GB2312" w:hAnsi="仿宋_GB2312" w:eastAsia="仿宋_GB2312"/>
          <w:sz w:val="32"/>
        </w:rPr>
        <w:t>（一）承担全面依法治县重大问题的政策研究，协调有关方面提出全面依法治县中长期规划建议。</w:t>
      </w:r>
    </w:p>
    <w:p w14:paraId="6F2B2F8A">
      <w:pPr>
        <w:spacing w:line="580" w:lineRule="exact"/>
        <w:ind w:firstLine="640"/>
        <w:jc w:val="both"/>
      </w:pPr>
      <w:r>
        <w:rPr>
          <w:rFonts w:ascii="仿宋_GB2312" w:hAnsi="仿宋_GB2312" w:eastAsia="仿宋_GB2312"/>
          <w:sz w:val="32"/>
        </w:rPr>
        <w:t>（二）负责行政规范性文件、重大行政决策的备案审核工作，指导行政规范性文件清理工作。</w:t>
      </w:r>
    </w:p>
    <w:p w14:paraId="51AF52C6">
      <w:pPr>
        <w:spacing w:line="580" w:lineRule="exact"/>
        <w:ind w:firstLine="640"/>
        <w:jc w:val="both"/>
      </w:pPr>
      <w:r>
        <w:rPr>
          <w:rFonts w:ascii="仿宋_GB2312" w:hAnsi="仿宋_GB2312" w:eastAsia="仿宋_GB2312"/>
          <w:sz w:val="32"/>
        </w:rPr>
        <w:t>（三）承担统筹推进法治政府建设的责任。指导督促县政府各级各部门依法行政工作。相对集中行使行政复议权，负责县政府有关行政复议、行政应诉等的办理工作。</w:t>
      </w:r>
    </w:p>
    <w:p w14:paraId="085C9F64">
      <w:pPr>
        <w:spacing w:line="580" w:lineRule="exact"/>
        <w:ind w:firstLine="640"/>
        <w:jc w:val="both"/>
      </w:pPr>
      <w:r>
        <w:rPr>
          <w:rFonts w:ascii="仿宋_GB2312" w:hAnsi="仿宋_GB2312" w:eastAsia="仿宋_GB2312"/>
          <w:sz w:val="32"/>
        </w:rPr>
        <w:t>（四）负责拟订公共法律服务体系建设规划并指导实施，统筹和布局城乡、区域法律服务资源。负责律师、法律援助、公证和基层法律服务管理工作。</w:t>
      </w:r>
    </w:p>
    <w:p w14:paraId="39FC41A9">
      <w:pPr>
        <w:spacing w:line="580" w:lineRule="exact"/>
        <w:ind w:firstLine="640"/>
        <w:jc w:val="both"/>
      </w:pPr>
      <w:r>
        <w:rPr>
          <w:rFonts w:ascii="仿宋_GB2312" w:hAnsi="仿宋_GB2312" w:eastAsia="仿宋_GB2312"/>
          <w:sz w:val="32"/>
        </w:rPr>
        <w:t>（五）完成县委、县政府交办的其他任务。</w:t>
      </w:r>
    </w:p>
    <w:p w14:paraId="50D4E87C">
      <w:pPr>
        <w:spacing w:line="640" w:lineRule="exact"/>
        <w:ind w:firstLine="640"/>
        <w:jc w:val="both"/>
        <w:outlineLvl w:val="2"/>
      </w:pPr>
      <w:r>
        <w:rPr>
          <w:rFonts w:ascii="黑体" w:hAnsi="黑体" w:eastAsia="黑体"/>
          <w:sz w:val="32"/>
        </w:rPr>
        <w:t>二、机构设置及人员情况</w:t>
      </w:r>
    </w:p>
    <w:p w14:paraId="05B24D1D">
      <w:pPr>
        <w:spacing w:line="580" w:lineRule="exact"/>
        <w:ind w:firstLine="640"/>
        <w:jc w:val="both"/>
      </w:pPr>
      <w:r>
        <w:rPr>
          <w:rFonts w:ascii="仿宋_GB2312" w:hAnsi="仿宋_GB2312" w:eastAsia="仿宋_GB2312"/>
          <w:sz w:val="32"/>
        </w:rPr>
        <w:t>疏附县司法局2024年度，实有人数62人，其中：在职人员43人，增加1人；离休人员0人，增加0人；退休人员19人,增加12人。</w:t>
      </w:r>
    </w:p>
    <w:p w14:paraId="2C006A90">
      <w:pPr>
        <w:spacing w:line="580" w:lineRule="exact"/>
        <w:ind w:firstLine="640"/>
        <w:jc w:val="both"/>
      </w:pPr>
      <w:r>
        <w:rPr>
          <w:rFonts w:ascii="仿宋_GB2312" w:hAnsi="仿宋_GB2312" w:eastAsia="仿宋_GB2312"/>
          <w:sz w:val="32"/>
        </w:rPr>
        <w:t>疏附县司法局无下属预算单位，下设2个科室，分别是：办公室、财务室。</w:t>
      </w:r>
    </w:p>
    <w:p w14:paraId="41074649">
      <w:r>
        <w:br w:type="page"/>
      </w:r>
    </w:p>
    <w:p w14:paraId="77CFBC0B">
      <w:pPr>
        <w:spacing w:line="240" w:lineRule="auto"/>
        <w:jc w:val="center"/>
        <w:outlineLvl w:val="1"/>
      </w:pPr>
      <w:r>
        <w:rPr>
          <w:rFonts w:ascii="黑体" w:hAnsi="黑体" w:eastAsia="黑体"/>
          <w:sz w:val="32"/>
        </w:rPr>
        <w:t>第二部分 部门决算情况说明</w:t>
      </w:r>
    </w:p>
    <w:p w14:paraId="6E7489C2">
      <w:pPr>
        <w:spacing w:line="640" w:lineRule="exact"/>
        <w:ind w:firstLine="640"/>
        <w:jc w:val="both"/>
        <w:outlineLvl w:val="2"/>
      </w:pPr>
      <w:r>
        <w:rPr>
          <w:rFonts w:ascii="黑体" w:hAnsi="黑体" w:eastAsia="黑体"/>
          <w:sz w:val="32"/>
        </w:rPr>
        <w:t>一、收入支出决算总体情况说明</w:t>
      </w:r>
    </w:p>
    <w:p w14:paraId="7FF87524">
      <w:pPr>
        <w:spacing w:line="580" w:lineRule="exact"/>
        <w:ind w:firstLine="640"/>
        <w:jc w:val="both"/>
      </w:pPr>
      <w:r>
        <w:rPr>
          <w:rFonts w:ascii="仿宋_GB2312" w:hAnsi="仿宋_GB2312" w:eastAsia="仿宋_GB2312"/>
          <w:b/>
          <w:sz w:val="32"/>
        </w:rPr>
        <w:t>2024年度收入总计1,391.18万元，</w:t>
      </w:r>
      <w:r>
        <w:rPr>
          <w:rFonts w:ascii="仿宋_GB2312" w:hAnsi="仿宋_GB2312" w:eastAsia="仿宋_GB2312"/>
          <w:b w:val="0"/>
          <w:sz w:val="32"/>
        </w:rPr>
        <w:t>其中：本年收入合计1,391.18万元，使用非财政拨款结余（含专用结余）0.00万元，年初结转和结余0.00万元。</w:t>
      </w:r>
    </w:p>
    <w:p w14:paraId="7D36EEDC">
      <w:pPr>
        <w:spacing w:line="580" w:lineRule="exact"/>
        <w:ind w:firstLine="640"/>
        <w:jc w:val="both"/>
      </w:pPr>
      <w:r>
        <w:rPr>
          <w:rFonts w:ascii="仿宋_GB2312" w:hAnsi="仿宋_GB2312" w:eastAsia="仿宋_GB2312"/>
          <w:b/>
          <w:sz w:val="32"/>
        </w:rPr>
        <w:t>2024年度支出总计1,391.18万元，</w:t>
      </w:r>
      <w:r>
        <w:rPr>
          <w:rFonts w:ascii="仿宋_GB2312" w:hAnsi="仿宋_GB2312" w:eastAsia="仿宋_GB2312"/>
          <w:b w:val="0"/>
          <w:sz w:val="32"/>
        </w:rPr>
        <w:t>其中：本年支出合计1,391.18万元，结余分配0.00万元，年末结转和结余0.00万元。</w:t>
      </w:r>
    </w:p>
    <w:p w14:paraId="428E83D1">
      <w:pPr>
        <w:spacing w:line="580" w:lineRule="exact"/>
        <w:ind w:firstLine="640"/>
        <w:jc w:val="both"/>
      </w:pPr>
      <w:r>
        <w:rPr>
          <w:rFonts w:ascii="仿宋_GB2312" w:hAnsi="仿宋_GB2312" w:eastAsia="仿宋_GB2312"/>
          <w:b w:val="0"/>
          <w:sz w:val="32"/>
        </w:rPr>
        <w:t>收入支出总体与上年相比，增加376.62万元，增长37.12%，主要原因是：本年在职人员工资调增，社保、公积金基数调增，人员经费增加，新增退休人员</w:t>
      </w:r>
      <w:r>
        <w:rPr>
          <w:rFonts w:hint="eastAsia" w:ascii="仿宋_GB2312" w:hAnsi="仿宋_GB2312" w:eastAsia="仿宋_GB2312"/>
          <w:b w:val="0"/>
          <w:sz w:val="32"/>
          <w:lang w:val="en-US" w:eastAsia="zh-CN"/>
        </w:rPr>
        <w:t>增加</w:t>
      </w:r>
      <w:r>
        <w:rPr>
          <w:rFonts w:ascii="仿宋_GB2312" w:hAnsi="仿宋_GB2312" w:eastAsia="仿宋_GB2312"/>
          <w:b w:val="0"/>
          <w:sz w:val="32"/>
        </w:rPr>
        <w:t>，职业年金缴费支出增加，增加专项项目经费，导致相关经费增加。</w:t>
      </w:r>
    </w:p>
    <w:p w14:paraId="36F353EE">
      <w:pPr>
        <w:spacing w:line="640" w:lineRule="exact"/>
        <w:ind w:firstLine="640"/>
        <w:jc w:val="both"/>
        <w:outlineLvl w:val="2"/>
      </w:pPr>
      <w:r>
        <w:rPr>
          <w:rFonts w:ascii="黑体" w:hAnsi="黑体" w:eastAsia="黑体"/>
          <w:sz w:val="32"/>
        </w:rPr>
        <w:t>二、收入决算情况说明</w:t>
      </w:r>
    </w:p>
    <w:p w14:paraId="082F016B">
      <w:pPr>
        <w:spacing w:line="580" w:lineRule="exact"/>
        <w:ind w:firstLine="640"/>
        <w:jc w:val="both"/>
      </w:pPr>
      <w:r>
        <w:rPr>
          <w:rFonts w:ascii="仿宋_GB2312" w:hAnsi="仿宋_GB2312" w:eastAsia="仿宋_GB2312"/>
          <w:b/>
          <w:sz w:val="32"/>
        </w:rPr>
        <w:t>本年收入1,391.18万元，</w:t>
      </w:r>
      <w:r>
        <w:rPr>
          <w:rFonts w:ascii="仿宋_GB2312" w:hAnsi="仿宋_GB2312" w:eastAsia="仿宋_GB2312"/>
          <w:b w:val="0"/>
          <w:sz w:val="32"/>
        </w:rPr>
        <w:t>其中：财政拨款收入1,334.29万元，占95.91%；上级补助收入0.00万元，占0.00%；事业收入0.00万元，占0.00%；经营收入0.00万元，占0.00%；附属单位上缴收入0.00万元，占0.00%；其他收入56.89万元，占4.09%。</w:t>
      </w:r>
    </w:p>
    <w:p w14:paraId="79127A78">
      <w:pPr>
        <w:spacing w:line="640" w:lineRule="exact"/>
        <w:ind w:firstLine="640"/>
        <w:jc w:val="both"/>
        <w:outlineLvl w:val="2"/>
      </w:pPr>
      <w:r>
        <w:rPr>
          <w:rFonts w:ascii="黑体" w:hAnsi="黑体" w:eastAsia="黑体"/>
          <w:sz w:val="32"/>
        </w:rPr>
        <w:t>三、支出决算情况说明</w:t>
      </w:r>
    </w:p>
    <w:p w14:paraId="42E7FB04">
      <w:pPr>
        <w:spacing w:line="580" w:lineRule="exact"/>
        <w:ind w:firstLine="640"/>
        <w:jc w:val="both"/>
      </w:pPr>
      <w:r>
        <w:rPr>
          <w:rFonts w:ascii="仿宋_GB2312" w:hAnsi="仿宋_GB2312" w:eastAsia="仿宋_GB2312"/>
          <w:b/>
          <w:sz w:val="32"/>
        </w:rPr>
        <w:t>本年支出1,391.18万元，</w:t>
      </w:r>
      <w:r>
        <w:rPr>
          <w:rFonts w:ascii="仿宋_GB2312" w:hAnsi="仿宋_GB2312" w:eastAsia="仿宋_GB2312"/>
          <w:b w:val="0"/>
          <w:sz w:val="32"/>
        </w:rPr>
        <w:t>其中：基本支出933.88万元，占67.13%；项目支出457.30万元，占32.87%；上缴上级支出0.00万元，占0.00%；经营支出0.00万元，占0.00%；对附属单位补助支出0.00万元，占0.00%。</w:t>
      </w:r>
    </w:p>
    <w:p w14:paraId="3B8B6CE5">
      <w:pPr>
        <w:spacing w:line="640" w:lineRule="exact"/>
        <w:ind w:firstLine="640"/>
        <w:jc w:val="both"/>
        <w:outlineLvl w:val="2"/>
      </w:pPr>
      <w:r>
        <w:rPr>
          <w:rFonts w:ascii="黑体" w:hAnsi="黑体" w:eastAsia="黑体"/>
          <w:sz w:val="32"/>
        </w:rPr>
        <w:t>四、财政拨款收入支出决算总体情况说明</w:t>
      </w:r>
    </w:p>
    <w:p w14:paraId="7ED78E79">
      <w:pPr>
        <w:spacing w:line="580" w:lineRule="exact"/>
        <w:ind w:firstLine="640"/>
        <w:jc w:val="both"/>
      </w:pPr>
      <w:r>
        <w:rPr>
          <w:rFonts w:ascii="仿宋_GB2312" w:hAnsi="仿宋_GB2312" w:eastAsia="仿宋_GB2312"/>
          <w:b/>
          <w:sz w:val="32"/>
        </w:rPr>
        <w:t>2024年度财政拨款收入总计1,334.29万元，</w:t>
      </w:r>
      <w:r>
        <w:rPr>
          <w:rFonts w:ascii="仿宋_GB2312" w:hAnsi="仿宋_GB2312" w:eastAsia="仿宋_GB2312"/>
          <w:b w:val="0"/>
          <w:sz w:val="32"/>
        </w:rPr>
        <w:t>其中：年初财政拨款结转和结余0.00万元，本年财政拨款收入1,334.29万元。</w:t>
      </w:r>
      <w:r>
        <w:rPr>
          <w:rFonts w:ascii="仿宋_GB2312" w:hAnsi="仿宋_GB2312" w:eastAsia="仿宋_GB2312"/>
          <w:b/>
          <w:sz w:val="32"/>
        </w:rPr>
        <w:t>财政拨款支出总计1,334.29万元，</w:t>
      </w:r>
      <w:r>
        <w:rPr>
          <w:rFonts w:ascii="仿宋_GB2312" w:hAnsi="仿宋_GB2312" w:eastAsia="仿宋_GB2312"/>
          <w:b w:val="0"/>
          <w:sz w:val="32"/>
        </w:rPr>
        <w:t>其中：年末财政拨款结转和结余0.00万元，本年财政拨款支出1,334.29万元。</w:t>
      </w:r>
    </w:p>
    <w:p w14:paraId="21A3C9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增加379.73万元，增长39.78%，主要原因是：本年在职人员工资调增，社保、公积金基数调增，人员经费增加，新增退休人员</w:t>
      </w:r>
      <w:r>
        <w:rPr>
          <w:rFonts w:hint="eastAsia" w:ascii="仿宋_GB2312" w:hAnsi="仿宋_GB2312" w:eastAsia="仿宋_GB2312"/>
          <w:b w:val="0"/>
          <w:sz w:val="32"/>
          <w:lang w:val="en-US" w:eastAsia="zh-CN"/>
        </w:rPr>
        <w:t>增加</w:t>
      </w:r>
      <w:r>
        <w:rPr>
          <w:rFonts w:ascii="仿宋_GB2312" w:hAnsi="仿宋_GB2312" w:eastAsia="仿宋_GB2312"/>
          <w:b w:val="0"/>
          <w:sz w:val="32"/>
        </w:rPr>
        <w:t>，职业年金缴费支出增加，增加专项项目经费，导致相关经费增加。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年初预算数1,041.35万元，决算数1,334.29万元，预决算差异率28.13%，主要原因是：年中追加人员工资、社保、公积金基数调增部分资金，年中追加专项项目经费，导致预决算存在差异。</w:t>
      </w:r>
    </w:p>
    <w:p w14:paraId="6E42A41C">
      <w:pPr>
        <w:spacing w:line="640" w:lineRule="exact"/>
        <w:ind w:firstLine="640"/>
        <w:jc w:val="both"/>
        <w:outlineLvl w:val="2"/>
      </w:pPr>
      <w:r>
        <w:rPr>
          <w:rFonts w:ascii="黑体" w:hAnsi="黑体" w:eastAsia="黑体"/>
          <w:sz w:val="32"/>
        </w:rPr>
        <w:t>五、一般公共预算财政拨款支出决算情况说明</w:t>
      </w:r>
    </w:p>
    <w:p w14:paraId="33CDE22F">
      <w:pPr>
        <w:spacing w:line="640" w:lineRule="exact"/>
        <w:ind w:firstLine="640"/>
        <w:jc w:val="both"/>
        <w:outlineLvl w:val="3"/>
      </w:pPr>
      <w:r>
        <w:rPr>
          <w:rFonts w:ascii="楷体_GB2312" w:hAnsi="楷体_GB2312" w:eastAsia="楷体_GB2312"/>
          <w:b/>
          <w:sz w:val="32"/>
        </w:rPr>
        <w:t>（一）一般公共预算财政拨款支出决算总体情况</w:t>
      </w:r>
    </w:p>
    <w:p w14:paraId="777D099C">
      <w:pPr>
        <w:spacing w:line="580" w:lineRule="exact"/>
        <w:ind w:firstLine="640"/>
        <w:jc w:val="both"/>
      </w:pPr>
      <w:r>
        <w:rPr>
          <w:rFonts w:ascii="仿宋_GB2312" w:hAnsi="仿宋_GB2312" w:eastAsia="仿宋_GB2312"/>
          <w:b/>
          <w:sz w:val="32"/>
        </w:rPr>
        <w:t>2024年度一般公共预算财政拨款支出1,334.29万元，</w:t>
      </w:r>
      <w:r>
        <w:rPr>
          <w:rFonts w:ascii="仿宋_GB2312" w:hAnsi="仿宋_GB2312" w:eastAsia="仿宋_GB2312"/>
          <w:b w:val="0"/>
          <w:sz w:val="32"/>
        </w:rPr>
        <w:t>占本年支出合计的95.91%。</w:t>
      </w:r>
      <w:r>
        <w:rPr>
          <w:rFonts w:ascii="仿宋_GB2312" w:hAnsi="仿宋_GB2312" w:eastAsia="仿宋_GB2312"/>
          <w:b/>
          <w:sz w:val="32"/>
        </w:rPr>
        <w:t>与上年相比，</w:t>
      </w:r>
      <w:r>
        <w:rPr>
          <w:rFonts w:ascii="仿宋_GB2312" w:hAnsi="仿宋_GB2312" w:eastAsia="仿宋_GB2312"/>
          <w:b w:val="0"/>
          <w:sz w:val="32"/>
        </w:rPr>
        <w:t>增加379.73万元，增长39.78%，主要原因是：本年在职人员工资调增，社保、公积金基数调增，人员经费增加，新增退休人员</w:t>
      </w:r>
      <w:r>
        <w:rPr>
          <w:rFonts w:hint="eastAsia" w:ascii="仿宋_GB2312" w:hAnsi="仿宋_GB2312" w:eastAsia="仿宋_GB2312"/>
          <w:b w:val="0"/>
          <w:sz w:val="32"/>
          <w:lang w:val="en-US" w:eastAsia="zh-CN"/>
        </w:rPr>
        <w:t>增加</w:t>
      </w:r>
      <w:r>
        <w:rPr>
          <w:rFonts w:ascii="仿宋_GB2312" w:hAnsi="仿宋_GB2312" w:eastAsia="仿宋_GB2312"/>
          <w:b w:val="0"/>
          <w:sz w:val="32"/>
        </w:rPr>
        <w:t>，职业年金缴费支出增加，增加专项项目经费，导致相关经费增加。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年初预算数1,041.35万元，决算数1,334.29万元，预决算差异率28.13%，主要原因是：年中追加人员工资、社保、公积金基数调增部分资金，年中追加专项项目经费，导致预决算存在差异。</w:t>
      </w:r>
    </w:p>
    <w:p w14:paraId="56D9B814">
      <w:pPr>
        <w:spacing w:line="640" w:lineRule="exact"/>
        <w:ind w:firstLine="640"/>
        <w:jc w:val="both"/>
        <w:outlineLvl w:val="3"/>
      </w:pPr>
      <w:r>
        <w:rPr>
          <w:rFonts w:ascii="楷体_GB2312" w:hAnsi="楷体_GB2312" w:eastAsia="楷体_GB2312"/>
          <w:b/>
          <w:sz w:val="32"/>
        </w:rPr>
        <w:t>（二）一般公共预算财政拨款支出决算结构情况</w:t>
      </w:r>
    </w:p>
    <w:p w14:paraId="0AC382C5">
      <w:pPr>
        <w:spacing w:line="580" w:lineRule="exact"/>
        <w:ind w:firstLine="640"/>
        <w:jc w:val="both"/>
      </w:pPr>
      <w:r>
        <w:rPr>
          <w:rFonts w:ascii="仿宋_GB2312" w:hAnsi="仿宋_GB2312" w:eastAsia="仿宋_GB2312"/>
          <w:b w:val="0"/>
          <w:sz w:val="32"/>
        </w:rPr>
        <w:t>1.公共安全支出(类)1,055.33万元,占79.09%。</w:t>
      </w:r>
    </w:p>
    <w:p w14:paraId="787B30E3">
      <w:pPr>
        <w:spacing w:line="580" w:lineRule="exact"/>
        <w:ind w:firstLine="640"/>
        <w:jc w:val="both"/>
      </w:pPr>
      <w:r>
        <w:rPr>
          <w:rFonts w:ascii="仿宋_GB2312" w:hAnsi="仿宋_GB2312" w:eastAsia="仿宋_GB2312"/>
          <w:b w:val="0"/>
          <w:sz w:val="32"/>
        </w:rPr>
        <w:t>2.社会保障和就业支出(类)169.61万元,占12.71%。</w:t>
      </w:r>
    </w:p>
    <w:p w14:paraId="6F2F5DFD">
      <w:pPr>
        <w:spacing w:line="580" w:lineRule="exact"/>
        <w:ind w:firstLine="640"/>
        <w:jc w:val="both"/>
      </w:pPr>
      <w:r>
        <w:rPr>
          <w:rFonts w:ascii="仿宋_GB2312" w:hAnsi="仿宋_GB2312" w:eastAsia="仿宋_GB2312"/>
          <w:b w:val="0"/>
          <w:sz w:val="32"/>
        </w:rPr>
        <w:t>3.卫生健康支出(类)42.85万元,占3.21%。</w:t>
      </w:r>
    </w:p>
    <w:p w14:paraId="62BBE50F">
      <w:pPr>
        <w:spacing w:line="580" w:lineRule="exact"/>
        <w:ind w:firstLine="640"/>
        <w:jc w:val="both"/>
      </w:pPr>
      <w:r>
        <w:rPr>
          <w:rFonts w:ascii="仿宋_GB2312" w:hAnsi="仿宋_GB2312" w:eastAsia="仿宋_GB2312"/>
          <w:b w:val="0"/>
          <w:sz w:val="32"/>
        </w:rPr>
        <w:t>4.住房保障支出(类)63.32万元,占4.75%。</w:t>
      </w:r>
    </w:p>
    <w:p w14:paraId="009C13E3">
      <w:pPr>
        <w:spacing w:line="580" w:lineRule="exact"/>
        <w:ind w:firstLine="640"/>
        <w:jc w:val="both"/>
      </w:pPr>
      <w:r>
        <w:rPr>
          <w:rFonts w:ascii="仿宋_GB2312" w:hAnsi="仿宋_GB2312" w:eastAsia="仿宋_GB2312"/>
          <w:b w:val="0"/>
          <w:sz w:val="32"/>
        </w:rPr>
        <w:t>5.其他支出(类)3.17万元,占0.24%。</w:t>
      </w:r>
    </w:p>
    <w:p w14:paraId="63137CD0">
      <w:pPr>
        <w:spacing w:line="640" w:lineRule="exact"/>
        <w:ind w:firstLine="640"/>
        <w:jc w:val="both"/>
        <w:outlineLvl w:val="3"/>
      </w:pPr>
      <w:r>
        <w:rPr>
          <w:rFonts w:ascii="楷体_GB2312" w:hAnsi="楷体_GB2312" w:eastAsia="楷体_GB2312"/>
          <w:b/>
          <w:sz w:val="32"/>
        </w:rPr>
        <w:t>（三）一般公共预算财政拨款支出决算具体情况</w:t>
      </w:r>
    </w:p>
    <w:p w14:paraId="211A3193">
      <w:pPr>
        <w:spacing w:line="580" w:lineRule="exact"/>
        <w:ind w:firstLine="640"/>
        <w:jc w:val="both"/>
      </w:pPr>
      <w:r>
        <w:rPr>
          <w:rFonts w:ascii="仿宋_GB2312" w:hAnsi="仿宋_GB2312" w:eastAsia="仿宋_GB2312"/>
          <w:b w:val="0"/>
          <w:sz w:val="32"/>
        </w:rPr>
        <w:t>1.公共安全支出(类)司法(款)行政运行(项):支出决算数为658.09万元，比上年决算增加47.90万元，增长7.85%,主要原因是：本年在职人员工资调增，导致相关人员经费较上年有所增加。</w:t>
      </w:r>
    </w:p>
    <w:p w14:paraId="795D678E">
      <w:pPr>
        <w:spacing w:line="580" w:lineRule="exact"/>
        <w:ind w:firstLine="640"/>
        <w:jc w:val="both"/>
      </w:pPr>
      <w:r>
        <w:rPr>
          <w:rFonts w:ascii="仿宋_GB2312" w:hAnsi="仿宋_GB2312" w:eastAsia="仿宋_GB2312"/>
          <w:b w:val="0"/>
          <w:sz w:val="32"/>
        </w:rPr>
        <w:t>2.公共安全支出(类)司法(款)一般行政管理事务(项):支出决算数为48.57万元，比上年决算增加48.57万元，增长100.00%,主要原因是：本年增加2024年司法局业务工作经费，导致相关经费增加。</w:t>
      </w:r>
    </w:p>
    <w:p w14:paraId="3DD32110">
      <w:pPr>
        <w:spacing w:line="580" w:lineRule="exact"/>
        <w:ind w:firstLine="640"/>
        <w:jc w:val="both"/>
      </w:pPr>
      <w:r>
        <w:rPr>
          <w:rFonts w:ascii="仿宋_GB2312" w:hAnsi="仿宋_GB2312" w:eastAsia="仿宋_GB2312"/>
          <w:b w:val="0"/>
          <w:sz w:val="32"/>
        </w:rPr>
        <w:t>3.公共安全支出(类)司法(款)其他司法支出(项):支出决算数为348.67万元，比上年决算增加182.53万元，增长109.87%,主要原因是：本年增加专项项目经费，导致相关经费增加。</w:t>
      </w:r>
    </w:p>
    <w:p w14:paraId="448C88EA">
      <w:pPr>
        <w:spacing w:line="580" w:lineRule="exact"/>
        <w:ind w:firstLine="640"/>
        <w:jc w:val="both"/>
      </w:pPr>
      <w:r>
        <w:rPr>
          <w:rFonts w:ascii="仿宋_GB2312" w:hAnsi="仿宋_GB2312" w:eastAsia="仿宋_GB2312"/>
          <w:b w:val="0"/>
          <w:sz w:val="32"/>
        </w:rPr>
        <w:t>4.公共安全支出(类)其他公共安全支出(款)其他公共安全支出(项):支出决算数为0.00万元，比上年决算减少1.00万元，下降100.00%,主要原因是：本年减少专项项目经费，导致相关经费减少。</w:t>
      </w:r>
    </w:p>
    <w:p w14:paraId="131EE2BD">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5.社会保障和就业支出(类)行政事业单位养老支出(款)行政单位离退休(项):支出决算数为22.82万元，比上年决算增加15.50万元，增长211.75%,主要原因是：本年退休人员增加，退休费支出增加。</w:t>
      </w:r>
    </w:p>
    <w:p w14:paraId="2DFFBBD5">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82.22万元，比上年决算增加10.63万元，增长14.85%,主要原因是：本年在职人员工资基数调增，养老缴费基数上涨，相应支出增加。</w:t>
      </w:r>
    </w:p>
    <w:p w14:paraId="4AE1E3F2">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7.社会保障和就业支出(类)行政事业单位养老支出(款)机关事业单位职业年金缴费支出(项):支出决算数为64.57万元，比上年决算增加64.57万元，增长100.00%,主要原因是：本年新增退休人员，职业年金缴费支出增加。</w:t>
      </w:r>
    </w:p>
    <w:p w14:paraId="046C5ED9">
      <w:pPr>
        <w:spacing w:line="580" w:lineRule="exact"/>
        <w:ind w:firstLine="640"/>
        <w:jc w:val="both"/>
      </w:pPr>
      <w:r>
        <w:rPr>
          <w:rFonts w:ascii="仿宋_GB2312" w:hAnsi="仿宋_GB2312" w:eastAsia="仿宋_GB2312"/>
          <w:b w:val="0"/>
          <w:sz w:val="32"/>
        </w:rPr>
        <w:t>8.卫生健康支出(类)行政事业单位医疗(款)行政单位医疗(项):支出决算数为34.94万元，比上年决算增加4.90万元，增长16.31%,主要原因是：本年在职人员工资基数调增，医疗缴费基数上涨，相应支出增加。</w:t>
      </w:r>
    </w:p>
    <w:p w14:paraId="2EEA170F">
      <w:pPr>
        <w:spacing w:line="580" w:lineRule="exact"/>
        <w:ind w:firstLine="640"/>
        <w:jc w:val="both"/>
      </w:pPr>
      <w:r>
        <w:rPr>
          <w:rFonts w:ascii="仿宋_GB2312" w:hAnsi="仿宋_GB2312" w:eastAsia="仿宋_GB2312"/>
          <w:b w:val="0"/>
          <w:sz w:val="32"/>
        </w:rPr>
        <w:t>9.卫生健康支出(类)行政事业单位医疗(款)公务员医疗补助(项):支出决算数为7.91万元，比上年决算减少0.71万元，下降8.24%,主要原因是：本年在职人员调入调出，人员职级不同，缴费基数不同，导致公务员医疗补助较上年减少。</w:t>
      </w:r>
    </w:p>
    <w:p w14:paraId="7B72A703">
      <w:pPr>
        <w:spacing w:line="580" w:lineRule="exact"/>
        <w:ind w:firstLine="640"/>
        <w:jc w:val="both"/>
      </w:pPr>
      <w:r>
        <w:rPr>
          <w:rFonts w:ascii="仿宋_GB2312" w:hAnsi="仿宋_GB2312" w:eastAsia="仿宋_GB2312"/>
          <w:b w:val="0"/>
          <w:sz w:val="32"/>
        </w:rPr>
        <w:t>10.住房保障支出(类)住房改革支出(款)住房公积金(项):支出决算数为63.32万元，比上年决算增加3.65万元，增长6.12%,主要原因是：本年在职人员工资基数调增，公积金缴费基数上涨，相应支出增加。</w:t>
      </w:r>
    </w:p>
    <w:p w14:paraId="2ABF4EAC">
      <w:pPr>
        <w:spacing w:line="580" w:lineRule="exact"/>
        <w:ind w:firstLine="640"/>
        <w:jc w:val="both"/>
      </w:pPr>
      <w:r>
        <w:rPr>
          <w:rFonts w:ascii="仿宋_GB2312" w:hAnsi="仿宋_GB2312" w:eastAsia="仿宋_GB2312"/>
          <w:b w:val="0"/>
          <w:sz w:val="32"/>
        </w:rPr>
        <w:t>11.其他支出(类)其他支出(款)其他支出(项):支出决算数为3.17万元，比上年决算增加3.17万元，增长100.00%,主要原因是：本年增加2024年为民办实事项目经费，导致相关经费增加。</w:t>
      </w:r>
    </w:p>
    <w:p w14:paraId="70EC6654">
      <w:pPr>
        <w:spacing w:line="640" w:lineRule="exact"/>
        <w:ind w:firstLine="640"/>
        <w:jc w:val="both"/>
        <w:outlineLvl w:val="2"/>
      </w:pPr>
      <w:r>
        <w:rPr>
          <w:rFonts w:ascii="黑体" w:hAnsi="黑体" w:eastAsia="黑体"/>
          <w:sz w:val="32"/>
        </w:rPr>
        <w:t>六、一般公共预算财政拨款基本支出决算情况说明</w:t>
      </w:r>
    </w:p>
    <w:p w14:paraId="662CC57E">
      <w:pPr>
        <w:spacing w:line="580" w:lineRule="exact"/>
        <w:ind w:firstLine="640"/>
        <w:jc w:val="both"/>
      </w:pPr>
      <w:r>
        <w:rPr>
          <w:rFonts w:ascii="仿宋_GB2312" w:hAnsi="仿宋_GB2312" w:eastAsia="仿宋_GB2312"/>
          <w:b w:val="0"/>
          <w:sz w:val="32"/>
        </w:rPr>
        <w:t>2024年度一般公共预算财政拨款基本支出933.88万元，其中：</w:t>
      </w:r>
      <w:r>
        <w:rPr>
          <w:rFonts w:ascii="仿宋_GB2312" w:hAnsi="仿宋_GB2312" w:eastAsia="仿宋_GB2312"/>
          <w:b/>
          <w:sz w:val="32"/>
        </w:rPr>
        <w:t>人员经费904.43万元，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282197BD">
      <w:pPr>
        <w:spacing w:line="580" w:lineRule="exact"/>
        <w:ind w:firstLine="640"/>
        <w:jc w:val="both"/>
      </w:pPr>
      <w:r>
        <w:rPr>
          <w:rFonts w:ascii="仿宋_GB2312" w:hAnsi="仿宋_GB2312" w:eastAsia="仿宋_GB2312"/>
          <w:b/>
          <w:sz w:val="32"/>
        </w:rPr>
        <w:t>公用经费29.45万元，</w:t>
      </w:r>
      <w:r>
        <w:rPr>
          <w:rFonts w:ascii="仿宋_GB2312" w:hAnsi="仿宋_GB2312" w:eastAsia="仿宋_GB2312"/>
          <w:b w:val="0"/>
          <w:sz w:val="32"/>
        </w:rPr>
        <w:t>包括：办公费、水费、电费、邮电费、取暖费、差旅费、公务用车运行维护费、其他交通费用。</w:t>
      </w:r>
    </w:p>
    <w:p w14:paraId="2505077B">
      <w:pPr>
        <w:spacing w:line="640" w:lineRule="exact"/>
        <w:ind w:firstLine="640"/>
        <w:jc w:val="both"/>
        <w:outlineLvl w:val="2"/>
      </w:pPr>
      <w:r>
        <w:rPr>
          <w:rFonts w:ascii="黑体" w:hAnsi="黑体" w:eastAsia="黑体"/>
          <w:sz w:val="32"/>
        </w:rPr>
        <w:t>七、政府性基金预算财政拨款收入支出决算情况说明</w:t>
      </w:r>
    </w:p>
    <w:p w14:paraId="159B839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8BD920">
      <w:pPr>
        <w:spacing w:line="640" w:lineRule="exact"/>
        <w:ind w:firstLine="640"/>
        <w:jc w:val="both"/>
        <w:outlineLvl w:val="2"/>
      </w:pPr>
      <w:r>
        <w:rPr>
          <w:rFonts w:ascii="黑体" w:hAnsi="黑体" w:eastAsia="黑体"/>
          <w:sz w:val="32"/>
        </w:rPr>
        <w:t>八、国有资本经营预算财政拨款收入支出决算情况说明</w:t>
      </w:r>
    </w:p>
    <w:p w14:paraId="03ACEF0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41B1A52">
      <w:pPr>
        <w:spacing w:line="640" w:lineRule="exact"/>
        <w:ind w:firstLine="640"/>
        <w:jc w:val="both"/>
        <w:outlineLvl w:val="2"/>
      </w:pPr>
      <w:r>
        <w:rPr>
          <w:rFonts w:ascii="黑体" w:hAnsi="黑体" w:eastAsia="黑体"/>
          <w:sz w:val="32"/>
        </w:rPr>
        <w:t>九、财政拨款“三公”经费支出决算情况说明</w:t>
      </w:r>
    </w:p>
    <w:p w14:paraId="5B82854B">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1.78万元，增长125.35%，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3.20万元，占100.00%，比上年增加1.78万元，增长125.35%，主要原因是：本年因业务需求，用车次数增加，燃油费增加，导致公务用车运行维护费较上年增加。公务接待费支出0.00万元，占0.00%，比上年增加0.00万元，增长0.00%，主要原因是：2023年与2024年均未安排公务接待费支出。</w:t>
      </w:r>
    </w:p>
    <w:p w14:paraId="7AD203C3">
      <w:pPr>
        <w:spacing w:line="580" w:lineRule="exact"/>
        <w:ind w:firstLine="640"/>
        <w:jc w:val="both"/>
      </w:pPr>
      <w:r>
        <w:rPr>
          <w:rFonts w:ascii="仿宋_GB2312" w:hAnsi="仿宋_GB2312" w:eastAsia="仿宋_GB2312"/>
          <w:b/>
          <w:sz w:val="32"/>
        </w:rPr>
        <w:t>具体情况如下：</w:t>
      </w:r>
    </w:p>
    <w:p w14:paraId="5ED2F75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F6163E">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审车费、过路费等。公务用车购置数0辆，公务用车保有量14辆。国有资产占用情况中固定资产车辆20辆，与公务用车保有量差异原因是：本单位车辆借给其他单位使用，车辆费用由使用单位支付。</w:t>
      </w:r>
    </w:p>
    <w:p w14:paraId="7BBCD04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323A5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13FF91CF">
      <w:pPr>
        <w:spacing w:line="640" w:lineRule="exact"/>
        <w:ind w:firstLine="640"/>
        <w:jc w:val="both"/>
        <w:outlineLvl w:val="2"/>
      </w:pPr>
      <w:r>
        <w:rPr>
          <w:rFonts w:ascii="黑体" w:hAnsi="黑体" w:eastAsia="黑体"/>
          <w:sz w:val="32"/>
        </w:rPr>
        <w:t>十、其他重要事项的情况说明</w:t>
      </w:r>
    </w:p>
    <w:p w14:paraId="136E7251">
      <w:pPr>
        <w:spacing w:line="640" w:lineRule="exact"/>
        <w:ind w:firstLine="640"/>
        <w:jc w:val="both"/>
        <w:outlineLvl w:val="3"/>
      </w:pPr>
      <w:r>
        <w:rPr>
          <w:rFonts w:ascii="楷体_GB2312" w:hAnsi="楷体_GB2312" w:eastAsia="楷体_GB2312"/>
          <w:b/>
          <w:sz w:val="32"/>
        </w:rPr>
        <w:t>（一）机关运行经费及公用经费支出情况</w:t>
      </w:r>
    </w:p>
    <w:p w14:paraId="64278AF5">
      <w:pPr>
        <w:spacing w:line="580" w:lineRule="exact"/>
        <w:ind w:firstLine="640"/>
        <w:jc w:val="both"/>
      </w:pPr>
      <w:r>
        <w:rPr>
          <w:rFonts w:ascii="仿宋_GB2312" w:hAnsi="仿宋_GB2312" w:eastAsia="仿宋_GB2312"/>
          <w:b w:val="0"/>
          <w:sz w:val="32"/>
        </w:rPr>
        <w:t>2024年度疏附县司法局（行政单位和参照公务员法管理事业单位）机关运行经费支出29.45万元，比上年增加15.20万元，增长106.67%，主要原因是：本年其他交通费用、电费、取暖费等经费，导致机关运行经费增加。</w:t>
      </w:r>
    </w:p>
    <w:p w14:paraId="71B1A1E6">
      <w:pPr>
        <w:spacing w:line="640" w:lineRule="exact"/>
        <w:ind w:firstLine="640"/>
        <w:jc w:val="both"/>
        <w:outlineLvl w:val="3"/>
      </w:pPr>
      <w:r>
        <w:rPr>
          <w:rFonts w:ascii="楷体_GB2312" w:hAnsi="楷体_GB2312" w:eastAsia="楷体_GB2312"/>
          <w:b/>
          <w:sz w:val="32"/>
        </w:rPr>
        <w:t>（二）政府采购情况</w:t>
      </w:r>
    </w:p>
    <w:p w14:paraId="77D639F7">
      <w:pPr>
        <w:spacing w:line="580" w:lineRule="exact"/>
        <w:ind w:firstLine="640"/>
        <w:jc w:val="both"/>
      </w:pPr>
      <w:r>
        <w:rPr>
          <w:rFonts w:ascii="仿宋_GB2312" w:hAnsi="仿宋_GB2312" w:eastAsia="仿宋_GB2312"/>
          <w:b w:val="0"/>
          <w:sz w:val="32"/>
        </w:rPr>
        <w:t>2024年度政府采购支出总额52.49万元，其中：政府采购货物支出0.39万元、政府采购工程支出12.03万元、政府采购服务支出40.07万元。</w:t>
      </w:r>
    </w:p>
    <w:p w14:paraId="46E720B1">
      <w:pPr>
        <w:spacing w:line="580" w:lineRule="exact"/>
        <w:ind w:firstLine="640"/>
        <w:jc w:val="both"/>
      </w:pPr>
      <w:r>
        <w:rPr>
          <w:rFonts w:ascii="仿宋_GB2312" w:hAnsi="仿宋_GB2312" w:eastAsia="仿宋_GB2312"/>
          <w:b w:val="0"/>
          <w:sz w:val="32"/>
        </w:rPr>
        <w:t>授予中小企业合同金额52.49万元，占政府采购支出总额的100.00%，其中：授予小微企业合同金额20.74万元，占政府采购支出总额的39.51%。</w:t>
      </w:r>
    </w:p>
    <w:p w14:paraId="3D6EB216">
      <w:pPr>
        <w:spacing w:line="640" w:lineRule="exact"/>
        <w:ind w:firstLine="640"/>
        <w:jc w:val="both"/>
        <w:outlineLvl w:val="3"/>
      </w:pPr>
      <w:r>
        <w:rPr>
          <w:rFonts w:ascii="楷体_GB2312" w:hAnsi="楷体_GB2312" w:eastAsia="楷体_GB2312"/>
          <w:b/>
          <w:sz w:val="32"/>
        </w:rPr>
        <w:t>（三）国有资产占用情况说明</w:t>
      </w:r>
    </w:p>
    <w:p w14:paraId="6D99E4FD">
      <w:pPr>
        <w:spacing w:line="580" w:lineRule="exact"/>
        <w:ind w:firstLine="640"/>
        <w:jc w:val="both"/>
      </w:pPr>
      <w:r>
        <w:rPr>
          <w:rFonts w:ascii="仿宋_GB2312" w:hAnsi="仿宋_GB2312" w:eastAsia="仿宋_GB2312"/>
          <w:b w:val="0"/>
          <w:sz w:val="32"/>
        </w:rPr>
        <w:t>截至2024年12月31日，房屋30.00平方米，价值1.80万元。车辆20辆，价值178.83万元，其中：副部（省）级及以上领导用车0辆、主要负责人用车0辆、机要通信用车0辆、应急保障用车0辆、执法执勤用车6辆、特种专业技术用车0辆、离退休干部服务用车0辆、其他用车14辆，其他用车主要是：一般公务用车和单位业务用车。单价100万元（含）以上设备（不含车辆）0台（套）。</w:t>
      </w:r>
    </w:p>
    <w:p w14:paraId="5FE451BB">
      <w:pPr>
        <w:spacing w:line="640" w:lineRule="exact"/>
        <w:ind w:firstLine="640"/>
        <w:jc w:val="both"/>
        <w:outlineLvl w:val="2"/>
      </w:pPr>
      <w:r>
        <w:rPr>
          <w:rFonts w:ascii="黑体" w:hAnsi="黑体" w:eastAsia="黑体"/>
          <w:sz w:val="32"/>
        </w:rPr>
        <w:t>十一、预算绩效的情况说明</w:t>
      </w:r>
    </w:p>
    <w:p w14:paraId="26BC31B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根据预算绩效管理要求，本单位2024年度预算绩效管理形成整体支出绩效自评表1个，全年预算总额1,469.68万元，实际执行总额1,391.18万元；预算绩效评价项目</w:t>
      </w:r>
      <w:r>
        <w:rPr>
          <w:rFonts w:hint="eastAsia" w:ascii="仿宋_GB2312" w:hAnsi="仿宋_GB2312" w:eastAsia="仿宋_GB2312"/>
          <w:b w:val="0"/>
          <w:sz w:val="32"/>
          <w:lang w:val="en-US" w:eastAsia="zh-CN"/>
        </w:rPr>
        <w:t>11</w:t>
      </w:r>
      <w:r>
        <w:rPr>
          <w:rFonts w:ascii="仿宋_GB2312" w:hAnsi="仿宋_GB2312" w:eastAsia="仿宋_GB2312"/>
          <w:b w:val="0"/>
          <w:sz w:val="32"/>
        </w:rPr>
        <w:t>个，全年预算数</w:t>
      </w:r>
      <w:r>
        <w:rPr>
          <w:rFonts w:hint="eastAsia" w:ascii="仿宋_GB2312" w:hAnsi="仿宋_GB2312" w:eastAsia="仿宋_GB2312"/>
          <w:b w:val="0"/>
          <w:sz w:val="32"/>
        </w:rPr>
        <w:t>519.03</w:t>
      </w:r>
      <w:r>
        <w:rPr>
          <w:rFonts w:ascii="仿宋_GB2312" w:hAnsi="仿宋_GB2312" w:eastAsia="仿宋_GB2312"/>
          <w:b w:val="0"/>
          <w:sz w:val="32"/>
        </w:rPr>
        <w:t>万元，全年执行数</w:t>
      </w:r>
      <w:r>
        <w:rPr>
          <w:rFonts w:hint="eastAsia" w:ascii="仿宋_GB2312" w:hAnsi="仿宋_GB2312" w:eastAsia="仿宋_GB2312"/>
          <w:b w:val="0"/>
          <w:sz w:val="32"/>
        </w:rPr>
        <w:t>400.79</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项目管理力度不够，部分档案不完整。二是项目涉及范围广取得的评价度不高。三是部分项目没有建立完整的框架结构。下一步改进措施：一是本单位加强项目管理制定专门项目管理办法并严格执行。二是不定期</w:t>
      </w:r>
      <w:r>
        <w:rPr>
          <w:rFonts w:hint="eastAsia" w:ascii="仿宋_GB2312" w:hAnsi="仿宋_GB2312" w:eastAsia="仿宋_GB2312"/>
          <w:b w:val="0"/>
          <w:sz w:val="32"/>
          <w:lang w:eastAsia="zh-CN"/>
        </w:rPr>
        <w:t>地</w:t>
      </w:r>
      <w:r>
        <w:rPr>
          <w:rFonts w:ascii="仿宋_GB2312" w:hAnsi="仿宋_GB2312" w:eastAsia="仿宋_GB2312"/>
          <w:b w:val="0"/>
          <w:sz w:val="32"/>
        </w:rPr>
        <w:t>开展项目人员的培训提高专业素养。具体附整体支出绩效自评表，项目支出绩效自评表和评价报告。</w:t>
      </w:r>
    </w:p>
    <w:p w14:paraId="0F1DE8B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FBDECE">
        <w:tblPrEx>
          <w:tblCellMar>
            <w:top w:w="0" w:type="dxa"/>
            <w:left w:w="108" w:type="dxa"/>
            <w:bottom w:w="0" w:type="dxa"/>
            <w:right w:w="108" w:type="dxa"/>
          </w:tblCellMar>
        </w:tblPrEx>
        <w:tc>
          <w:tcPr>
            <w:tcW w:w="8847" w:type="dxa"/>
            <w:gridSpan w:val="9"/>
            <w:vAlign w:val="center"/>
          </w:tcPr>
          <w:p w14:paraId="205187AB">
            <w:pPr>
              <w:jc w:val="center"/>
            </w:pPr>
            <w:r>
              <w:rPr>
                <w:rFonts w:ascii="宋体" w:hAnsi="宋体" w:eastAsia="宋体"/>
                <w:sz w:val="24"/>
              </w:rPr>
              <w:t>单位整体支出绩效自评表</w:t>
            </w:r>
          </w:p>
        </w:tc>
      </w:tr>
      <w:tr w14:paraId="4CDF87DF">
        <w:tblPrEx>
          <w:tblCellMar>
            <w:top w:w="0" w:type="dxa"/>
            <w:left w:w="108" w:type="dxa"/>
            <w:bottom w:w="0" w:type="dxa"/>
            <w:right w:w="108" w:type="dxa"/>
          </w:tblCellMar>
        </w:tblPrEx>
        <w:tc>
          <w:tcPr>
            <w:tcW w:w="8847" w:type="dxa"/>
            <w:gridSpan w:val="9"/>
            <w:vAlign w:val="center"/>
          </w:tcPr>
          <w:p w14:paraId="7DD07BE3">
            <w:pPr>
              <w:jc w:val="center"/>
            </w:pPr>
            <w:r>
              <w:rPr>
                <w:rFonts w:ascii="宋体" w:hAnsi="宋体" w:eastAsia="宋体"/>
                <w:sz w:val="24"/>
              </w:rPr>
              <w:t>（2024年度）</w:t>
            </w:r>
          </w:p>
        </w:tc>
      </w:tr>
      <w:tr w14:paraId="268DAC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EC1F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84498F">
            <w:pPr>
              <w:jc w:val="center"/>
            </w:pPr>
            <w:r>
              <w:rPr>
                <w:rFonts w:ascii="宋体" w:hAnsi="宋体" w:eastAsia="宋体"/>
                <w:sz w:val="16"/>
              </w:rPr>
              <w:t>疏附县司法局</w:t>
            </w:r>
          </w:p>
        </w:tc>
      </w:tr>
      <w:tr w14:paraId="78C831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64CA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4CC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022E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781B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4E26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8033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242C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903E">
            <w:pPr>
              <w:jc w:val="center"/>
            </w:pPr>
            <w:r>
              <w:rPr>
                <w:rFonts w:ascii="宋体" w:hAnsi="宋体" w:eastAsia="宋体"/>
                <w:sz w:val="16"/>
              </w:rPr>
              <w:t>得分</w:t>
            </w:r>
          </w:p>
        </w:tc>
      </w:tr>
      <w:tr w14:paraId="5EE303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7AC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9B4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C2C0">
            <w:pPr>
              <w:jc w:val="center"/>
            </w:pPr>
            <w:r>
              <w:rPr>
                <w:rFonts w:ascii="宋体" w:hAnsi="宋体" w:eastAsia="宋体"/>
                <w:sz w:val="16"/>
              </w:rPr>
              <w:t>1,041.35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D442A">
            <w:pPr>
              <w:jc w:val="center"/>
            </w:pPr>
            <w:r>
              <w:rPr>
                <w:rFonts w:ascii="宋体" w:hAnsi="宋体" w:eastAsia="宋体"/>
                <w:sz w:val="16"/>
              </w:rPr>
              <w:t>1,469.68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9092">
            <w:pPr>
              <w:jc w:val="center"/>
            </w:pPr>
            <w:r>
              <w:rPr>
                <w:rFonts w:ascii="宋体" w:hAnsi="宋体" w:eastAsia="宋体"/>
                <w:sz w:val="16"/>
              </w:rPr>
              <w:t>1,391.18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F47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88E5F">
            <w:pPr>
              <w:jc w:val="center"/>
            </w:pPr>
            <w:r>
              <w:rPr>
                <w:rFonts w:ascii="宋体" w:hAnsi="宋体" w:eastAsia="宋体"/>
                <w:sz w:val="16"/>
              </w:rPr>
              <w:t>94.66%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6A9D">
            <w:pPr>
              <w:jc w:val="center"/>
            </w:pPr>
            <w:r>
              <w:rPr>
                <w:rFonts w:ascii="宋体" w:hAnsi="宋体" w:eastAsia="宋体"/>
                <w:sz w:val="16"/>
              </w:rPr>
              <w:t>9.56</w:t>
            </w:r>
          </w:p>
        </w:tc>
      </w:tr>
      <w:tr w14:paraId="5DD38D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5FC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D021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52E8F">
            <w:pPr>
              <w:jc w:val="center"/>
            </w:pPr>
            <w:r>
              <w:rPr>
                <w:rFonts w:ascii="宋体" w:hAnsi="宋体" w:eastAsia="宋体"/>
                <w:sz w:val="16"/>
              </w:rPr>
              <w:t>180.97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25388">
            <w:pPr>
              <w:jc w:val="center"/>
            </w:pPr>
            <w:r>
              <w:rPr>
                <w:rFonts w:ascii="宋体" w:hAnsi="宋体" w:eastAsia="宋体"/>
                <w:sz w:val="16"/>
              </w:rPr>
              <w:t>269.14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54C2A">
            <w:pPr>
              <w:jc w:val="center"/>
            </w:pPr>
            <w:r>
              <w:rPr>
                <w:rFonts w:ascii="宋体" w:hAnsi="宋体" w:eastAsia="宋体"/>
                <w:sz w:val="16"/>
              </w:rPr>
              <w:t>227.99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07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97A5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97B8">
            <w:pPr>
              <w:jc w:val="center"/>
            </w:pPr>
            <w:r>
              <w:rPr>
                <w:rFonts w:ascii="宋体" w:hAnsi="宋体" w:eastAsia="宋体"/>
                <w:sz w:val="16"/>
              </w:rPr>
              <w:t>—</w:t>
            </w:r>
          </w:p>
        </w:tc>
      </w:tr>
      <w:tr w14:paraId="60E64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142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5257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A1331">
            <w:pPr>
              <w:jc w:val="center"/>
            </w:pPr>
            <w:r>
              <w:rPr>
                <w:rFonts w:ascii="宋体" w:hAnsi="宋体" w:eastAsia="宋体"/>
                <w:sz w:val="16"/>
              </w:rPr>
              <w:t>860.38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24ECE">
            <w:pPr>
              <w:jc w:val="center"/>
            </w:pPr>
            <w:r>
              <w:rPr>
                <w:rFonts w:ascii="宋体" w:hAnsi="宋体" w:eastAsia="宋体"/>
                <w:sz w:val="16"/>
              </w:rPr>
              <w:t>1,200.54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537AC">
            <w:pPr>
              <w:jc w:val="center"/>
            </w:pPr>
            <w:r>
              <w:rPr>
                <w:rFonts w:ascii="宋体" w:hAnsi="宋体" w:eastAsia="宋体"/>
                <w:sz w:val="16"/>
              </w:rPr>
              <w:t>1,163.19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58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7BB6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0D424">
            <w:pPr>
              <w:jc w:val="center"/>
            </w:pPr>
            <w:r>
              <w:rPr>
                <w:rFonts w:ascii="宋体" w:hAnsi="宋体" w:eastAsia="宋体"/>
                <w:sz w:val="16"/>
              </w:rPr>
              <w:t>—</w:t>
            </w:r>
          </w:p>
        </w:tc>
      </w:tr>
      <w:tr w14:paraId="4E8B51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03F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0B5C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87B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0D0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154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D46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D075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EBCCE">
            <w:pPr>
              <w:jc w:val="center"/>
            </w:pPr>
            <w:r>
              <w:rPr>
                <w:rFonts w:ascii="宋体" w:hAnsi="宋体" w:eastAsia="宋体"/>
                <w:sz w:val="16"/>
              </w:rPr>
              <w:t>—</w:t>
            </w:r>
          </w:p>
        </w:tc>
      </w:tr>
      <w:tr w14:paraId="33C18F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082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3C6F3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CB0403">
            <w:pPr>
              <w:jc w:val="center"/>
            </w:pPr>
            <w:r>
              <w:rPr>
                <w:rFonts w:ascii="宋体" w:hAnsi="宋体" w:eastAsia="宋体"/>
                <w:sz w:val="16"/>
              </w:rPr>
              <w:t>实际完成情况</w:t>
            </w:r>
          </w:p>
        </w:tc>
      </w:tr>
      <w:tr w14:paraId="220BAE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F62E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3EECC4">
            <w:pPr>
              <w:jc w:val="both"/>
            </w:pPr>
            <w:r>
              <w:rPr>
                <w:rFonts w:ascii="宋体" w:hAnsi="宋体" w:eastAsia="宋体"/>
                <w:sz w:val="16"/>
              </w:rPr>
              <w:t>疏附县司法行政工作坚持以习近平新时代中国特色社会主义思想为指导，深入贯彻落实党的二十大精神，全面贯彻习近平法治思想，认真贯彻上级党委工作部署，立足司法行政职能，深入践行司法行政为民理念，扎实开展普法宣传，法律援助，法治文化阵地建设，坚持依法治县，依法执政，坚持法治疏附，法治政府，为疏附经济高质量发展提供坚强法治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A1EA71">
            <w:pPr>
              <w:jc w:val="both"/>
            </w:pPr>
            <w:r>
              <w:rPr>
                <w:rFonts w:ascii="宋体" w:hAnsi="宋体" w:eastAsia="宋体"/>
                <w:sz w:val="16"/>
              </w:rPr>
              <w:t>疏附县司法局严格按照司法行政工作坚持以习近平新时代中国特色社会主义思想为指导，深入贯彻落实党的二十大精神，全面贯彻习近平法治思想，认真贯彻上级党委工作部署，立足司法行政职能，保障司法所电子政务内网，外围平台建设10个，全县开展法治宣传教育活动12期，人民调解员822人，法律明白人培训参与人20人，采购制服1批，深入践行司法行政为民理念，扎实开展普法宣传，法律援助，法治文化阵地建设，坚持依法治县，依法执政，坚持法治疏附，法治政府，为疏附经济高质量发展提供坚强法治保障。</w:t>
            </w:r>
          </w:p>
        </w:tc>
      </w:tr>
      <w:tr w14:paraId="2CBFF9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515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485E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F18C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D103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E4F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7A6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5B9C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EAE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55665">
            <w:pPr>
              <w:jc w:val="center"/>
            </w:pPr>
            <w:r>
              <w:rPr>
                <w:rFonts w:ascii="宋体" w:hAnsi="宋体" w:eastAsia="宋体"/>
                <w:sz w:val="16"/>
              </w:rPr>
              <w:t>得分</w:t>
            </w:r>
          </w:p>
        </w:tc>
      </w:tr>
      <w:tr w14:paraId="458AE6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8808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494D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DED36">
            <w:pPr>
              <w:jc w:val="center"/>
            </w:pPr>
            <w:r>
              <w:rPr>
                <w:rFonts w:ascii="宋体" w:hAnsi="宋体" w:eastAsia="宋体"/>
                <w:sz w:val="16"/>
              </w:rPr>
              <w:t>保障司法所电子政务内网，外围平台建设（个）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E863C">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0BE37">
            <w:pPr>
              <w:jc w:val="center"/>
            </w:pPr>
            <w:r>
              <w:rPr>
                <w:rFonts w:ascii="宋体" w:hAnsi="宋体" w:eastAsia="宋体"/>
                <w:sz w:val="16"/>
              </w:rPr>
              <w:t>疏附县司法局2024年度工作计划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D115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621A8">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BA7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0717E">
            <w:pPr>
              <w:jc w:val="center"/>
            </w:pPr>
            <w:r>
              <w:rPr>
                <w:rFonts w:ascii="宋体" w:hAnsi="宋体" w:eastAsia="宋体"/>
                <w:sz w:val="16"/>
              </w:rPr>
              <w:t>18</w:t>
            </w:r>
          </w:p>
        </w:tc>
      </w:tr>
      <w:tr w14:paraId="09B556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383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13F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B026E">
            <w:pPr>
              <w:jc w:val="center"/>
            </w:pPr>
            <w:r>
              <w:rPr>
                <w:rFonts w:ascii="宋体" w:hAnsi="宋体" w:eastAsia="宋体"/>
                <w:sz w:val="16"/>
              </w:rPr>
              <w:t>全县开展法治宣传教育活动（期）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AFF43">
            <w:pPr>
              <w:jc w:val="center"/>
            </w:pPr>
            <w:r>
              <w:rPr>
                <w:rFonts w:ascii="宋体" w:hAnsi="宋体" w:eastAsia="宋体"/>
                <w:sz w:val="16"/>
              </w:rPr>
              <w:t>=12期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FCA35">
            <w:pPr>
              <w:jc w:val="center"/>
            </w:pPr>
            <w:r>
              <w:rPr>
                <w:rFonts w:ascii="宋体" w:hAnsi="宋体" w:eastAsia="宋体"/>
                <w:sz w:val="16"/>
              </w:rPr>
              <w:t>疏附县司法局2024年度工作计划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F5C2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FFEA">
            <w:pPr>
              <w:jc w:val="center"/>
            </w:pPr>
            <w:r>
              <w:rPr>
                <w:rFonts w:ascii="宋体" w:hAnsi="宋体" w:eastAsia="宋体"/>
                <w:sz w:val="16"/>
              </w:rPr>
              <w:t>12期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FC3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E8A3">
            <w:pPr>
              <w:jc w:val="center"/>
            </w:pPr>
            <w:r>
              <w:rPr>
                <w:rFonts w:ascii="宋体" w:hAnsi="宋体" w:eastAsia="宋体"/>
                <w:sz w:val="16"/>
              </w:rPr>
              <w:t>18</w:t>
            </w:r>
          </w:p>
        </w:tc>
      </w:tr>
      <w:tr w14:paraId="5777CF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874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431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BE7D">
            <w:pPr>
              <w:jc w:val="center"/>
            </w:pPr>
            <w:r>
              <w:rPr>
                <w:rFonts w:ascii="宋体" w:hAnsi="宋体" w:eastAsia="宋体"/>
                <w:sz w:val="16"/>
              </w:rPr>
              <w:t>人民调解员（人）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D88F6">
            <w:pPr>
              <w:jc w:val="center"/>
            </w:pPr>
            <w:r>
              <w:rPr>
                <w:rFonts w:ascii="宋体" w:hAnsi="宋体" w:eastAsia="宋体"/>
                <w:sz w:val="16"/>
              </w:rPr>
              <w:t>&gt;=822人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385EA">
            <w:pPr>
              <w:jc w:val="center"/>
            </w:pPr>
            <w:r>
              <w:rPr>
                <w:rFonts w:ascii="宋体" w:hAnsi="宋体" w:eastAsia="宋体"/>
                <w:sz w:val="16"/>
              </w:rPr>
              <w:t>疏附县司法局2024年度工作计划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5E0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9CC4C">
            <w:pPr>
              <w:jc w:val="center"/>
            </w:pPr>
            <w:r>
              <w:rPr>
                <w:rFonts w:ascii="宋体" w:hAnsi="宋体" w:eastAsia="宋体"/>
                <w:sz w:val="16"/>
              </w:rPr>
              <w:t>822人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F4D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8826F">
            <w:pPr>
              <w:jc w:val="center"/>
            </w:pPr>
            <w:r>
              <w:rPr>
                <w:rFonts w:ascii="宋体" w:hAnsi="宋体" w:eastAsia="宋体"/>
                <w:sz w:val="16"/>
              </w:rPr>
              <w:t>18</w:t>
            </w:r>
          </w:p>
        </w:tc>
      </w:tr>
      <w:tr w14:paraId="75CB87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7B8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C86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30E5">
            <w:pPr>
              <w:jc w:val="center"/>
            </w:pPr>
            <w:r>
              <w:rPr>
                <w:rFonts w:ascii="宋体" w:hAnsi="宋体" w:eastAsia="宋体"/>
                <w:sz w:val="16"/>
              </w:rPr>
              <w:t>法律明白人培训参与人（人）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2FFFF">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0141E">
            <w:pPr>
              <w:jc w:val="center"/>
            </w:pPr>
            <w:r>
              <w:rPr>
                <w:rFonts w:ascii="宋体" w:hAnsi="宋体" w:eastAsia="宋体"/>
                <w:sz w:val="16"/>
              </w:rPr>
              <w:t>疏附县司法局2024年度工作计划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5E20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77399">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CF8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8C92F">
            <w:pPr>
              <w:jc w:val="center"/>
            </w:pPr>
            <w:r>
              <w:rPr>
                <w:rFonts w:ascii="宋体" w:hAnsi="宋体" w:eastAsia="宋体"/>
                <w:sz w:val="16"/>
              </w:rPr>
              <w:t>18</w:t>
            </w:r>
          </w:p>
        </w:tc>
      </w:tr>
      <w:tr w14:paraId="22CCF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818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5B2E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167E1">
            <w:pPr>
              <w:jc w:val="center"/>
            </w:pPr>
            <w:r>
              <w:rPr>
                <w:rFonts w:ascii="宋体" w:hAnsi="宋体" w:eastAsia="宋体"/>
                <w:sz w:val="16"/>
              </w:rPr>
              <w:t>采购制服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38480">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4D52D">
            <w:pPr>
              <w:jc w:val="center"/>
            </w:pPr>
            <w:r>
              <w:rPr>
                <w:rFonts w:ascii="宋体" w:hAnsi="宋体" w:eastAsia="宋体"/>
                <w:sz w:val="16"/>
              </w:rPr>
              <w:t>疏附县司法局2024年度工作计划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CA4C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EFDAD">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FA4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63E6">
            <w:pPr>
              <w:jc w:val="center"/>
            </w:pPr>
            <w:r>
              <w:rPr>
                <w:rFonts w:ascii="宋体" w:hAnsi="宋体" w:eastAsia="宋体"/>
                <w:sz w:val="16"/>
              </w:rPr>
              <w:t>18</w:t>
            </w:r>
          </w:p>
        </w:tc>
      </w:tr>
    </w:tbl>
    <w:p w14:paraId="47015B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A0E326">
        <w:tblPrEx>
          <w:tblCellMar>
            <w:top w:w="0" w:type="dxa"/>
            <w:left w:w="108" w:type="dxa"/>
            <w:bottom w:w="0" w:type="dxa"/>
            <w:right w:w="108" w:type="dxa"/>
          </w:tblCellMar>
        </w:tblPrEx>
        <w:tc>
          <w:tcPr>
            <w:tcW w:w="8848" w:type="dxa"/>
            <w:gridSpan w:val="14"/>
            <w:vAlign w:val="center"/>
          </w:tcPr>
          <w:p w14:paraId="44EC3AB3">
            <w:pPr>
              <w:jc w:val="center"/>
            </w:pPr>
            <w:r>
              <w:rPr>
                <w:rFonts w:ascii="宋体" w:hAnsi="宋体" w:eastAsia="宋体"/>
                <w:sz w:val="24"/>
              </w:rPr>
              <w:t>项目支出绩效自评表</w:t>
            </w:r>
          </w:p>
        </w:tc>
      </w:tr>
      <w:tr w14:paraId="2CA41CFF">
        <w:tblPrEx>
          <w:tblCellMar>
            <w:top w:w="0" w:type="dxa"/>
            <w:left w:w="108" w:type="dxa"/>
            <w:bottom w:w="0" w:type="dxa"/>
            <w:right w:w="108" w:type="dxa"/>
          </w:tblCellMar>
        </w:tblPrEx>
        <w:tc>
          <w:tcPr>
            <w:tcW w:w="8848" w:type="dxa"/>
            <w:gridSpan w:val="14"/>
            <w:vAlign w:val="center"/>
          </w:tcPr>
          <w:p w14:paraId="572DF315">
            <w:pPr>
              <w:jc w:val="center"/>
            </w:pPr>
            <w:r>
              <w:rPr>
                <w:rFonts w:ascii="宋体" w:hAnsi="宋体" w:eastAsia="宋体"/>
                <w:sz w:val="24"/>
              </w:rPr>
              <w:t>(2024年度)</w:t>
            </w:r>
          </w:p>
        </w:tc>
      </w:tr>
      <w:tr w14:paraId="2092FD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40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CB6AC0">
            <w:pPr>
              <w:jc w:val="center"/>
            </w:pPr>
            <w:r>
              <w:rPr>
                <w:rFonts w:ascii="宋体" w:hAnsi="宋体" w:eastAsia="宋体"/>
                <w:sz w:val="16"/>
              </w:rPr>
              <w:t>2023及2024年法律顾问服务项目</w:t>
            </w:r>
          </w:p>
        </w:tc>
      </w:tr>
      <w:tr w14:paraId="0BFEBC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9D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C2E8B">
            <w:pPr>
              <w:jc w:val="center"/>
            </w:pPr>
            <w:r>
              <w:rPr>
                <w:rFonts w:ascii="宋体" w:hAnsi="宋体" w:eastAsia="宋体"/>
                <w:sz w:val="16"/>
              </w:rPr>
              <w:t>新疆维吾尔自治区司法厅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FD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7B137">
            <w:pPr>
              <w:jc w:val="center"/>
            </w:pPr>
            <w:r>
              <w:rPr>
                <w:rFonts w:ascii="宋体" w:hAnsi="宋体" w:eastAsia="宋体"/>
                <w:sz w:val="16"/>
              </w:rPr>
              <w:t>疏附县司法局</w:t>
            </w:r>
          </w:p>
        </w:tc>
      </w:tr>
      <w:tr w14:paraId="673A4C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BDC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48C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E9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1A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E8D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55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9ED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AE6E">
            <w:pPr>
              <w:jc w:val="center"/>
            </w:pPr>
            <w:r>
              <w:rPr>
                <w:rFonts w:ascii="宋体" w:hAnsi="宋体" w:eastAsia="宋体"/>
                <w:sz w:val="16"/>
              </w:rPr>
              <w:t>得分</w:t>
            </w:r>
          </w:p>
        </w:tc>
      </w:tr>
      <w:tr w14:paraId="4E6ED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57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E48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79FC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0F0F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F25A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C23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5FE4D">
            <w:pPr>
              <w:jc w:val="center"/>
            </w:pPr>
            <w:r>
              <w:rPr>
                <w:rFonts w:ascii="宋体" w:hAnsi="宋体" w:eastAsia="宋体"/>
                <w:sz w:val="16"/>
              </w:rPr>
              <w:t>15.00%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087C">
            <w:pPr>
              <w:jc w:val="center"/>
            </w:pPr>
            <w:r>
              <w:rPr>
                <w:rFonts w:ascii="宋体" w:hAnsi="宋体" w:eastAsia="宋体"/>
                <w:sz w:val="16"/>
              </w:rPr>
              <w:t>0.00分</w:t>
            </w:r>
          </w:p>
        </w:tc>
      </w:tr>
      <w:tr w14:paraId="7416E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34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E3F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54F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2A6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1867">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6A3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A1FE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4DEC">
            <w:pPr>
              <w:jc w:val="center"/>
            </w:pPr>
            <w:r>
              <w:rPr>
                <w:rFonts w:ascii="宋体" w:hAnsi="宋体" w:eastAsia="宋体"/>
                <w:sz w:val="16"/>
              </w:rPr>
              <w:t>—</w:t>
            </w:r>
          </w:p>
        </w:tc>
      </w:tr>
      <w:tr w14:paraId="184D1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9A5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E5E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00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B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92E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57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A514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DCEE">
            <w:pPr>
              <w:jc w:val="center"/>
            </w:pPr>
            <w:r>
              <w:rPr>
                <w:rFonts w:ascii="宋体" w:hAnsi="宋体" w:eastAsia="宋体"/>
                <w:sz w:val="16"/>
              </w:rPr>
              <w:t>—</w:t>
            </w:r>
          </w:p>
        </w:tc>
      </w:tr>
      <w:tr w14:paraId="5CDFE2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366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60A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4F097">
            <w:pPr>
              <w:jc w:val="center"/>
            </w:pPr>
            <w:r>
              <w:rPr>
                <w:rFonts w:ascii="宋体" w:hAnsi="宋体" w:eastAsia="宋体"/>
                <w:sz w:val="16"/>
              </w:rPr>
              <w:t>实际完成情况</w:t>
            </w:r>
          </w:p>
        </w:tc>
      </w:tr>
      <w:tr w14:paraId="7B9F4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BE3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FE69A">
            <w:pPr>
              <w:jc w:val="both"/>
            </w:pPr>
            <w:r>
              <w:rPr>
                <w:rFonts w:ascii="宋体" w:hAnsi="宋体" w:eastAsia="宋体"/>
                <w:sz w:val="16"/>
              </w:rPr>
              <w:t>本项目预算金额为60万元，主要用于聘请政府法律顾问2家，法律顾问服务单位49个，为政府在行政管理中的重大决策，重大行政行为提供法律依据，为决策论证提出审查意见，参与规范性文件的审查，参与项目，合同协议审查，代理非诉讼案件等，有效促进法治政府建设，受益群众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BF7AC3">
            <w:pPr>
              <w:jc w:val="both"/>
            </w:pPr>
            <w:r>
              <w:rPr>
                <w:rFonts w:hint="eastAsia" w:ascii="宋体" w:hAnsi="宋体"/>
                <w:sz w:val="16"/>
                <w:lang w:eastAsia="zh-CN"/>
              </w:rPr>
              <w:t>截至2024</w:t>
            </w:r>
            <w:r>
              <w:rPr>
                <w:rFonts w:ascii="宋体" w:hAnsi="宋体" w:eastAsia="宋体"/>
                <w:sz w:val="16"/>
              </w:rPr>
              <w:t>年12月31日，本项目全年预算金额为60万元，全年执行金额为9万元，全年执行率为15%.已完成聘请政府法律顾问2家成本9万元，法律顾问服务单位49个，聘请法律顾问成本已完成9万元，故促进法治政府建设社会效益较差，未做满意度调查。</w:t>
            </w:r>
          </w:p>
        </w:tc>
      </w:tr>
      <w:tr w14:paraId="109E9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699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FE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40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74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42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46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27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C2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82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09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B64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8C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ED5D2">
            <w:pPr>
              <w:jc w:val="center"/>
            </w:pPr>
            <w:r>
              <w:rPr>
                <w:rFonts w:ascii="宋体" w:hAnsi="宋体" w:eastAsia="宋体"/>
                <w:sz w:val="16"/>
              </w:rPr>
              <w:t>偏差原因分析及改进措施</w:t>
            </w:r>
          </w:p>
        </w:tc>
      </w:tr>
      <w:tr w14:paraId="2CC28A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EE4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8B0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8D3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CC7C">
            <w:pPr>
              <w:jc w:val="center"/>
            </w:pPr>
            <w:r>
              <w:rPr>
                <w:rFonts w:ascii="宋体" w:hAnsi="宋体" w:eastAsia="宋体"/>
                <w:sz w:val="16"/>
              </w:rPr>
              <w:t>聘请法律顾问（家）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AD73">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C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17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18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C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F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8CF6">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64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5172">
            <w:pPr>
              <w:jc w:val="center"/>
            </w:pPr>
          </w:p>
        </w:tc>
      </w:tr>
      <w:tr w14:paraId="4EA85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54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E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0AE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F742">
            <w:pPr>
              <w:jc w:val="center"/>
            </w:pPr>
            <w:r>
              <w:rPr>
                <w:rFonts w:ascii="宋体" w:hAnsi="宋体" w:eastAsia="宋体"/>
                <w:sz w:val="16"/>
              </w:rPr>
              <w:t>法律顾问服务单位（个）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4EEB">
            <w:pPr>
              <w:jc w:val="center"/>
            </w:pPr>
            <w:r>
              <w:rPr>
                <w:rFonts w:ascii="宋体" w:hAnsi="宋体" w:eastAsia="宋体"/>
                <w:sz w:val="16"/>
              </w:rPr>
              <w:t>&gt;=49个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8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9A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92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0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B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5DE5">
            <w:pPr>
              <w:jc w:val="center"/>
            </w:pPr>
            <w:r>
              <w:rPr>
                <w:rFonts w:ascii="宋体" w:hAnsi="宋体" w:eastAsia="宋体"/>
                <w:sz w:val="16"/>
              </w:rPr>
              <w: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EA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8AD0">
            <w:pPr>
              <w:jc w:val="center"/>
            </w:pPr>
          </w:p>
        </w:tc>
      </w:tr>
      <w:tr w14:paraId="58AB0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8AB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F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EF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9DC8">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5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8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6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E4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8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3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E9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5E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02362">
            <w:pPr>
              <w:jc w:val="center"/>
            </w:pPr>
            <w:r>
              <w:rPr>
                <w:rFonts w:ascii="宋体" w:hAnsi="宋体" w:eastAsia="宋体"/>
                <w:sz w:val="16"/>
              </w:rPr>
              <w:t>偏差原因：因项目资金到位缓慢，导致项目资金使用准确率低。整改措施：加快资金申请力度，保证资金使用准确率。</w:t>
            </w:r>
          </w:p>
        </w:tc>
      </w:tr>
      <w:tr w14:paraId="59F51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C2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284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3A7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388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F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3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D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FF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C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9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2F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DC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49AA3">
            <w:pPr>
              <w:jc w:val="center"/>
            </w:pPr>
            <w:r>
              <w:rPr>
                <w:rFonts w:ascii="宋体" w:hAnsi="宋体" w:eastAsia="宋体"/>
                <w:sz w:val="16"/>
              </w:rPr>
              <w:t>偏差原因：因资金申请缓慢导致财政资金拨付不及时。整改措施：项目执行前做好申请工作保证资金拨付及时。</w:t>
            </w:r>
          </w:p>
        </w:tc>
      </w:tr>
      <w:tr w14:paraId="19ADC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A4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14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ED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810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C6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1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A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D3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D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B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D752">
            <w:pPr>
              <w:jc w:val="center"/>
            </w:pPr>
            <w:r>
              <w:rPr>
                <w:rFonts w:ascii="宋体" w:hAnsi="宋体" w:eastAsia="宋体"/>
                <w:sz w:val="16"/>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0B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52D93">
            <w:pPr>
              <w:jc w:val="center"/>
            </w:pPr>
            <w:r>
              <w:rPr>
                <w:rFonts w:ascii="宋体" w:hAnsi="宋体" w:eastAsia="宋体"/>
                <w:sz w:val="16"/>
              </w:rPr>
              <w:t>偏差原因：因该采购手续未及时办理，导致项目完成时间拖后。整改措施：需要及时办理有关手续并在指定项目完成时间完成。</w:t>
            </w:r>
          </w:p>
        </w:tc>
      </w:tr>
      <w:tr w14:paraId="7FF93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AD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A9F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69F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3A21">
            <w:pPr>
              <w:jc w:val="center"/>
            </w:pPr>
            <w:r>
              <w:rPr>
                <w:rFonts w:ascii="宋体" w:hAnsi="宋体" w:eastAsia="宋体"/>
                <w:sz w:val="16"/>
              </w:rPr>
              <w:t>聘请法律顾问成本（万元）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5E86">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76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D7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2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9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C6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CCDE">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1F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08DE4">
            <w:pPr>
              <w:jc w:val="center"/>
            </w:pPr>
            <w:r>
              <w:rPr>
                <w:rFonts w:ascii="宋体" w:hAnsi="宋体" w:eastAsia="宋体"/>
                <w:sz w:val="16"/>
              </w:rPr>
              <w:t>偏差原因：因采购手续未及时办理，资金支出进度缓慢，整改措施：督促提供有关财务手续及时拨付资金</w:t>
            </w:r>
          </w:p>
        </w:tc>
      </w:tr>
      <w:tr w14:paraId="2789F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9C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57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33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EF7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EF2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E6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E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2D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F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73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73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4AA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48988">
            <w:pPr>
              <w:jc w:val="center"/>
            </w:pPr>
            <w:r>
              <w:rPr>
                <w:rFonts w:ascii="宋体" w:hAnsi="宋体" w:eastAsia="宋体"/>
                <w:sz w:val="16"/>
              </w:rPr>
              <w:t>偏差原因：因成本控制没有科学合理控制。整改措施：进一步提高年初预算编制的科学性和准确性，完善预算执行动态约束机制，加强财政预算资金管理，统筹协调推进项目执行，提高财政资金效益和效果。</w:t>
            </w:r>
          </w:p>
        </w:tc>
      </w:tr>
      <w:tr w14:paraId="684E6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1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49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ED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FCBE">
            <w:pPr>
              <w:jc w:val="center"/>
            </w:pPr>
            <w:r>
              <w:rPr>
                <w:rFonts w:ascii="宋体" w:hAnsi="宋体" w:eastAsia="宋体"/>
                <w:sz w:val="16"/>
              </w:rPr>
              <w:t>促进法治政府建设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55A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D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61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97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88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E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2E68">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6C6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5061">
            <w:pPr>
              <w:jc w:val="center"/>
            </w:pPr>
            <w:r>
              <w:rPr>
                <w:rFonts w:ascii="宋体" w:hAnsi="宋体" w:eastAsia="宋体"/>
                <w:sz w:val="16"/>
              </w:rPr>
              <w:t>偏差原因：因项目资金到位缓慢，导致项目执行进度不高，无法促进法治政府建设力度。整改措施：督促提供有关财务手续，提高受益对象满意度</w:t>
            </w:r>
          </w:p>
        </w:tc>
      </w:tr>
      <w:tr w14:paraId="1626B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7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5F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8F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997C">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95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4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B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E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29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3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58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DA7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0B92D">
            <w:pPr>
              <w:jc w:val="center"/>
            </w:pPr>
            <w:r>
              <w:rPr>
                <w:rFonts w:ascii="宋体" w:hAnsi="宋体" w:eastAsia="宋体"/>
                <w:sz w:val="16"/>
              </w:rPr>
              <w:t>偏差原因：因项目资金到位缓慢，导致项目执行进度不高，受益对象满意度低。整改措施：督促提供有关财务手续，提高受益对象满意度</w:t>
            </w:r>
          </w:p>
        </w:tc>
      </w:tr>
      <w:tr w14:paraId="2A021CD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1E7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93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090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51CD">
            <w:pPr>
              <w:jc w:val="center"/>
            </w:pPr>
            <w:r>
              <w:rPr>
                <w:rFonts w:ascii="宋体" w:hAnsi="宋体" w:eastAsia="宋体"/>
                <w:sz w:val="16"/>
              </w:rPr>
              <w:t>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52BE0D"/>
        </w:tc>
      </w:tr>
    </w:tbl>
    <w:p w14:paraId="5E9CEA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1727249">
        <w:tblPrEx>
          <w:tblCellMar>
            <w:top w:w="0" w:type="dxa"/>
            <w:left w:w="108" w:type="dxa"/>
            <w:bottom w:w="0" w:type="dxa"/>
            <w:right w:w="108" w:type="dxa"/>
          </w:tblCellMar>
        </w:tblPrEx>
        <w:tc>
          <w:tcPr>
            <w:tcW w:w="8848" w:type="dxa"/>
            <w:gridSpan w:val="14"/>
            <w:vAlign w:val="center"/>
          </w:tcPr>
          <w:p w14:paraId="3F5AA165">
            <w:pPr>
              <w:jc w:val="center"/>
            </w:pPr>
            <w:r>
              <w:rPr>
                <w:rFonts w:ascii="宋体" w:hAnsi="宋体" w:eastAsia="宋体"/>
                <w:sz w:val="24"/>
              </w:rPr>
              <w:t>项目支出绩效自评表</w:t>
            </w:r>
          </w:p>
        </w:tc>
      </w:tr>
      <w:tr w14:paraId="5C62C5F1">
        <w:tblPrEx>
          <w:tblCellMar>
            <w:top w:w="0" w:type="dxa"/>
            <w:left w:w="108" w:type="dxa"/>
            <w:bottom w:w="0" w:type="dxa"/>
            <w:right w:w="108" w:type="dxa"/>
          </w:tblCellMar>
        </w:tblPrEx>
        <w:tc>
          <w:tcPr>
            <w:tcW w:w="8848" w:type="dxa"/>
            <w:gridSpan w:val="14"/>
            <w:vAlign w:val="center"/>
          </w:tcPr>
          <w:p w14:paraId="50462645">
            <w:pPr>
              <w:jc w:val="center"/>
            </w:pPr>
            <w:r>
              <w:rPr>
                <w:rFonts w:ascii="宋体" w:hAnsi="宋体" w:eastAsia="宋体"/>
                <w:sz w:val="24"/>
              </w:rPr>
              <w:t>(2024年度)</w:t>
            </w:r>
          </w:p>
        </w:tc>
      </w:tr>
      <w:tr w14:paraId="5A5E0D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F8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47B85A">
            <w:pPr>
              <w:jc w:val="center"/>
            </w:pPr>
            <w:r>
              <w:rPr>
                <w:rFonts w:ascii="宋体" w:hAnsi="宋体" w:eastAsia="宋体"/>
                <w:sz w:val="16"/>
              </w:rPr>
              <w:t>2024年度中央政法纪检监察转移支付项目</w:t>
            </w:r>
          </w:p>
        </w:tc>
      </w:tr>
      <w:tr w14:paraId="0BBCF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64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5DF19">
            <w:pPr>
              <w:jc w:val="center"/>
            </w:pPr>
            <w:r>
              <w:rPr>
                <w:rFonts w:ascii="宋体" w:hAnsi="宋体" w:eastAsia="宋体"/>
                <w:sz w:val="16"/>
              </w:rPr>
              <w:t>新疆维吾尔自治区司法厅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63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687F84">
            <w:pPr>
              <w:jc w:val="center"/>
            </w:pPr>
            <w:r>
              <w:rPr>
                <w:rFonts w:ascii="宋体" w:hAnsi="宋体" w:eastAsia="宋体"/>
                <w:sz w:val="16"/>
              </w:rPr>
              <w:t>疏附县司法局</w:t>
            </w:r>
          </w:p>
        </w:tc>
      </w:tr>
      <w:tr w14:paraId="4F343A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B56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2F1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FBA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99D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2EC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BA7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22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4D86">
            <w:pPr>
              <w:jc w:val="center"/>
            </w:pPr>
            <w:r>
              <w:rPr>
                <w:rFonts w:ascii="宋体" w:hAnsi="宋体" w:eastAsia="宋体"/>
                <w:sz w:val="16"/>
              </w:rPr>
              <w:t>得分</w:t>
            </w:r>
          </w:p>
        </w:tc>
      </w:tr>
      <w:tr w14:paraId="4C4BC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C99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4B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55E44">
            <w:pPr>
              <w:jc w:val="center"/>
            </w:pPr>
            <w:r>
              <w:rPr>
                <w:rFonts w:ascii="宋体" w:hAnsi="宋体" w:eastAsia="宋体"/>
                <w:sz w:val="16"/>
              </w:rPr>
              <w:t>162.00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BAF24">
            <w:pPr>
              <w:jc w:val="center"/>
            </w:pPr>
            <w:r>
              <w:rPr>
                <w:rFonts w:ascii="宋体" w:hAnsi="宋体" w:eastAsia="宋体"/>
                <w:sz w:val="16"/>
              </w:rPr>
              <w:t>162.00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840C5">
            <w:pPr>
              <w:jc w:val="center"/>
            </w:pPr>
            <w:r>
              <w:rPr>
                <w:rFonts w:ascii="宋体" w:hAnsi="宋体" w:eastAsia="宋体"/>
                <w:sz w:val="16"/>
              </w:rPr>
              <w:t>152.79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0C3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6166">
            <w:pPr>
              <w:jc w:val="center"/>
            </w:pPr>
            <w:r>
              <w:rPr>
                <w:rFonts w:ascii="宋体" w:hAnsi="宋体" w:eastAsia="宋体"/>
                <w:sz w:val="16"/>
              </w:rPr>
              <w:t>94.31%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28E6">
            <w:pPr>
              <w:jc w:val="center"/>
            </w:pPr>
            <w:r>
              <w:rPr>
                <w:rFonts w:ascii="宋体" w:hAnsi="宋体" w:eastAsia="宋体"/>
                <w:sz w:val="16"/>
              </w:rPr>
              <w:t>8.58分</w:t>
            </w:r>
          </w:p>
        </w:tc>
      </w:tr>
      <w:tr w14:paraId="238DE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3E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943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2D1D3">
            <w:pPr>
              <w:jc w:val="center"/>
            </w:pPr>
            <w:r>
              <w:rPr>
                <w:rFonts w:ascii="宋体" w:hAnsi="宋体" w:eastAsia="宋体"/>
                <w:sz w:val="16"/>
              </w:rPr>
              <w:t>162.00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4062">
            <w:pPr>
              <w:jc w:val="center"/>
            </w:pPr>
            <w:r>
              <w:rPr>
                <w:rFonts w:ascii="宋体" w:hAnsi="宋体" w:eastAsia="宋体"/>
                <w:sz w:val="16"/>
              </w:rPr>
              <w:t>162.00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F25AD">
            <w:pPr>
              <w:jc w:val="center"/>
            </w:pPr>
            <w:r>
              <w:rPr>
                <w:rFonts w:ascii="宋体" w:hAnsi="宋体" w:eastAsia="宋体"/>
                <w:sz w:val="16"/>
              </w:rPr>
              <w:t>152.79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335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2B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6244">
            <w:pPr>
              <w:jc w:val="center"/>
            </w:pPr>
            <w:r>
              <w:rPr>
                <w:rFonts w:ascii="宋体" w:hAnsi="宋体" w:eastAsia="宋体"/>
                <w:sz w:val="16"/>
              </w:rPr>
              <w:t>—</w:t>
            </w:r>
          </w:p>
        </w:tc>
      </w:tr>
      <w:tr w14:paraId="6D918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FDC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75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DB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B9F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EB2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16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0D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2723">
            <w:pPr>
              <w:jc w:val="center"/>
            </w:pPr>
            <w:r>
              <w:rPr>
                <w:rFonts w:ascii="宋体" w:hAnsi="宋体" w:eastAsia="宋体"/>
                <w:sz w:val="16"/>
              </w:rPr>
              <w:t>—</w:t>
            </w:r>
          </w:p>
        </w:tc>
      </w:tr>
      <w:tr w14:paraId="6DD916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D7D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E12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5C325">
            <w:pPr>
              <w:jc w:val="center"/>
            </w:pPr>
            <w:r>
              <w:rPr>
                <w:rFonts w:ascii="宋体" w:hAnsi="宋体" w:eastAsia="宋体"/>
                <w:sz w:val="16"/>
              </w:rPr>
              <w:t>实际完成情况</w:t>
            </w:r>
          </w:p>
        </w:tc>
      </w:tr>
      <w:tr w14:paraId="245A7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E3F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1993B">
            <w:pPr>
              <w:jc w:val="both"/>
            </w:pPr>
            <w:r>
              <w:rPr>
                <w:rFonts w:ascii="宋体" w:hAnsi="宋体" w:eastAsia="宋体"/>
                <w:sz w:val="16"/>
              </w:rPr>
              <w:t>本项目主要计划保障1个司法局和10个司法所的日常工作经费、法律宣传、支付律师值班费、发放人民调解补助、开展普法安置帮教活动、支付局机关各司法所水电网费、支付案件评查费用、保障各司法所办公费用、发放办案人员补助等其他支出，购买1批制服，购买1台公共法律服务一体机，保障8名法律援助人员的正常工作；通过开展本项目将显著提升依法治县水平、提高群众法律知识，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9E3D4">
            <w:pPr>
              <w:jc w:val="both"/>
            </w:pPr>
            <w:r>
              <w:rPr>
                <w:rFonts w:hint="eastAsia" w:ascii="宋体" w:hAnsi="宋体"/>
                <w:sz w:val="16"/>
                <w:lang w:eastAsia="zh-CN"/>
              </w:rPr>
              <w:t>截至2024</w:t>
            </w:r>
            <w:r>
              <w:rPr>
                <w:rFonts w:ascii="宋体" w:hAnsi="宋体" w:eastAsia="宋体"/>
                <w:sz w:val="16"/>
              </w:rPr>
              <w:t>年12月31日，本项目预算金额为162万元，执行金额为152.79万元，全年执行率为94.3%.本项目保障1个司法局和10个司法所共计11个单位的日常支出，已完成购买1批制服，购买1台公共法律服务一体机，保障8名法律援助人员的正常工作；通过开展本项目将显著提升依法治县水平、提高群众法律知识，单位工作人员满意度达到95%。</w:t>
            </w:r>
          </w:p>
        </w:tc>
      </w:tr>
      <w:tr w14:paraId="25CE0C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57F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B1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4E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BD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90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A8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B4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E8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E6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8B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99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BC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9E6E">
            <w:pPr>
              <w:jc w:val="center"/>
            </w:pPr>
            <w:r>
              <w:rPr>
                <w:rFonts w:ascii="宋体" w:hAnsi="宋体" w:eastAsia="宋体"/>
                <w:sz w:val="16"/>
              </w:rPr>
              <w:t>偏差原因分析及改进措施</w:t>
            </w:r>
          </w:p>
        </w:tc>
      </w:tr>
      <w:tr w14:paraId="54C656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201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E8F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69D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AB74">
            <w:pPr>
              <w:jc w:val="center"/>
            </w:pPr>
            <w:r>
              <w:rPr>
                <w:rFonts w:ascii="宋体" w:hAnsi="宋体" w:eastAsia="宋体"/>
                <w:sz w:val="16"/>
              </w:rPr>
              <w:t>保障开展业务工作单位数量（个）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48E9">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8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A47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DB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B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2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D848">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1FE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364CD">
            <w:pPr>
              <w:jc w:val="center"/>
            </w:pPr>
          </w:p>
        </w:tc>
      </w:tr>
      <w:tr w14:paraId="50FE8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46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D0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92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1343">
            <w:pPr>
              <w:jc w:val="center"/>
            </w:pPr>
            <w:r>
              <w:rPr>
                <w:rFonts w:ascii="宋体" w:hAnsi="宋体" w:eastAsia="宋体"/>
                <w:sz w:val="16"/>
              </w:rPr>
              <w:t>采购制服数量（批）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D49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B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6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82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8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F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B4D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492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FD48C">
            <w:pPr>
              <w:jc w:val="center"/>
            </w:pPr>
          </w:p>
        </w:tc>
      </w:tr>
      <w:tr w14:paraId="36BFA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E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44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9F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65B0">
            <w:pPr>
              <w:jc w:val="center"/>
            </w:pPr>
            <w:r>
              <w:rPr>
                <w:rFonts w:ascii="宋体" w:hAnsi="宋体" w:eastAsia="宋体"/>
                <w:sz w:val="16"/>
              </w:rPr>
              <w:t>购买公共法律服务一体机（台）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983F">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E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8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F4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40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C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642F">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15B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69903">
            <w:pPr>
              <w:jc w:val="center"/>
            </w:pPr>
          </w:p>
        </w:tc>
      </w:tr>
      <w:tr w14:paraId="2FE49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E5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81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2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EC9D">
            <w:pPr>
              <w:jc w:val="center"/>
            </w:pPr>
            <w:r>
              <w:rPr>
                <w:rFonts w:ascii="宋体" w:hAnsi="宋体" w:eastAsia="宋体"/>
                <w:sz w:val="16"/>
              </w:rPr>
              <w:t>保障法律援助人数（人）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BBCC">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7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2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91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4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2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1107">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A8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A6F3C">
            <w:pPr>
              <w:jc w:val="center"/>
            </w:pPr>
          </w:p>
        </w:tc>
      </w:tr>
      <w:tr w14:paraId="288A6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33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70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AA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017E">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B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B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3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CB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91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6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C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23C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978FF">
            <w:pPr>
              <w:jc w:val="center"/>
            </w:pPr>
          </w:p>
        </w:tc>
      </w:tr>
      <w:tr w14:paraId="4967C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16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0EA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265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CEB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B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6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F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90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CD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0C86">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3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FD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F83BE">
            <w:pPr>
              <w:jc w:val="center"/>
            </w:pPr>
          </w:p>
        </w:tc>
      </w:tr>
      <w:tr w14:paraId="52FDE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6B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34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9F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FC5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180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3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FC40">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1B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25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7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F3A2">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BA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765C">
            <w:pPr>
              <w:jc w:val="center"/>
            </w:pPr>
          </w:p>
        </w:tc>
      </w:tr>
      <w:tr w14:paraId="1B0DC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FE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949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B93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E940">
            <w:pPr>
              <w:jc w:val="center"/>
            </w:pPr>
            <w:r>
              <w:rPr>
                <w:rFonts w:ascii="宋体" w:hAnsi="宋体" w:eastAsia="宋体"/>
                <w:sz w:val="16"/>
              </w:rPr>
              <w:t>办案业务经费(万元）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15A8">
            <w:pPr>
              <w:jc w:val="center"/>
            </w:pPr>
            <w:r>
              <w:rPr>
                <w:rFonts w:ascii="宋体" w:hAnsi="宋体" w:eastAsia="宋体"/>
                <w:sz w:val="16"/>
              </w:rPr>
              <w:t>&lt;=111万元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9B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A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4A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5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4B44">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AD0A">
            <w:pPr>
              <w:jc w:val="center"/>
            </w:pPr>
            <w:r>
              <w:rPr>
                <w:rFonts w:ascii="宋体" w:hAnsi="宋体" w:eastAsia="宋体"/>
                <w:sz w:val="16"/>
              </w:rPr>
              <w:t>=107.72万元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B1D4">
            <w:pPr>
              <w:jc w:val="center"/>
            </w:pPr>
            <w:r>
              <w:rPr>
                <w:rFonts w:ascii="宋体" w:hAnsi="宋体" w:eastAsia="宋体"/>
                <w:sz w:val="16"/>
              </w:rPr>
              <w:t>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1F95F">
            <w:pPr>
              <w:jc w:val="center"/>
            </w:pPr>
            <w:r>
              <w:rPr>
                <w:rFonts w:ascii="宋体" w:hAnsi="宋体" w:eastAsia="宋体"/>
                <w:sz w:val="16"/>
              </w:rPr>
              <w:t>偏差原因：采购手续未及时办理导致项目执行偏差。整改措施：加快采购办理速度，加快资金拨付</w:t>
            </w:r>
          </w:p>
        </w:tc>
      </w:tr>
      <w:tr w14:paraId="14F91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F9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B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F27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2DB4">
            <w:pPr>
              <w:jc w:val="center"/>
            </w:pPr>
            <w:r>
              <w:rPr>
                <w:rFonts w:ascii="宋体" w:hAnsi="宋体" w:eastAsia="宋体"/>
                <w:sz w:val="16"/>
              </w:rPr>
              <w:t>业务装备经费（万元）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7A74">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3D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8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35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D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B1D8">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7AE5">
            <w:pPr>
              <w:jc w:val="center"/>
            </w:pPr>
            <w:r>
              <w:rPr>
                <w:rFonts w:ascii="宋体" w:hAnsi="宋体" w:eastAsia="宋体"/>
                <w:sz w:val="16"/>
              </w:rPr>
              <w:t>=43.07万元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2F8F">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87E41">
            <w:pPr>
              <w:jc w:val="center"/>
            </w:pPr>
            <w:r>
              <w:rPr>
                <w:rFonts w:ascii="宋体" w:hAnsi="宋体" w:eastAsia="宋体"/>
                <w:sz w:val="16"/>
              </w:rPr>
              <w:t>偏差原因：采购手续未及时办理导致项目执行偏差。整改措施：加快采购办理速度，加快资金拨付</w:t>
            </w:r>
          </w:p>
        </w:tc>
      </w:tr>
      <w:tr w14:paraId="273E7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1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81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20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9608">
            <w:pPr>
              <w:jc w:val="center"/>
            </w:pPr>
            <w:r>
              <w:rPr>
                <w:rFonts w:ascii="宋体" w:hAnsi="宋体" w:eastAsia="宋体"/>
                <w:sz w:val="16"/>
              </w:rPr>
              <w:t>法律援助经费（万元）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B3E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AF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5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B0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2E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B61F">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0E9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E6A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E122F">
            <w:pPr>
              <w:jc w:val="center"/>
            </w:pPr>
          </w:p>
        </w:tc>
      </w:tr>
      <w:tr w14:paraId="6FDA9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D3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48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E7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F2DC">
            <w:pPr>
              <w:jc w:val="center"/>
            </w:pPr>
            <w:r>
              <w:rPr>
                <w:rFonts w:ascii="宋体" w:hAnsi="宋体" w:eastAsia="宋体"/>
                <w:sz w:val="16"/>
              </w:rPr>
              <w:t>提升依法治县水平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278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9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05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0C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9B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217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B9A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6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55605">
            <w:pPr>
              <w:jc w:val="center"/>
            </w:pPr>
          </w:p>
        </w:tc>
      </w:tr>
      <w:tr w14:paraId="4148A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72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D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F7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5B4D">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A7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9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C6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0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F5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910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10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9D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87C1">
            <w:pPr>
              <w:jc w:val="center"/>
            </w:pPr>
          </w:p>
        </w:tc>
      </w:tr>
      <w:tr w14:paraId="3C32E37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FCE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ABF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7FA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A326">
            <w:pPr>
              <w:jc w:val="center"/>
            </w:pPr>
            <w:r>
              <w:rPr>
                <w:rFonts w:ascii="宋体" w:hAnsi="宋体" w:eastAsia="宋体"/>
                <w:sz w:val="16"/>
              </w:rPr>
              <w:t>95.94分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4FBEE8"/>
        </w:tc>
      </w:tr>
    </w:tbl>
    <w:p w14:paraId="01D12EC6">
      <w:r>
        <w:br w:type="page"/>
      </w:r>
    </w:p>
    <w:p w14:paraId="594F3FCB">
      <w:pPr>
        <w:spacing w:line="640" w:lineRule="exact"/>
        <w:ind w:firstLine="640"/>
        <w:jc w:val="both"/>
        <w:outlineLvl w:val="2"/>
      </w:pPr>
      <w:r>
        <w:rPr>
          <w:rFonts w:ascii="黑体" w:hAnsi="黑体" w:eastAsia="黑体"/>
          <w:sz w:val="32"/>
        </w:rPr>
        <w:t>十二、其他需说明的事项</w:t>
      </w:r>
    </w:p>
    <w:p w14:paraId="06D0161D">
      <w:pPr>
        <w:spacing w:line="580" w:lineRule="exact"/>
        <w:ind w:firstLine="640"/>
        <w:jc w:val="both"/>
      </w:pPr>
      <w:r>
        <w:rPr>
          <w:rFonts w:ascii="仿宋_GB2312" w:hAnsi="仿宋_GB2312" w:eastAsia="仿宋_GB2312"/>
          <w:b w:val="0"/>
          <w:sz w:val="32"/>
        </w:rPr>
        <w:t>本年本单位SM项目9个，全年预算数297.03万元，全年执行数239万元。</w:t>
      </w:r>
    </w:p>
    <w:p w14:paraId="6A74B8D1">
      <w:r>
        <w:br w:type="page"/>
      </w:r>
    </w:p>
    <w:p w14:paraId="7EEED6E4">
      <w:pPr>
        <w:spacing w:line="240" w:lineRule="auto"/>
        <w:jc w:val="center"/>
        <w:outlineLvl w:val="1"/>
      </w:pPr>
      <w:r>
        <w:rPr>
          <w:rFonts w:ascii="黑体" w:hAnsi="黑体" w:eastAsia="黑体"/>
          <w:sz w:val="32"/>
        </w:rPr>
        <w:t>第三部分 专业名词解释</w:t>
      </w:r>
    </w:p>
    <w:p w14:paraId="178D93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6234B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420E2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D87A9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B4882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B61D1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520C0F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F4DE2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9B87E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CB226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FD44D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F7B5B4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7A8820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7D4EE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044F034">
      <w:r>
        <w:br w:type="page"/>
      </w:r>
    </w:p>
    <w:p w14:paraId="3B335349">
      <w:pPr>
        <w:spacing w:line="240" w:lineRule="auto"/>
        <w:jc w:val="center"/>
        <w:outlineLvl w:val="1"/>
      </w:pPr>
      <w:r>
        <w:rPr>
          <w:rFonts w:ascii="黑体" w:hAnsi="黑体" w:eastAsia="黑体"/>
          <w:sz w:val="32"/>
        </w:rPr>
        <w:t>第四部分 部门决算报表（见附表）</w:t>
      </w:r>
    </w:p>
    <w:p w14:paraId="14047822">
      <w:pPr>
        <w:spacing w:line="240" w:lineRule="auto"/>
        <w:ind w:firstLine="640"/>
        <w:jc w:val="both"/>
      </w:pPr>
      <w:r>
        <w:rPr>
          <w:rFonts w:ascii="仿宋_GB2312" w:hAnsi="仿宋_GB2312" w:eastAsia="仿宋_GB2312"/>
          <w:b w:val="0"/>
          <w:sz w:val="32"/>
        </w:rPr>
        <w:t>一、《收入支出决算总表》</w:t>
      </w:r>
    </w:p>
    <w:p w14:paraId="48205CB8">
      <w:pPr>
        <w:spacing w:line="240" w:lineRule="auto"/>
        <w:ind w:firstLine="640"/>
        <w:jc w:val="both"/>
      </w:pPr>
      <w:r>
        <w:rPr>
          <w:rFonts w:ascii="仿宋_GB2312" w:hAnsi="仿宋_GB2312" w:eastAsia="仿宋_GB2312"/>
          <w:b w:val="0"/>
          <w:sz w:val="32"/>
        </w:rPr>
        <w:t>二、《收入决算表》</w:t>
      </w:r>
    </w:p>
    <w:p w14:paraId="0815CC76">
      <w:pPr>
        <w:spacing w:line="240" w:lineRule="auto"/>
        <w:ind w:firstLine="640"/>
        <w:jc w:val="both"/>
      </w:pPr>
      <w:r>
        <w:rPr>
          <w:rFonts w:ascii="仿宋_GB2312" w:hAnsi="仿宋_GB2312" w:eastAsia="仿宋_GB2312"/>
          <w:b w:val="0"/>
          <w:sz w:val="32"/>
        </w:rPr>
        <w:t>三、《支出决算表》</w:t>
      </w:r>
    </w:p>
    <w:p w14:paraId="781AC79F">
      <w:pPr>
        <w:spacing w:line="240" w:lineRule="auto"/>
        <w:ind w:firstLine="640"/>
        <w:jc w:val="both"/>
      </w:pPr>
      <w:r>
        <w:rPr>
          <w:rFonts w:ascii="仿宋_GB2312" w:hAnsi="仿宋_GB2312" w:eastAsia="仿宋_GB2312"/>
          <w:b w:val="0"/>
          <w:sz w:val="32"/>
        </w:rPr>
        <w:t>四、《财政拨款收入支出决算总表》</w:t>
      </w:r>
    </w:p>
    <w:p w14:paraId="6BE5A2AD">
      <w:pPr>
        <w:spacing w:line="240" w:lineRule="auto"/>
        <w:ind w:firstLine="640"/>
        <w:jc w:val="both"/>
      </w:pPr>
      <w:r>
        <w:rPr>
          <w:rFonts w:ascii="仿宋_GB2312" w:hAnsi="仿宋_GB2312" w:eastAsia="仿宋_GB2312"/>
          <w:b w:val="0"/>
          <w:sz w:val="32"/>
        </w:rPr>
        <w:t>五、《一般公共预算财政拨款支出决算表》</w:t>
      </w:r>
    </w:p>
    <w:p w14:paraId="1E5CC5B6">
      <w:pPr>
        <w:spacing w:line="240" w:lineRule="auto"/>
        <w:ind w:firstLine="640"/>
        <w:jc w:val="both"/>
      </w:pPr>
      <w:r>
        <w:rPr>
          <w:rFonts w:ascii="仿宋_GB2312" w:hAnsi="仿宋_GB2312" w:eastAsia="仿宋_GB2312"/>
          <w:b w:val="0"/>
          <w:sz w:val="32"/>
        </w:rPr>
        <w:t>六、《一般公共预算财政拨款基本支出决算表》</w:t>
      </w:r>
    </w:p>
    <w:p w14:paraId="40FF94C8">
      <w:pPr>
        <w:spacing w:line="240" w:lineRule="auto"/>
        <w:ind w:firstLine="640"/>
        <w:jc w:val="both"/>
      </w:pPr>
      <w:r>
        <w:rPr>
          <w:rFonts w:ascii="仿宋_GB2312" w:hAnsi="仿宋_GB2312" w:eastAsia="仿宋_GB2312"/>
          <w:b w:val="0"/>
          <w:sz w:val="32"/>
        </w:rPr>
        <w:t>七、《政府性基金预算财政拨款收入支出决算表》</w:t>
      </w:r>
    </w:p>
    <w:p w14:paraId="6376C5FA">
      <w:pPr>
        <w:spacing w:line="240" w:lineRule="auto"/>
        <w:ind w:firstLine="640"/>
        <w:jc w:val="both"/>
      </w:pPr>
      <w:r>
        <w:rPr>
          <w:rFonts w:ascii="仿宋_GB2312" w:hAnsi="仿宋_GB2312" w:eastAsia="仿宋_GB2312"/>
          <w:b w:val="0"/>
          <w:sz w:val="32"/>
        </w:rPr>
        <w:t>八、《国有资本经营预算财政拨款收入支出决算表》</w:t>
      </w:r>
    </w:p>
    <w:p w14:paraId="2661302C">
      <w:pPr>
        <w:spacing w:line="240" w:lineRule="auto"/>
        <w:ind w:firstLine="640"/>
        <w:jc w:val="both"/>
      </w:pPr>
      <w:r>
        <w:rPr>
          <w:rFonts w:ascii="仿宋_GB2312" w:hAnsi="仿宋_GB2312" w:eastAsia="仿宋_GB2312"/>
          <w:b w:val="0"/>
          <w:sz w:val="32"/>
        </w:rPr>
        <w:t>九、《财政拨款“三公”经费支出决算表》</w:t>
      </w:r>
    </w:p>
    <w:p w14:paraId="08167EDF">
      <w:pPr>
        <w:spacing w:line="240" w:lineRule="auto"/>
        <w:ind w:firstLine="640"/>
        <w:jc w:val="both"/>
      </w:pPr>
    </w:p>
    <w:p w14:paraId="74F84E47">
      <w:pPr>
        <w:spacing w:line="240" w:lineRule="auto"/>
        <w:ind w:firstLine="640"/>
        <w:jc w:val="both"/>
      </w:pPr>
    </w:p>
    <w:p w14:paraId="7DE77CCF">
      <w:pPr>
        <w:spacing w:line="240" w:lineRule="auto"/>
        <w:ind w:firstLine="640"/>
        <w:jc w:val="both"/>
      </w:pPr>
    </w:p>
    <w:p w14:paraId="0576EB07">
      <w:pPr>
        <w:spacing w:line="240" w:lineRule="auto"/>
        <w:ind w:firstLine="640"/>
        <w:jc w:val="both"/>
      </w:pPr>
    </w:p>
    <w:p w14:paraId="1B3434F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E34F75"/>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721A2E"/>
    <w:rsid w:val="68DB0208"/>
    <w:rsid w:val="68DF36D5"/>
    <w:rsid w:val="69846A0E"/>
    <w:rsid w:val="69AD798C"/>
    <w:rsid w:val="6B68175F"/>
    <w:rsid w:val="6B8B5C99"/>
    <w:rsid w:val="6C177EAA"/>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5365</Words>
  <Characters>6222</Characters>
  <Lines>0</Lines>
  <Paragraphs>0</Paragraphs>
  <TotalTime>6</TotalTime>
  <ScaleCrop>false</ScaleCrop>
  <LinksUpToDate>false</LinksUpToDate>
  <CharactersWithSpaces>6230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2025-09-16T11:24:32Z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