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7F7B1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疏附县公安局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5BA9D9">
      <w:r>
        <w:br w:type="page"/>
      </w:r>
    </w:p>
    <w:p w14:paraId="6EB71AAE">
      <w:pPr>
        <w:spacing w:line="640" w:lineRule="exact"/>
        <w:jc w:val="center"/>
        <w:outlineLvl w:val="1"/>
      </w:pPr>
      <w:r>
        <w:rPr>
          <w:rFonts w:ascii="黑体" w:hAnsi="黑体" w:eastAsia="黑体"/>
          <w:sz w:val="32"/>
        </w:rPr>
        <w:t>第一部分 单位概况</w:t>
      </w:r>
    </w:p>
    <w:p w14:paraId="01168FE2">
      <w:pPr>
        <w:spacing w:line="640" w:lineRule="exact"/>
        <w:ind w:firstLine="640"/>
        <w:jc w:val="both"/>
        <w:outlineLvl w:val="2"/>
      </w:pPr>
      <w:r>
        <w:rPr>
          <w:rFonts w:ascii="黑体" w:hAnsi="黑体" w:eastAsia="黑体"/>
          <w:sz w:val="32"/>
        </w:rPr>
        <w:t>一、主要职能</w:t>
      </w:r>
    </w:p>
    <w:p w14:paraId="63D12E6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公安机关是国家政权的重要组成部分，是我国人民民主专政政权中具有武装性质的公安行政和刑事司法的专门机关。</w:t>
      </w:r>
    </w:p>
    <w:p w14:paraId="00EB119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其任务是维护国家安全，维护社会秩序，保护公民的人身安全、人身自由和合法财产，保护公共财产，预防、制止和惩治违法犯罪活动，保障改革开放和社会主义现代化建设的顺利进行。</w:t>
      </w:r>
    </w:p>
    <w:p w14:paraId="23CB1B31">
      <w:pPr>
        <w:spacing w:line="640" w:lineRule="exact"/>
        <w:ind w:firstLine="640"/>
        <w:jc w:val="both"/>
        <w:outlineLvl w:val="2"/>
      </w:pPr>
      <w:r>
        <w:rPr>
          <w:rFonts w:ascii="黑体" w:hAnsi="黑体" w:eastAsia="黑体"/>
          <w:sz w:val="32"/>
        </w:rPr>
        <w:t>二、机构设置及人员情况</w:t>
      </w:r>
    </w:p>
    <w:p w14:paraId="2DA5CE77">
      <w:pPr>
        <w:spacing w:line="580" w:lineRule="exact"/>
        <w:ind w:firstLine="640"/>
        <w:jc w:val="both"/>
      </w:pPr>
      <w:r>
        <w:rPr>
          <w:rFonts w:ascii="仿宋_GB2312" w:hAnsi="仿宋_GB2312" w:eastAsia="仿宋_GB2312"/>
          <w:sz w:val="32"/>
        </w:rPr>
        <w:t>疏附县公安局2024年度，实有人数614人，其中：在职人员507人，减少14人；离休人员0人，增加0人；退休人员107人</w:t>
      </w:r>
      <w:bookmarkStart w:id="0" w:name="_GoBack"/>
      <w:r>
        <w:rPr>
          <w:rFonts w:ascii="仿宋_GB2312" w:hAnsi="仿宋_GB2312" w:eastAsia="仿宋_GB2312"/>
          <w:sz w:val="32"/>
        </w:rPr>
        <w:t>,</w:t>
      </w:r>
      <w:bookmarkEnd w:id="0"/>
      <w:r>
        <w:rPr>
          <w:rFonts w:ascii="仿宋_GB2312" w:hAnsi="仿宋_GB2312" w:eastAsia="仿宋_GB2312"/>
          <w:sz w:val="32"/>
        </w:rPr>
        <w:t>增加20人。</w:t>
      </w:r>
    </w:p>
    <w:p w14:paraId="71FC9ED5">
      <w:pPr>
        <w:spacing w:line="580" w:lineRule="exact"/>
        <w:ind w:firstLine="640"/>
        <w:jc w:val="both"/>
      </w:pPr>
      <w:r>
        <w:rPr>
          <w:rFonts w:ascii="仿宋_GB2312" w:hAnsi="仿宋_GB2312" w:eastAsia="仿宋_GB2312"/>
          <w:sz w:val="32"/>
        </w:rPr>
        <w:t>疏附县公安局无下属预算单位，下设2个科室，分别是：办公室、财务室。</w:t>
      </w:r>
    </w:p>
    <w:p w14:paraId="567352CF">
      <w:r>
        <w:br w:type="page"/>
      </w:r>
    </w:p>
    <w:p w14:paraId="24966540">
      <w:pPr>
        <w:spacing w:line="240" w:lineRule="auto"/>
        <w:jc w:val="center"/>
        <w:outlineLvl w:val="1"/>
      </w:pPr>
      <w:r>
        <w:rPr>
          <w:rFonts w:ascii="黑体" w:hAnsi="黑体" w:eastAsia="黑体"/>
          <w:sz w:val="32"/>
        </w:rPr>
        <w:t>第二部分 部门决算情况说明</w:t>
      </w:r>
    </w:p>
    <w:p w14:paraId="17051AAB">
      <w:pPr>
        <w:spacing w:line="640" w:lineRule="exact"/>
        <w:ind w:firstLine="640"/>
        <w:jc w:val="both"/>
        <w:outlineLvl w:val="2"/>
      </w:pPr>
      <w:r>
        <w:rPr>
          <w:rFonts w:ascii="黑体" w:hAnsi="黑体" w:eastAsia="黑体"/>
          <w:sz w:val="32"/>
        </w:rPr>
        <w:t>一、收入支出决算总体情况说明</w:t>
      </w:r>
    </w:p>
    <w:p w14:paraId="44FD9D9C">
      <w:pPr>
        <w:spacing w:line="580" w:lineRule="exact"/>
        <w:ind w:firstLine="640"/>
        <w:jc w:val="both"/>
      </w:pPr>
      <w:r>
        <w:rPr>
          <w:rFonts w:ascii="仿宋_GB2312" w:hAnsi="仿宋_GB2312" w:eastAsia="仿宋_GB2312"/>
          <w:b/>
          <w:sz w:val="32"/>
        </w:rPr>
        <w:t>2024年度收入总计30,582.94万元，</w:t>
      </w:r>
      <w:r>
        <w:rPr>
          <w:rFonts w:ascii="仿宋_GB2312" w:hAnsi="仿宋_GB2312" w:eastAsia="仿宋_GB2312"/>
          <w:b w:val="0"/>
          <w:sz w:val="32"/>
        </w:rPr>
        <w:t>其中：本年收入合计30,582.94万元，使用非财政拨款结余（含专用结余）0.00万元，年初结转和结余0.00万元。</w:t>
      </w:r>
    </w:p>
    <w:p w14:paraId="47EC274D">
      <w:pPr>
        <w:spacing w:line="580" w:lineRule="exact"/>
        <w:ind w:firstLine="640"/>
        <w:jc w:val="both"/>
      </w:pPr>
      <w:r>
        <w:rPr>
          <w:rFonts w:ascii="仿宋_GB2312" w:hAnsi="仿宋_GB2312" w:eastAsia="仿宋_GB2312"/>
          <w:b/>
          <w:sz w:val="32"/>
        </w:rPr>
        <w:t>2024年度支出总计30,582.94万元，</w:t>
      </w:r>
      <w:r>
        <w:rPr>
          <w:rFonts w:ascii="仿宋_GB2312" w:hAnsi="仿宋_GB2312" w:eastAsia="仿宋_GB2312"/>
          <w:b w:val="0"/>
          <w:sz w:val="32"/>
        </w:rPr>
        <w:t>其中：本年支出合计30,582.94万元，结余分配0.00万元，年末结转和结余0.00万元。</w:t>
      </w:r>
    </w:p>
    <w:p w14:paraId="0A4F2662">
      <w:pPr>
        <w:spacing w:line="580" w:lineRule="exact"/>
        <w:ind w:firstLine="640"/>
        <w:jc w:val="both"/>
      </w:pPr>
      <w:r>
        <w:rPr>
          <w:rFonts w:ascii="仿宋_GB2312" w:hAnsi="仿宋_GB2312" w:eastAsia="仿宋_GB2312"/>
          <w:b w:val="0"/>
          <w:sz w:val="32"/>
        </w:rPr>
        <w:t>收入支出总体与上年相比，增加6,369.01万元，增长26.30%，主要原因是：本年在职人员工资调增，社保、公积金基数调增，人员经费增加，2024年中央政法纪检监察转移支付资金项目</w:t>
      </w:r>
      <w:r>
        <w:rPr>
          <w:rFonts w:hint="eastAsia" w:ascii="仿宋_GB2312" w:hAnsi="仿宋_GB2312" w:eastAsia="仿宋_GB2312"/>
          <w:b w:val="0"/>
          <w:sz w:val="32"/>
          <w:lang w:eastAsia="zh-CN"/>
        </w:rPr>
        <w:t>、</w:t>
      </w:r>
      <w:r>
        <w:rPr>
          <w:rFonts w:ascii="仿宋_GB2312" w:hAnsi="仿宋_GB2312" w:eastAsia="仿宋_GB2312"/>
          <w:b w:val="0"/>
          <w:sz w:val="32"/>
        </w:rPr>
        <w:t>公安局项目等经费增加</w:t>
      </w:r>
      <w:r>
        <w:rPr>
          <w:rFonts w:hint="eastAsia" w:ascii="仿宋_GB2312" w:hAnsi="仿宋_GB2312" w:eastAsia="仿宋_GB2312"/>
          <w:b w:val="0"/>
          <w:sz w:val="32"/>
          <w:lang w:eastAsia="zh-CN"/>
        </w:rPr>
        <w:t>、</w:t>
      </w:r>
      <w:r>
        <w:rPr>
          <w:rFonts w:ascii="仿宋_GB2312" w:hAnsi="仿宋_GB2312" w:eastAsia="仿宋_GB2312"/>
          <w:b w:val="0"/>
          <w:sz w:val="32"/>
        </w:rPr>
        <w:t>本年新增死亡人员，死亡抚恤支出增加。</w:t>
      </w:r>
    </w:p>
    <w:p w14:paraId="5D54E5F0">
      <w:pPr>
        <w:spacing w:line="640" w:lineRule="exact"/>
        <w:ind w:firstLine="640"/>
        <w:jc w:val="both"/>
        <w:outlineLvl w:val="2"/>
      </w:pPr>
      <w:r>
        <w:rPr>
          <w:rFonts w:ascii="黑体" w:hAnsi="黑体" w:eastAsia="黑体"/>
          <w:sz w:val="32"/>
        </w:rPr>
        <w:t>二、收入决算情况说明</w:t>
      </w:r>
    </w:p>
    <w:p w14:paraId="6CB18B2E">
      <w:pPr>
        <w:spacing w:line="580" w:lineRule="exact"/>
        <w:ind w:firstLine="640"/>
        <w:jc w:val="both"/>
      </w:pPr>
      <w:r>
        <w:rPr>
          <w:rFonts w:ascii="仿宋_GB2312" w:hAnsi="仿宋_GB2312" w:eastAsia="仿宋_GB2312"/>
          <w:b/>
          <w:sz w:val="32"/>
        </w:rPr>
        <w:t>本年收入30,582.94万元，</w:t>
      </w:r>
      <w:r>
        <w:rPr>
          <w:rFonts w:ascii="仿宋_GB2312" w:hAnsi="仿宋_GB2312" w:eastAsia="仿宋_GB2312"/>
          <w:b w:val="0"/>
          <w:sz w:val="32"/>
        </w:rPr>
        <w:t>其中：财政拨款收入29,943.05万元，占97.91%；上级补助收入0.00万元，占0.00%；事业收入0.00万元，占0.00%；经营收入0.00万元，占0.00%；附属单位上缴收入0.00万元，占0.00%；其他收入639.89万元，占2.09%。</w:t>
      </w:r>
    </w:p>
    <w:p w14:paraId="6AF2C173">
      <w:pPr>
        <w:spacing w:line="640" w:lineRule="exact"/>
        <w:ind w:firstLine="640"/>
        <w:jc w:val="both"/>
        <w:outlineLvl w:val="2"/>
      </w:pPr>
      <w:r>
        <w:rPr>
          <w:rFonts w:ascii="黑体" w:hAnsi="黑体" w:eastAsia="黑体"/>
          <w:sz w:val="32"/>
        </w:rPr>
        <w:t>三、支出决算情况说明</w:t>
      </w:r>
    </w:p>
    <w:p w14:paraId="3E9BE86A">
      <w:pPr>
        <w:spacing w:line="580" w:lineRule="exact"/>
        <w:ind w:firstLine="640"/>
        <w:jc w:val="both"/>
      </w:pPr>
      <w:r>
        <w:rPr>
          <w:rFonts w:ascii="仿宋_GB2312" w:hAnsi="仿宋_GB2312" w:eastAsia="仿宋_GB2312"/>
          <w:b/>
          <w:sz w:val="32"/>
        </w:rPr>
        <w:t>本年支出30,582.94万元，</w:t>
      </w:r>
      <w:r>
        <w:rPr>
          <w:rFonts w:ascii="仿宋_GB2312" w:hAnsi="仿宋_GB2312" w:eastAsia="仿宋_GB2312"/>
          <w:b w:val="0"/>
          <w:sz w:val="32"/>
        </w:rPr>
        <w:t>其中：基本支出22,009.97万元，占71.97%；项目支出8,572.96万元，占28.03%；上缴上级支出0.00万元，占0.00%；经营支出0.00万元，占0.00%；对附属单位补助支出0.00万元，占0.00%。</w:t>
      </w:r>
    </w:p>
    <w:p w14:paraId="23CB7954">
      <w:pPr>
        <w:spacing w:line="640" w:lineRule="exact"/>
        <w:ind w:firstLine="640"/>
        <w:jc w:val="both"/>
        <w:outlineLvl w:val="2"/>
      </w:pPr>
      <w:r>
        <w:rPr>
          <w:rFonts w:ascii="黑体" w:hAnsi="黑体" w:eastAsia="黑体"/>
          <w:sz w:val="32"/>
        </w:rPr>
        <w:t>四、财政拨款收入支出决算总体情况说明</w:t>
      </w:r>
    </w:p>
    <w:p w14:paraId="69E720DC">
      <w:pPr>
        <w:spacing w:line="580" w:lineRule="exact"/>
        <w:ind w:firstLine="640"/>
        <w:jc w:val="both"/>
      </w:pPr>
      <w:r>
        <w:rPr>
          <w:rFonts w:ascii="仿宋_GB2312" w:hAnsi="仿宋_GB2312" w:eastAsia="仿宋_GB2312"/>
          <w:b/>
          <w:sz w:val="32"/>
        </w:rPr>
        <w:t>2024年度财政拨款收入总计29,943.05万元，</w:t>
      </w:r>
      <w:r>
        <w:rPr>
          <w:rFonts w:ascii="仿宋_GB2312" w:hAnsi="仿宋_GB2312" w:eastAsia="仿宋_GB2312"/>
          <w:b w:val="0"/>
          <w:sz w:val="32"/>
        </w:rPr>
        <w:t>其中：年初财政拨款结转和结余0.00万元，本年财政拨款收入29,943.05万元。</w:t>
      </w:r>
      <w:r>
        <w:rPr>
          <w:rFonts w:ascii="仿宋_GB2312" w:hAnsi="仿宋_GB2312" w:eastAsia="仿宋_GB2312"/>
          <w:b/>
          <w:sz w:val="32"/>
        </w:rPr>
        <w:t>财政拨款支出总计29,943.05万元，</w:t>
      </w:r>
      <w:r>
        <w:rPr>
          <w:rFonts w:ascii="仿宋_GB2312" w:hAnsi="仿宋_GB2312" w:eastAsia="仿宋_GB2312"/>
          <w:b w:val="0"/>
          <w:sz w:val="32"/>
        </w:rPr>
        <w:t>其中：年末财政拨款结转和结余0.00万元，本年财政拨款支出29,943.05万元。</w:t>
      </w:r>
    </w:p>
    <w:p w14:paraId="1FE078B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增加5,729.12万元，增长23.66%，主要原因是：本年在职人员工资调增，社保、公积金基数调增，人员经费增加，2024年中央政法纪检监察转移支付资金项目</w:t>
      </w:r>
      <w:r>
        <w:rPr>
          <w:rFonts w:hint="eastAsia" w:ascii="仿宋_GB2312" w:hAnsi="仿宋_GB2312" w:eastAsia="仿宋_GB2312"/>
          <w:b w:val="0"/>
          <w:sz w:val="32"/>
          <w:lang w:eastAsia="zh-CN"/>
        </w:rPr>
        <w:t>、</w:t>
      </w:r>
      <w:r>
        <w:rPr>
          <w:rFonts w:ascii="仿宋_GB2312" w:hAnsi="仿宋_GB2312" w:eastAsia="仿宋_GB2312"/>
          <w:b w:val="0"/>
          <w:sz w:val="32"/>
        </w:rPr>
        <w:t>公安局项目等经费增加</w:t>
      </w:r>
      <w:r>
        <w:rPr>
          <w:rFonts w:hint="eastAsia" w:ascii="仿宋_GB2312" w:hAnsi="仿宋_GB2312" w:eastAsia="仿宋_GB2312"/>
          <w:b w:val="0"/>
          <w:sz w:val="32"/>
          <w:lang w:eastAsia="zh-CN"/>
        </w:rPr>
        <w:t>、</w:t>
      </w:r>
      <w:r>
        <w:rPr>
          <w:rFonts w:ascii="仿宋_GB2312" w:hAnsi="仿宋_GB2312" w:eastAsia="仿宋_GB2312"/>
          <w:b w:val="0"/>
          <w:sz w:val="32"/>
        </w:rPr>
        <w:t>本年新增死亡人员，死亡抚恤支出增加。</w:t>
      </w:r>
      <w:r>
        <w:rPr>
          <w:rFonts w:ascii="仿宋_GB2312" w:hAnsi="仿宋_GB2312" w:eastAsia="仿宋_GB2312"/>
          <w:b/>
          <w:sz w:val="32"/>
        </w:rPr>
        <w:t>与年初预算相比，</w:t>
      </w:r>
      <w:r>
        <w:rPr>
          <w:rFonts w:ascii="仿宋_GB2312" w:hAnsi="仿宋_GB2312" w:eastAsia="仿宋_GB2312"/>
          <w:b w:val="0"/>
          <w:sz w:val="32"/>
        </w:rPr>
        <w:t>年初预算数25,282.71万元，决算数29,943.05万元，预决算差异率18.43%，主要原因是：年中追加人员工资、社保、公积金基数调增部分资金，追加2024年中央政法纪检监察转移支付资金项目等，导致预决算存在差异。</w:t>
      </w:r>
    </w:p>
    <w:p w14:paraId="66D8195E">
      <w:pPr>
        <w:spacing w:line="640" w:lineRule="exact"/>
        <w:ind w:firstLine="640"/>
        <w:jc w:val="both"/>
        <w:outlineLvl w:val="2"/>
      </w:pPr>
      <w:r>
        <w:rPr>
          <w:rFonts w:ascii="黑体" w:hAnsi="黑体" w:eastAsia="黑体"/>
          <w:sz w:val="32"/>
        </w:rPr>
        <w:t>五、一般公共预算财政拨款支出决算情况说明</w:t>
      </w:r>
    </w:p>
    <w:p w14:paraId="2CD090E8">
      <w:pPr>
        <w:spacing w:line="640" w:lineRule="exact"/>
        <w:ind w:firstLine="640"/>
        <w:jc w:val="both"/>
        <w:outlineLvl w:val="3"/>
      </w:pPr>
      <w:r>
        <w:rPr>
          <w:rFonts w:ascii="楷体_GB2312" w:hAnsi="楷体_GB2312" w:eastAsia="楷体_GB2312"/>
          <w:b/>
          <w:sz w:val="32"/>
        </w:rPr>
        <w:t>（一）一般公共预算财政拨款支出决算总体情况</w:t>
      </w:r>
    </w:p>
    <w:p w14:paraId="03BC2101">
      <w:pPr>
        <w:spacing w:line="580" w:lineRule="exact"/>
        <w:ind w:firstLine="640"/>
        <w:jc w:val="both"/>
      </w:pPr>
      <w:r>
        <w:rPr>
          <w:rFonts w:ascii="仿宋_GB2312" w:hAnsi="仿宋_GB2312" w:eastAsia="仿宋_GB2312"/>
          <w:b/>
          <w:sz w:val="32"/>
        </w:rPr>
        <w:t>2024年度一般公共预算财政拨款支出29,943.05万元，</w:t>
      </w:r>
      <w:r>
        <w:rPr>
          <w:rFonts w:ascii="仿宋_GB2312" w:hAnsi="仿宋_GB2312" w:eastAsia="仿宋_GB2312"/>
          <w:b w:val="0"/>
          <w:sz w:val="32"/>
        </w:rPr>
        <w:t>占本年支出合计的97.91%。</w:t>
      </w:r>
      <w:r>
        <w:rPr>
          <w:rFonts w:ascii="仿宋_GB2312" w:hAnsi="仿宋_GB2312" w:eastAsia="仿宋_GB2312"/>
          <w:b/>
          <w:sz w:val="32"/>
        </w:rPr>
        <w:t>与上年相比，</w:t>
      </w:r>
      <w:r>
        <w:rPr>
          <w:rFonts w:ascii="仿宋_GB2312" w:hAnsi="仿宋_GB2312" w:eastAsia="仿宋_GB2312"/>
          <w:b w:val="0"/>
          <w:sz w:val="32"/>
        </w:rPr>
        <w:t>增加5,729.12万元，增长23.66%，主要原因是：本年在职人员工资调增，社保、公积金基数调增，人员经费增加，2024年中央政法纪检监察转移支付资金项目</w:t>
      </w:r>
      <w:r>
        <w:rPr>
          <w:rFonts w:hint="eastAsia" w:ascii="仿宋_GB2312" w:hAnsi="仿宋_GB2312" w:eastAsia="仿宋_GB2312"/>
          <w:b w:val="0"/>
          <w:sz w:val="32"/>
          <w:lang w:eastAsia="zh-CN"/>
        </w:rPr>
        <w:t>、</w:t>
      </w:r>
      <w:r>
        <w:rPr>
          <w:rFonts w:ascii="仿宋_GB2312" w:hAnsi="仿宋_GB2312" w:eastAsia="仿宋_GB2312"/>
          <w:b w:val="0"/>
          <w:sz w:val="32"/>
        </w:rPr>
        <w:t>公安局项目等经费增加</w:t>
      </w:r>
      <w:r>
        <w:rPr>
          <w:rFonts w:hint="eastAsia" w:ascii="仿宋_GB2312" w:hAnsi="仿宋_GB2312" w:eastAsia="仿宋_GB2312"/>
          <w:b w:val="0"/>
          <w:sz w:val="32"/>
          <w:lang w:eastAsia="zh-CN"/>
        </w:rPr>
        <w:t>、</w:t>
      </w:r>
      <w:r>
        <w:rPr>
          <w:rFonts w:ascii="仿宋_GB2312" w:hAnsi="仿宋_GB2312" w:eastAsia="仿宋_GB2312"/>
          <w:b w:val="0"/>
          <w:sz w:val="32"/>
        </w:rPr>
        <w:t>本年新增死亡人员，死亡抚恤支出增加。</w:t>
      </w:r>
      <w:r>
        <w:rPr>
          <w:rFonts w:ascii="仿宋_GB2312" w:hAnsi="仿宋_GB2312" w:eastAsia="仿宋_GB2312"/>
          <w:b/>
          <w:sz w:val="32"/>
        </w:rPr>
        <w:t>与年初预算相比,</w:t>
      </w:r>
      <w:r>
        <w:rPr>
          <w:rFonts w:ascii="仿宋_GB2312" w:hAnsi="仿宋_GB2312" w:eastAsia="仿宋_GB2312"/>
          <w:b w:val="0"/>
          <w:sz w:val="32"/>
        </w:rPr>
        <w:t>年初预算数25,282.71万元，决算数29,943.05万元，预决算差异率18.43%，主要原因是：年中追加人员工资、社保、公积金基数调增部分资金，追加2024年中央政法纪检监察转移支付资金项目等，导致预决算存在差异。</w:t>
      </w:r>
    </w:p>
    <w:p w14:paraId="6CF0AE4D">
      <w:pPr>
        <w:spacing w:line="640" w:lineRule="exact"/>
        <w:ind w:firstLine="640"/>
        <w:jc w:val="both"/>
        <w:outlineLvl w:val="3"/>
      </w:pPr>
      <w:r>
        <w:rPr>
          <w:rFonts w:ascii="楷体_GB2312" w:hAnsi="楷体_GB2312" w:eastAsia="楷体_GB2312"/>
          <w:b/>
          <w:sz w:val="32"/>
        </w:rPr>
        <w:t>（二）一般公共预算财政拨款支出决算结构情况</w:t>
      </w:r>
    </w:p>
    <w:p w14:paraId="76624AAE">
      <w:pPr>
        <w:spacing w:line="580" w:lineRule="exact"/>
        <w:ind w:firstLine="640"/>
        <w:jc w:val="both"/>
      </w:pPr>
      <w:r>
        <w:rPr>
          <w:rFonts w:ascii="仿宋_GB2312" w:hAnsi="仿宋_GB2312" w:eastAsia="仿宋_GB2312"/>
          <w:b w:val="0"/>
          <w:sz w:val="32"/>
        </w:rPr>
        <w:t>1.公共安全支出(类)27,089.85万元,占90.47%。</w:t>
      </w:r>
    </w:p>
    <w:p w14:paraId="69DCCAAB">
      <w:pPr>
        <w:spacing w:line="580" w:lineRule="exact"/>
        <w:ind w:firstLine="640"/>
        <w:jc w:val="both"/>
      </w:pPr>
      <w:r>
        <w:rPr>
          <w:rFonts w:ascii="仿宋_GB2312" w:hAnsi="仿宋_GB2312" w:eastAsia="仿宋_GB2312"/>
          <w:b w:val="0"/>
          <w:sz w:val="32"/>
        </w:rPr>
        <w:t>2.社会保障和就业支出(类)1,398.30万元,占4.67%。</w:t>
      </w:r>
    </w:p>
    <w:p w14:paraId="63B65755">
      <w:pPr>
        <w:spacing w:line="580" w:lineRule="exact"/>
        <w:ind w:firstLine="640"/>
        <w:jc w:val="both"/>
      </w:pPr>
      <w:r>
        <w:rPr>
          <w:rFonts w:ascii="仿宋_GB2312" w:hAnsi="仿宋_GB2312" w:eastAsia="仿宋_GB2312"/>
          <w:b w:val="0"/>
          <w:sz w:val="32"/>
        </w:rPr>
        <w:t>3.卫生健康支出(类)528.88万元,占1.77%。</w:t>
      </w:r>
    </w:p>
    <w:p w14:paraId="69478C75">
      <w:pPr>
        <w:spacing w:line="580" w:lineRule="exact"/>
        <w:ind w:firstLine="640"/>
        <w:jc w:val="both"/>
      </w:pPr>
      <w:r>
        <w:rPr>
          <w:rFonts w:ascii="仿宋_GB2312" w:hAnsi="仿宋_GB2312" w:eastAsia="仿宋_GB2312"/>
          <w:b w:val="0"/>
          <w:sz w:val="32"/>
        </w:rPr>
        <w:t>4.住房保障支出(类)882.45万元,占2.95%。</w:t>
      </w:r>
    </w:p>
    <w:p w14:paraId="74248475">
      <w:pPr>
        <w:spacing w:line="580" w:lineRule="exact"/>
        <w:ind w:firstLine="640"/>
        <w:jc w:val="both"/>
      </w:pPr>
      <w:r>
        <w:rPr>
          <w:rFonts w:ascii="仿宋_GB2312" w:hAnsi="仿宋_GB2312" w:eastAsia="仿宋_GB2312"/>
          <w:b w:val="0"/>
          <w:sz w:val="32"/>
        </w:rPr>
        <w:t>5.其他支出(类)43.57万元,占0.15%。</w:t>
      </w:r>
    </w:p>
    <w:p w14:paraId="041F8C20">
      <w:pPr>
        <w:spacing w:line="640" w:lineRule="exact"/>
        <w:ind w:firstLine="640"/>
        <w:jc w:val="both"/>
        <w:outlineLvl w:val="3"/>
      </w:pPr>
      <w:r>
        <w:rPr>
          <w:rFonts w:ascii="楷体_GB2312" w:hAnsi="楷体_GB2312" w:eastAsia="楷体_GB2312"/>
          <w:b/>
          <w:sz w:val="32"/>
        </w:rPr>
        <w:t>（三）一般公共预算财政拨款支出决算具体情况</w:t>
      </w:r>
    </w:p>
    <w:p w14:paraId="78DA3EEA">
      <w:pPr>
        <w:spacing w:line="580" w:lineRule="exact"/>
        <w:ind w:firstLine="640"/>
        <w:jc w:val="both"/>
      </w:pPr>
      <w:r>
        <w:rPr>
          <w:rFonts w:ascii="仿宋_GB2312" w:hAnsi="仿宋_GB2312" w:eastAsia="仿宋_GB2312"/>
          <w:b w:val="0"/>
          <w:sz w:val="32"/>
        </w:rPr>
        <w:t>1.公共安全支出(类)公安(款)行政运行(项):支出决算数为19,200.35万元，比上年决算增加2,104.16万元，增长12.31%,主要原因是：本年在职人员工资调增，导致相关人员经费较上年有所增加。</w:t>
      </w:r>
    </w:p>
    <w:p w14:paraId="64AC0D7E">
      <w:pPr>
        <w:spacing w:line="580" w:lineRule="exact"/>
        <w:ind w:firstLine="640"/>
        <w:jc w:val="both"/>
      </w:pPr>
      <w:r>
        <w:rPr>
          <w:rFonts w:ascii="仿宋_GB2312" w:hAnsi="仿宋_GB2312" w:eastAsia="仿宋_GB2312"/>
          <w:b w:val="0"/>
          <w:sz w:val="32"/>
        </w:rPr>
        <w:t>2.公共安全支出(类)公安(款)一般行政管理事务(项):支出决算数为3,115.06万元，比上年决算增加2,222.68万元，增长249.07%,主要原因是：本年公安局项目经费增加。</w:t>
      </w:r>
    </w:p>
    <w:p w14:paraId="16FA03F2">
      <w:pPr>
        <w:spacing w:line="580" w:lineRule="exact"/>
        <w:ind w:firstLine="640"/>
        <w:jc w:val="both"/>
      </w:pPr>
      <w:r>
        <w:rPr>
          <w:rFonts w:ascii="仿宋_GB2312" w:hAnsi="仿宋_GB2312" w:eastAsia="仿宋_GB2312"/>
          <w:b w:val="0"/>
          <w:sz w:val="32"/>
        </w:rPr>
        <w:t>3.公共安全支出(类)公安(款)执法办案(项):支出决算数为0.00万元，比上年决算减少36.00万元，下降100.00%,主要原因是：本年减少自治区执法经费（交警执法办案费）项目资金。</w:t>
      </w:r>
    </w:p>
    <w:p w14:paraId="05022C15">
      <w:pPr>
        <w:spacing w:line="580" w:lineRule="exact"/>
        <w:ind w:firstLine="640"/>
        <w:jc w:val="both"/>
      </w:pPr>
      <w:r>
        <w:rPr>
          <w:rFonts w:ascii="仿宋_GB2312" w:hAnsi="仿宋_GB2312" w:eastAsia="仿宋_GB2312"/>
          <w:b w:val="0"/>
          <w:sz w:val="32"/>
        </w:rPr>
        <w:t>4.公共安全支出(类)公安(款)其他公安支出(项):支出决算数为4,769.44万元，比上年决算增加921.34万元，增长23.94%,主要原因是：2024年中央政法纪检监察转移支付资金项目较上年增加。</w:t>
      </w:r>
    </w:p>
    <w:p w14:paraId="79697588">
      <w:pPr>
        <w:spacing w:line="580" w:lineRule="exact"/>
        <w:ind w:firstLine="640"/>
        <w:jc w:val="both"/>
      </w:pPr>
      <w:r>
        <w:rPr>
          <w:rFonts w:ascii="仿宋_GB2312" w:hAnsi="仿宋_GB2312" w:eastAsia="仿宋_GB2312"/>
          <w:b w:val="0"/>
          <w:sz w:val="32"/>
        </w:rPr>
        <w:t>5.公共安全支出(类)其他公共安全支出(款)其他公共安全支出(项):支出决算数为5.00万元，比上年决算增加5.00万元，增长100.00%,主要原因是：本年增加中央政法纪检监察转移支付政府跨部门改革经费项目。</w:t>
      </w:r>
    </w:p>
    <w:p w14:paraId="1FBB128E">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6.社会保障和就业支出(类)行政事业单位养老支出(款)行政单位离退休(项):支出决算数为142.42万元，比上年决算增加41.76万元，增长41.49%,主要原因是：本年补发退休人员绩效，导致退休费较上年增加。</w:t>
      </w:r>
    </w:p>
    <w:p w14:paraId="0AD2CDE9">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967.94万元，比上年决算增加70.91万元，增长7.90%,主要原因是：本年在职人员工资基数调增，养老缴费基数上涨，相应支出增加。</w:t>
      </w:r>
    </w:p>
    <w:p w14:paraId="5AEE9B76">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8.社会保障和就业支出(类)行政事业单位养老支出(款)机关事业单位职业年金缴费支出(项):支出决算数为106.32万元，比上年决算增加106.32万元，增长100.00%,主要原因是：本年新增退休人员，职业年金缴费支出增加。</w:t>
      </w:r>
    </w:p>
    <w:p w14:paraId="002D7AB1">
      <w:pPr>
        <w:spacing w:line="580" w:lineRule="exact"/>
        <w:ind w:firstLine="640"/>
        <w:jc w:val="both"/>
      </w:pPr>
      <w:r>
        <w:rPr>
          <w:rFonts w:ascii="仿宋_GB2312" w:hAnsi="仿宋_GB2312" w:eastAsia="仿宋_GB2312"/>
          <w:b w:val="0"/>
          <w:sz w:val="32"/>
        </w:rPr>
        <w:t>9.社会保障和就业支出(类)抚恤(款)死亡抚恤(项):支出决算数为181.61万元，比上年决算增加181.61万元，增长100.00%,主要原因是：本年新增死亡人员，死亡抚恤支出增加。</w:t>
      </w:r>
    </w:p>
    <w:p w14:paraId="1296C114">
      <w:pPr>
        <w:spacing w:line="580" w:lineRule="exact"/>
        <w:ind w:firstLine="640"/>
        <w:jc w:val="both"/>
      </w:pPr>
      <w:r>
        <w:rPr>
          <w:rFonts w:ascii="仿宋_GB2312" w:hAnsi="仿宋_GB2312" w:eastAsia="仿宋_GB2312"/>
          <w:b w:val="0"/>
          <w:sz w:val="32"/>
        </w:rPr>
        <w:t>10.卫生健康支出(类)行政事业单位医疗(款)行政单位医疗(项):支出决算数为411.40万元，比上年决算增加17.15万元，增长4.35%,主要原因是：本年在职人员工资基数调增，医疗缴费基数上涨，相应支出增加。</w:t>
      </w:r>
    </w:p>
    <w:p w14:paraId="341B3F5E">
      <w:pPr>
        <w:spacing w:line="580" w:lineRule="exact"/>
        <w:ind w:firstLine="640"/>
        <w:jc w:val="both"/>
      </w:pPr>
      <w:r>
        <w:rPr>
          <w:rFonts w:ascii="仿宋_GB2312" w:hAnsi="仿宋_GB2312" w:eastAsia="仿宋_GB2312"/>
          <w:b w:val="0"/>
          <w:sz w:val="32"/>
        </w:rPr>
        <w:t>11.卫生健康支出(类)行政事业单位医疗(款)公务员医疗补助(项):支出决算数为117.48万元，比上年决算减少5.62万元，下降4.57%,主要原因是：本年在职人员减少，公务员医疗补助较上年减少。</w:t>
      </w:r>
    </w:p>
    <w:p w14:paraId="5773D978">
      <w:pPr>
        <w:spacing w:line="580" w:lineRule="exact"/>
        <w:ind w:firstLine="640"/>
        <w:jc w:val="both"/>
      </w:pPr>
      <w:r>
        <w:rPr>
          <w:rFonts w:ascii="仿宋_GB2312" w:hAnsi="仿宋_GB2312" w:eastAsia="仿宋_GB2312"/>
          <w:b w:val="0"/>
          <w:sz w:val="32"/>
        </w:rPr>
        <w:t>12.住房保障支出(类)住房改革支出(款)住房公积金(项):支出决算数为882.45万元，比上年决算增加65.62万元，增长8.03%,主要原因是：本年在职人员工资基数调增，公积金缴费基数上涨，相应支出增加。</w:t>
      </w:r>
    </w:p>
    <w:p w14:paraId="208511D4">
      <w:pPr>
        <w:spacing w:line="580" w:lineRule="exact"/>
        <w:ind w:firstLine="640"/>
        <w:jc w:val="both"/>
      </w:pPr>
      <w:r>
        <w:rPr>
          <w:rFonts w:ascii="仿宋_GB2312" w:hAnsi="仿宋_GB2312" w:eastAsia="仿宋_GB2312"/>
          <w:b w:val="0"/>
          <w:sz w:val="32"/>
        </w:rPr>
        <w:t>13.其他支出(类)其他支出(款)其他支出(项):支出决算数为43.57万元，比上年决算增加34.18万元，增长364.00%,主要原因是：增加2024为民办实事项目经费。</w:t>
      </w:r>
    </w:p>
    <w:p w14:paraId="75B163A7">
      <w:pPr>
        <w:spacing w:line="640" w:lineRule="exact"/>
        <w:ind w:firstLine="640"/>
        <w:jc w:val="both"/>
        <w:outlineLvl w:val="2"/>
      </w:pPr>
      <w:r>
        <w:rPr>
          <w:rFonts w:ascii="黑体" w:hAnsi="黑体" w:eastAsia="黑体"/>
          <w:sz w:val="32"/>
        </w:rPr>
        <w:t>六、一般公共预算财政拨款基本支出决算情况说明</w:t>
      </w:r>
    </w:p>
    <w:p w14:paraId="15110994">
      <w:pPr>
        <w:spacing w:line="580" w:lineRule="exact"/>
        <w:ind w:firstLine="640"/>
        <w:jc w:val="both"/>
      </w:pPr>
      <w:r>
        <w:rPr>
          <w:rFonts w:ascii="仿宋_GB2312" w:hAnsi="仿宋_GB2312" w:eastAsia="仿宋_GB2312"/>
          <w:b w:val="0"/>
          <w:sz w:val="32"/>
        </w:rPr>
        <w:t>2024年度一般公共预算财政拨款基本支出22,009.97万元，其中：</w:t>
      </w:r>
      <w:r>
        <w:rPr>
          <w:rFonts w:ascii="仿宋_GB2312" w:hAnsi="仿宋_GB2312" w:eastAsia="仿宋_GB2312"/>
          <w:b/>
          <w:sz w:val="32"/>
        </w:rPr>
        <w:t>人员经费21,502.12万元，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29901E2F">
      <w:pPr>
        <w:spacing w:line="580" w:lineRule="exact"/>
        <w:ind w:firstLine="640"/>
        <w:jc w:val="both"/>
      </w:pPr>
      <w:r>
        <w:rPr>
          <w:rFonts w:ascii="仿宋_GB2312" w:hAnsi="仿宋_GB2312" w:eastAsia="仿宋_GB2312"/>
          <w:b/>
          <w:sz w:val="32"/>
        </w:rPr>
        <w:t>公用经费507.85万元，</w:t>
      </w:r>
      <w:r>
        <w:rPr>
          <w:rFonts w:ascii="仿宋_GB2312" w:hAnsi="仿宋_GB2312" w:eastAsia="仿宋_GB2312"/>
          <w:b w:val="0"/>
          <w:sz w:val="32"/>
        </w:rPr>
        <w:t>包括：办公费、手续费、水费、电费、邮电费、取暖费、差旅费、租赁费、公务用车运行维护费、其他交通费用。</w:t>
      </w:r>
    </w:p>
    <w:p w14:paraId="7DDA7553">
      <w:pPr>
        <w:spacing w:line="640" w:lineRule="exact"/>
        <w:ind w:firstLine="640"/>
        <w:jc w:val="both"/>
        <w:outlineLvl w:val="2"/>
      </w:pPr>
      <w:r>
        <w:rPr>
          <w:rFonts w:ascii="黑体" w:hAnsi="黑体" w:eastAsia="黑体"/>
          <w:sz w:val="32"/>
        </w:rPr>
        <w:t>七、政府性基金预算财政拨款收入支出决算情况说明</w:t>
      </w:r>
    </w:p>
    <w:p w14:paraId="1DB185B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E6F8C6E">
      <w:pPr>
        <w:spacing w:line="640" w:lineRule="exact"/>
        <w:ind w:firstLine="640"/>
        <w:jc w:val="both"/>
        <w:outlineLvl w:val="2"/>
      </w:pPr>
      <w:r>
        <w:rPr>
          <w:rFonts w:ascii="黑体" w:hAnsi="黑体" w:eastAsia="黑体"/>
          <w:sz w:val="32"/>
        </w:rPr>
        <w:t>八、国有资本经营预算财政拨款收入支出决算情况说明</w:t>
      </w:r>
    </w:p>
    <w:p w14:paraId="0552466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ADCF7EA">
      <w:pPr>
        <w:spacing w:line="640" w:lineRule="exact"/>
        <w:ind w:firstLine="640"/>
        <w:jc w:val="both"/>
        <w:outlineLvl w:val="2"/>
      </w:pPr>
      <w:r>
        <w:rPr>
          <w:rFonts w:ascii="黑体" w:hAnsi="黑体" w:eastAsia="黑体"/>
          <w:sz w:val="32"/>
        </w:rPr>
        <w:t>九、财政拨款“三公”经费支出决算情况说明</w:t>
      </w:r>
    </w:p>
    <w:p w14:paraId="1B28124B">
      <w:pPr>
        <w:spacing w:line="580" w:lineRule="exact"/>
        <w:ind w:firstLine="640"/>
        <w:jc w:val="both"/>
      </w:pPr>
      <w:r>
        <w:rPr>
          <w:rFonts w:ascii="仿宋_GB2312" w:hAnsi="仿宋_GB2312" w:eastAsia="仿宋_GB2312"/>
          <w:b/>
          <w:sz w:val="32"/>
        </w:rPr>
        <w:t>2024年度财政拨款“三公”经费支出126.56万元，</w:t>
      </w:r>
      <w:r>
        <w:rPr>
          <w:rFonts w:ascii="仿宋_GB2312" w:hAnsi="仿宋_GB2312" w:eastAsia="仿宋_GB2312"/>
          <w:b w:val="0"/>
          <w:sz w:val="32"/>
        </w:rPr>
        <w:t>比上年增加32.20万元，增长34.12%，主要原因是：本年本单位巡检活动增加，车辆使用频率增加，车辆运行维护费支出较上年增加。其中：因公出国（境）费支出0.00万元，占0.00%，比上年增加0.00万元，增长0.00%，主要原因是：2023年与2024年均未安排因公出国（境）费支出。公务用车购置及运行维护费支出126.56万元，占100.00%，比上年增加32.20万元，增长34.12%，主要原因是：本年因业务需求，用车次数增加，燃油费增加，导致公务用车运行维护费较上年增加。公务接待费支出0.00万元，占0.00%，比上年增加0.00万元，增长0.00%，主要原因是：2023年与2024年均未安排公务接待费支出。</w:t>
      </w:r>
    </w:p>
    <w:p w14:paraId="788CB74F">
      <w:pPr>
        <w:spacing w:line="580" w:lineRule="exact"/>
        <w:ind w:firstLine="640"/>
        <w:jc w:val="both"/>
      </w:pPr>
      <w:r>
        <w:rPr>
          <w:rFonts w:ascii="仿宋_GB2312" w:hAnsi="仿宋_GB2312" w:eastAsia="仿宋_GB2312"/>
          <w:b/>
          <w:sz w:val="32"/>
        </w:rPr>
        <w:t>具体情况如下：</w:t>
      </w:r>
    </w:p>
    <w:p w14:paraId="2AA6A5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BECB7E8">
      <w:pPr>
        <w:spacing w:line="580" w:lineRule="exact"/>
        <w:ind w:firstLine="640"/>
        <w:jc w:val="both"/>
      </w:pPr>
      <w:r>
        <w:rPr>
          <w:rFonts w:ascii="仿宋_GB2312" w:hAnsi="仿宋_GB2312" w:eastAsia="仿宋_GB2312"/>
          <w:b w:val="0"/>
          <w:sz w:val="32"/>
        </w:rPr>
        <w:t>公务用车购置及运行维护费126.56万元，其中：公务用车购置费0.00万元，公务用车运行维护费126.56万元。公务用车运行维护费开支内容包括车辆加油费、维修费、保险费、审车费、过路费等。公务用车购置数0辆，公务用车保有量149辆。国有资产占用情况中固定资产车辆149辆，与公务用车保有量差异原因是：本单位固定资产车辆与公务用车保有量一致无差异。</w:t>
      </w:r>
    </w:p>
    <w:p w14:paraId="09CE199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6C08F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126.56万元，决算数126.56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126.56万元，决算数126.56万元，预决算差异率0.00%，主要原因是：严格按照预算执行，预决算无差异。公务接待费全年预算数0.00万元，决算数0.00万元，预决算差异率0.00%，主要原因是：本单位无公务接待费。</w:t>
      </w:r>
    </w:p>
    <w:p w14:paraId="263C47DE">
      <w:pPr>
        <w:spacing w:line="640" w:lineRule="exact"/>
        <w:ind w:firstLine="640"/>
        <w:jc w:val="both"/>
        <w:outlineLvl w:val="2"/>
      </w:pPr>
      <w:r>
        <w:rPr>
          <w:rFonts w:ascii="黑体" w:hAnsi="黑体" w:eastAsia="黑体"/>
          <w:sz w:val="32"/>
        </w:rPr>
        <w:t>十、其他重要事项的情况说明</w:t>
      </w:r>
    </w:p>
    <w:p w14:paraId="07E6C398">
      <w:pPr>
        <w:spacing w:line="640" w:lineRule="exact"/>
        <w:ind w:firstLine="640"/>
        <w:jc w:val="both"/>
        <w:outlineLvl w:val="3"/>
      </w:pPr>
      <w:r>
        <w:rPr>
          <w:rFonts w:ascii="楷体_GB2312" w:hAnsi="楷体_GB2312" w:eastAsia="楷体_GB2312"/>
          <w:b/>
          <w:sz w:val="32"/>
        </w:rPr>
        <w:t>（一）机关运行经费及公用经费支出情况</w:t>
      </w:r>
    </w:p>
    <w:p w14:paraId="4EAA0862">
      <w:pPr>
        <w:spacing w:line="580" w:lineRule="exact"/>
        <w:ind w:firstLine="640"/>
        <w:jc w:val="both"/>
      </w:pPr>
      <w:r>
        <w:rPr>
          <w:rFonts w:ascii="仿宋_GB2312" w:hAnsi="仿宋_GB2312" w:eastAsia="仿宋_GB2312"/>
          <w:b w:val="0"/>
          <w:sz w:val="32"/>
        </w:rPr>
        <w:t>2024年度疏附县公安局（行政单位和参照公务员法管理事业单位）机关运行经费支出507.85万元，比上年增加43.67万元，增长9.41%，主要原因是：本年更新、维护补充办公用品，导致机关运行经费较上年增加。</w:t>
      </w:r>
    </w:p>
    <w:p w14:paraId="5F3F6046">
      <w:pPr>
        <w:spacing w:line="640" w:lineRule="exact"/>
        <w:ind w:firstLine="640"/>
        <w:jc w:val="both"/>
        <w:outlineLvl w:val="3"/>
      </w:pPr>
      <w:r>
        <w:rPr>
          <w:rFonts w:ascii="楷体_GB2312" w:hAnsi="楷体_GB2312" w:eastAsia="楷体_GB2312"/>
          <w:b/>
          <w:sz w:val="32"/>
        </w:rPr>
        <w:t>（二）政府采购情况</w:t>
      </w:r>
    </w:p>
    <w:p w14:paraId="219FE9F1">
      <w:pPr>
        <w:spacing w:line="580" w:lineRule="exact"/>
        <w:ind w:firstLine="640"/>
        <w:jc w:val="both"/>
      </w:pPr>
      <w:r>
        <w:rPr>
          <w:rFonts w:ascii="仿宋_GB2312" w:hAnsi="仿宋_GB2312" w:eastAsia="仿宋_GB2312"/>
          <w:b w:val="0"/>
          <w:sz w:val="32"/>
        </w:rPr>
        <w:t>2024年度政府采购支出总额1,416.05万元，其中：政府采购货物支出799.55万元、政府采购工程支出95.38万元、政府采购服务支出521.13万元。</w:t>
      </w:r>
    </w:p>
    <w:p w14:paraId="68738240">
      <w:pPr>
        <w:spacing w:line="580" w:lineRule="exact"/>
        <w:ind w:firstLine="640"/>
        <w:jc w:val="both"/>
      </w:pPr>
      <w:r>
        <w:rPr>
          <w:rFonts w:ascii="仿宋_GB2312" w:hAnsi="仿宋_GB2312" w:eastAsia="仿宋_GB2312"/>
          <w:b w:val="0"/>
          <w:sz w:val="32"/>
        </w:rPr>
        <w:t>授予中小企业合同金额1,416.05万元，占政府采购支出总额的100.00%，其中：授予小微企业合同金额660.05万元，占政府采购支出总额的46.61%。</w:t>
      </w:r>
    </w:p>
    <w:p w14:paraId="3E28BDB0">
      <w:pPr>
        <w:spacing w:line="640" w:lineRule="exact"/>
        <w:ind w:firstLine="640"/>
        <w:jc w:val="both"/>
        <w:outlineLvl w:val="3"/>
      </w:pPr>
      <w:r>
        <w:rPr>
          <w:rFonts w:ascii="楷体_GB2312" w:hAnsi="楷体_GB2312" w:eastAsia="楷体_GB2312"/>
          <w:b/>
          <w:sz w:val="32"/>
        </w:rPr>
        <w:t>（三）国有资产占用情况说明</w:t>
      </w:r>
    </w:p>
    <w:p w14:paraId="05678BD7">
      <w:pPr>
        <w:spacing w:line="580" w:lineRule="exact"/>
        <w:ind w:firstLine="640"/>
        <w:jc w:val="both"/>
      </w:pPr>
      <w:r>
        <w:rPr>
          <w:rFonts w:ascii="仿宋_GB2312" w:hAnsi="仿宋_GB2312" w:eastAsia="仿宋_GB2312"/>
          <w:b w:val="0"/>
          <w:sz w:val="32"/>
        </w:rPr>
        <w:t>截至2024年12月31日，房屋13,138.67平方米，价值1,308.25万元。车辆149辆，价值2,387.04万元，其中：副部（省）级及以上领导用车0辆、主要负责人用车0辆、机要通信用车0辆、应急保障用车0辆、执法执勤用车142辆、特种专业技术用车7辆、离退休干部服务用车0辆、其他用车0辆，其他用车主要是：本单位无其他用车。单价100万元（含）以上设备（不含车辆）14台（套）。</w:t>
      </w:r>
    </w:p>
    <w:p w14:paraId="66F4E612">
      <w:pPr>
        <w:spacing w:line="640" w:lineRule="exact"/>
        <w:ind w:firstLine="640"/>
        <w:jc w:val="both"/>
        <w:outlineLvl w:val="2"/>
      </w:pPr>
      <w:r>
        <w:rPr>
          <w:rFonts w:ascii="黑体" w:hAnsi="黑体" w:eastAsia="黑体"/>
          <w:sz w:val="32"/>
        </w:rPr>
        <w:t>十一、预算绩效的情况说明</w:t>
      </w:r>
    </w:p>
    <w:p w14:paraId="1A56380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根据预算绩效管理要求，本单位2024年度预算绩效管理形成整体支出绩效自评表1个，全年预算总额35,972.11万元，实际执行总额33,404.13万元；预算绩效评价项目</w:t>
      </w:r>
      <w:r>
        <w:rPr>
          <w:rFonts w:hint="eastAsia" w:ascii="仿宋_GB2312" w:hAnsi="仿宋_GB2312" w:eastAsia="仿宋_GB2312"/>
          <w:b w:val="0"/>
          <w:sz w:val="32"/>
          <w:lang w:val="en-US" w:eastAsia="zh-CN"/>
        </w:rPr>
        <w:t>18</w:t>
      </w:r>
      <w:r>
        <w:rPr>
          <w:rFonts w:ascii="仿宋_GB2312" w:hAnsi="仿宋_GB2312" w:eastAsia="仿宋_GB2312"/>
          <w:b w:val="0"/>
          <w:sz w:val="32"/>
        </w:rPr>
        <w:t>个，全年预算数</w:t>
      </w:r>
      <w:r>
        <w:rPr>
          <w:rFonts w:hint="eastAsia" w:ascii="仿宋_GB2312" w:hAnsi="仿宋_GB2312" w:eastAsia="仿宋_GB2312"/>
          <w:b w:val="0"/>
          <w:sz w:val="32"/>
        </w:rPr>
        <w:t>11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196.5</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w:t>
      </w:r>
      <w:r>
        <w:rPr>
          <w:rFonts w:hint="eastAsia" w:ascii="仿宋_GB2312" w:hAnsi="仿宋_GB2312" w:eastAsia="仿宋_GB2312"/>
          <w:b w:val="0"/>
          <w:sz w:val="32"/>
        </w:rPr>
        <w:t>10</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848.01</w:t>
      </w:r>
      <w:r>
        <w:rPr>
          <w:rFonts w:ascii="仿宋_GB2312" w:hAnsi="仿宋_GB2312" w:eastAsia="仿宋_GB2312"/>
          <w:b w:val="0"/>
          <w:sz w:val="32"/>
        </w:rPr>
        <w:t>万元。预算绩效管理取得的成效：本单位预算绩效项目SM不予公开。发现的问题及原因：本单位预算绩效项目SM不予公开。下一步改进措施：本单位预算绩效项目SM不予公开。具体附整体支出绩效自评表。</w:t>
      </w:r>
    </w:p>
    <w:p w14:paraId="2B39842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05DC29">
        <w:tblPrEx>
          <w:tblCellMar>
            <w:top w:w="0" w:type="dxa"/>
            <w:left w:w="108" w:type="dxa"/>
            <w:bottom w:w="0" w:type="dxa"/>
            <w:right w:w="108" w:type="dxa"/>
          </w:tblCellMar>
        </w:tblPrEx>
        <w:tc>
          <w:tcPr>
            <w:tcW w:w="8847" w:type="dxa"/>
            <w:gridSpan w:val="9"/>
            <w:vAlign w:val="center"/>
          </w:tcPr>
          <w:p w14:paraId="66311A31">
            <w:pPr>
              <w:jc w:val="center"/>
            </w:pPr>
            <w:r>
              <w:rPr>
                <w:rFonts w:ascii="宋体" w:hAnsi="宋体" w:eastAsia="宋体"/>
                <w:sz w:val="24"/>
              </w:rPr>
              <w:t>单位整体支出绩效自评表</w:t>
            </w:r>
          </w:p>
        </w:tc>
      </w:tr>
      <w:tr w14:paraId="5212D11F">
        <w:tblPrEx>
          <w:tblCellMar>
            <w:top w:w="0" w:type="dxa"/>
            <w:left w:w="108" w:type="dxa"/>
            <w:bottom w:w="0" w:type="dxa"/>
            <w:right w:w="108" w:type="dxa"/>
          </w:tblCellMar>
        </w:tblPrEx>
        <w:tc>
          <w:tcPr>
            <w:tcW w:w="8847" w:type="dxa"/>
            <w:gridSpan w:val="9"/>
            <w:vAlign w:val="center"/>
          </w:tcPr>
          <w:p w14:paraId="3F242909">
            <w:pPr>
              <w:jc w:val="center"/>
            </w:pPr>
            <w:r>
              <w:rPr>
                <w:rFonts w:ascii="宋体" w:hAnsi="宋体" w:eastAsia="宋体"/>
                <w:sz w:val="24"/>
              </w:rPr>
              <w:t>（2024年度）</w:t>
            </w:r>
          </w:p>
        </w:tc>
      </w:tr>
      <w:tr w14:paraId="2B123E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6567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7483F5">
            <w:pPr>
              <w:jc w:val="center"/>
            </w:pPr>
            <w:r>
              <w:rPr>
                <w:rFonts w:ascii="宋体" w:hAnsi="宋体" w:eastAsia="宋体"/>
                <w:sz w:val="16"/>
              </w:rPr>
              <w:t>疏附县公安局</w:t>
            </w:r>
          </w:p>
        </w:tc>
      </w:tr>
      <w:tr w14:paraId="5CEDC7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54BF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806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8858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FF6F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B7D2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C5D3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F06C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CA1A">
            <w:pPr>
              <w:jc w:val="center"/>
            </w:pPr>
            <w:r>
              <w:rPr>
                <w:rFonts w:ascii="宋体" w:hAnsi="宋体" w:eastAsia="宋体"/>
                <w:sz w:val="16"/>
              </w:rPr>
              <w:t>得分</w:t>
            </w:r>
          </w:p>
        </w:tc>
      </w:tr>
      <w:tr w14:paraId="0AF4D3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B94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1D21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F9996">
            <w:pPr>
              <w:jc w:val="center"/>
            </w:pPr>
            <w:r>
              <w:rPr>
                <w:rFonts w:ascii="宋体" w:hAnsi="宋体" w:eastAsia="宋体"/>
                <w:sz w:val="16"/>
              </w:rPr>
              <w:t>25,282.71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F68D">
            <w:pPr>
              <w:jc w:val="center"/>
            </w:pPr>
            <w:r>
              <w:rPr>
                <w:rFonts w:ascii="宋体" w:hAnsi="宋体" w:eastAsia="宋体"/>
                <w:sz w:val="16"/>
              </w:rPr>
              <w:t>35,972.11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E3087">
            <w:pPr>
              <w:jc w:val="center"/>
            </w:pPr>
            <w:r>
              <w:rPr>
                <w:rFonts w:ascii="宋体" w:hAnsi="宋体" w:eastAsia="宋体"/>
                <w:sz w:val="16"/>
              </w:rPr>
              <w:t>33,404.13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E7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C85C">
            <w:pPr>
              <w:jc w:val="center"/>
            </w:pPr>
            <w:r>
              <w:rPr>
                <w:rFonts w:ascii="宋体" w:hAnsi="宋体" w:eastAsia="宋体"/>
                <w:sz w:val="16"/>
              </w:rPr>
              <w:t>92.86%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61AC">
            <w:pPr>
              <w:jc w:val="center"/>
            </w:pPr>
            <w:r>
              <w:rPr>
                <w:rFonts w:ascii="宋体" w:hAnsi="宋体" w:eastAsia="宋体"/>
                <w:sz w:val="16"/>
              </w:rPr>
              <w:t>9.3</w:t>
            </w:r>
          </w:p>
        </w:tc>
      </w:tr>
      <w:tr w14:paraId="3C1D74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F75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1209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C2D80">
            <w:pPr>
              <w:jc w:val="center"/>
            </w:pPr>
            <w:r>
              <w:rPr>
                <w:rFonts w:ascii="宋体" w:hAnsi="宋体" w:eastAsia="宋体"/>
                <w:sz w:val="16"/>
              </w:rPr>
              <w:t>4,690.44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0B199">
            <w:pPr>
              <w:jc w:val="center"/>
            </w:pPr>
            <w:r>
              <w:rPr>
                <w:rFonts w:ascii="宋体" w:hAnsi="宋体" w:eastAsia="宋体"/>
                <w:sz w:val="16"/>
              </w:rPr>
              <w:t>4,643.87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58804">
            <w:pPr>
              <w:jc w:val="center"/>
            </w:pPr>
            <w:r>
              <w:rPr>
                <w:rFonts w:ascii="宋体" w:hAnsi="宋体" w:eastAsia="宋体"/>
                <w:sz w:val="16"/>
              </w:rPr>
              <w:t>4,604.11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4B0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0210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E993D">
            <w:pPr>
              <w:jc w:val="center"/>
            </w:pPr>
            <w:r>
              <w:rPr>
                <w:rFonts w:ascii="宋体" w:hAnsi="宋体" w:eastAsia="宋体"/>
                <w:sz w:val="16"/>
              </w:rPr>
              <w:t>—</w:t>
            </w:r>
          </w:p>
        </w:tc>
      </w:tr>
      <w:tr w14:paraId="28F567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030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11EE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4D2B1">
            <w:pPr>
              <w:jc w:val="center"/>
            </w:pPr>
            <w:r>
              <w:rPr>
                <w:rFonts w:ascii="宋体" w:hAnsi="宋体" w:eastAsia="宋体"/>
                <w:sz w:val="16"/>
              </w:rPr>
              <w:t>20,592.27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FC5B7">
            <w:pPr>
              <w:jc w:val="center"/>
            </w:pPr>
            <w:r>
              <w:rPr>
                <w:rFonts w:ascii="宋体" w:hAnsi="宋体" w:eastAsia="宋体"/>
                <w:sz w:val="16"/>
              </w:rPr>
              <w:t>27,797.05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5ECE9">
            <w:pPr>
              <w:jc w:val="center"/>
            </w:pPr>
            <w:r>
              <w:rPr>
                <w:rFonts w:ascii="宋体" w:hAnsi="宋体" w:eastAsia="宋体"/>
                <w:sz w:val="16"/>
              </w:rPr>
              <w:t>25,338.94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95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6CF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32A5F">
            <w:pPr>
              <w:jc w:val="center"/>
            </w:pPr>
            <w:r>
              <w:rPr>
                <w:rFonts w:ascii="宋体" w:hAnsi="宋体" w:eastAsia="宋体"/>
                <w:sz w:val="16"/>
              </w:rPr>
              <w:t>—</w:t>
            </w:r>
          </w:p>
        </w:tc>
      </w:tr>
      <w:tr w14:paraId="006F28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448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CF6E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F96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B5F03">
            <w:pPr>
              <w:jc w:val="center"/>
            </w:pPr>
            <w:r>
              <w:rPr>
                <w:rFonts w:ascii="宋体" w:hAnsi="宋体" w:eastAsia="宋体"/>
                <w:sz w:val="16"/>
              </w:rPr>
              <w:t>3,531.19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CEA69">
            <w:pPr>
              <w:jc w:val="center"/>
            </w:pPr>
            <w:r>
              <w:rPr>
                <w:rFonts w:ascii="宋体" w:hAnsi="宋体" w:eastAsia="宋体"/>
                <w:sz w:val="16"/>
              </w:rPr>
              <w:t>3,461.08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4D0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2CC0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EB339">
            <w:pPr>
              <w:jc w:val="center"/>
            </w:pPr>
            <w:r>
              <w:rPr>
                <w:rFonts w:ascii="宋体" w:hAnsi="宋体" w:eastAsia="宋体"/>
                <w:sz w:val="16"/>
              </w:rPr>
              <w:t>—</w:t>
            </w:r>
          </w:p>
        </w:tc>
      </w:tr>
      <w:tr w14:paraId="2B1C37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230C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0B044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869D50">
            <w:pPr>
              <w:jc w:val="center"/>
            </w:pPr>
            <w:r>
              <w:rPr>
                <w:rFonts w:ascii="宋体" w:hAnsi="宋体" w:eastAsia="宋体"/>
                <w:sz w:val="16"/>
              </w:rPr>
              <w:t>实际完成情况</w:t>
            </w:r>
          </w:p>
        </w:tc>
      </w:tr>
      <w:tr w14:paraId="7E8779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0D07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A5371F">
            <w:pPr>
              <w:jc w:val="both"/>
            </w:pPr>
            <w:r>
              <w:rPr>
                <w:rFonts w:ascii="宋体" w:hAnsi="宋体" w:eastAsia="宋体"/>
                <w:sz w:val="16"/>
              </w:rPr>
              <w:t>深入贯彻党的二十大精神，制定公安培训教育及公安宣传的方针和措施，开展安全防范宣传教育，鼓励群众积极举报违法犯罪事件，创造文明和谐的社会环境，进一步加强公安队伍的革命化、现代化、正规化建设及管理教育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研究我县公安机关在改革开放和市场经济条件下出现的新情况、新问题,推进公安工作改革,逐步形成合理高效的公安工作新机制，维护全县社会治安。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CBECA2">
            <w:pPr>
              <w:jc w:val="both"/>
            </w:pPr>
            <w:r>
              <w:rPr>
                <w:rFonts w:ascii="宋体" w:hAnsi="宋体" w:eastAsia="宋体"/>
                <w:sz w:val="16"/>
              </w:rPr>
              <w:t>制定公安培训教育及公安宣传的方针和措施，开展安全防范宣传教育，鼓励群众积极举报违法犯罪事件，创造文明和谐的社会环境，进一步加强公安队伍的革命化、现代化、正规化建设及管理教育工作。2024年度保障</w:t>
            </w:r>
            <w:r>
              <w:rPr>
                <w:rFonts w:hint="eastAsia" w:ascii="宋体" w:hAnsi="宋体"/>
                <w:sz w:val="16"/>
                <w:lang w:eastAsia="zh-CN"/>
              </w:rPr>
              <w:t>本单位</w:t>
            </w:r>
            <w:r>
              <w:rPr>
                <w:rFonts w:ascii="宋体" w:hAnsi="宋体" w:eastAsia="宋体"/>
                <w:sz w:val="16"/>
              </w:rPr>
              <w:t>1363名在职在编人员工资、社保及住房公积金，其中在职在编516人，县内自聘847人，保障694名联防队员补助等相关支出，保障</w:t>
            </w:r>
            <w:r>
              <w:rPr>
                <w:rFonts w:hint="eastAsia" w:ascii="宋体" w:hAnsi="宋体"/>
                <w:sz w:val="16"/>
                <w:lang w:eastAsia="zh-CN"/>
              </w:rPr>
              <w:t>本单位</w:t>
            </w:r>
            <w:r>
              <w:rPr>
                <w:rFonts w:ascii="宋体" w:hAnsi="宋体" w:eastAsia="宋体"/>
                <w:sz w:val="16"/>
              </w:rPr>
              <w:t>执法办案业务费及执法办案装备采购、办公用品及178辆车辆运行费用，保障单位日常工作正常运行，治安管理工作合格率95%，违法案件破案率100%，重点工作办结率100%，群众财产安全和人身安全保障率95%，受理案件及时率小于24小时，持续提升基层派出所</w:t>
            </w:r>
            <w:r>
              <w:rPr>
                <w:rFonts w:hint="eastAsia" w:ascii="宋体" w:hAnsi="宋体"/>
                <w:sz w:val="16"/>
                <w:lang w:eastAsia="zh-CN"/>
              </w:rPr>
              <w:t>对</w:t>
            </w:r>
            <w:r>
              <w:rPr>
                <w:rFonts w:ascii="宋体" w:hAnsi="宋体" w:eastAsia="宋体"/>
                <w:sz w:val="16"/>
              </w:rPr>
              <w:t>社会公众服务能力，有效提升案件侦破率，有效保障群众财产安全和人身安全，民警满意度及群众满意度达到95%。</w:t>
            </w:r>
          </w:p>
        </w:tc>
      </w:tr>
      <w:tr w14:paraId="4D49F4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33E0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DAC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4EC7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3E6B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5D3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0F86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FF39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4748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5CC10">
            <w:pPr>
              <w:jc w:val="center"/>
            </w:pPr>
            <w:r>
              <w:rPr>
                <w:rFonts w:ascii="宋体" w:hAnsi="宋体" w:eastAsia="宋体"/>
                <w:sz w:val="16"/>
              </w:rPr>
              <w:t>得分</w:t>
            </w:r>
          </w:p>
        </w:tc>
      </w:tr>
      <w:tr w14:paraId="707573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3473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6F0E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2C8D1">
            <w:pPr>
              <w:jc w:val="center"/>
            </w:pPr>
            <w:r>
              <w:rPr>
                <w:rFonts w:ascii="宋体" w:hAnsi="宋体" w:eastAsia="宋体"/>
                <w:sz w:val="16"/>
              </w:rPr>
              <w:t>治安管理工作合格率（%）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C0D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51C9F">
            <w:pPr>
              <w:jc w:val="center"/>
            </w:pPr>
            <w:r>
              <w:rPr>
                <w:rFonts w:ascii="宋体" w:hAnsi="宋体" w:eastAsia="宋体"/>
                <w:sz w:val="16"/>
              </w:rPr>
              <w:t>疏附县公安局2024年工作计划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ECF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C667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B45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DC5BC">
            <w:pPr>
              <w:jc w:val="center"/>
            </w:pPr>
            <w:r>
              <w:rPr>
                <w:rFonts w:ascii="宋体" w:hAnsi="宋体" w:eastAsia="宋体"/>
                <w:sz w:val="16"/>
              </w:rPr>
              <w:t>20</w:t>
            </w:r>
          </w:p>
        </w:tc>
      </w:tr>
      <w:tr w14:paraId="1606B5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D45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85D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8CF8A">
            <w:pPr>
              <w:jc w:val="center"/>
            </w:pPr>
            <w:r>
              <w:rPr>
                <w:rFonts w:ascii="宋体" w:hAnsi="宋体" w:eastAsia="宋体"/>
                <w:sz w:val="16"/>
              </w:rPr>
              <w:t>违法案件破案率（%）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043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620AB">
            <w:pPr>
              <w:jc w:val="center"/>
            </w:pPr>
            <w:r>
              <w:rPr>
                <w:rFonts w:ascii="宋体" w:hAnsi="宋体" w:eastAsia="宋体"/>
                <w:sz w:val="16"/>
              </w:rPr>
              <w:t>疏附县公安局2024年工作计划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CDA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802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C09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6C0BA">
            <w:pPr>
              <w:jc w:val="center"/>
            </w:pPr>
            <w:r>
              <w:rPr>
                <w:rFonts w:ascii="宋体" w:hAnsi="宋体" w:eastAsia="宋体"/>
                <w:sz w:val="16"/>
              </w:rPr>
              <w:t>20</w:t>
            </w:r>
          </w:p>
        </w:tc>
      </w:tr>
      <w:tr w14:paraId="2A041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1BA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3E7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41F4E">
            <w:pPr>
              <w:jc w:val="center"/>
            </w:pPr>
            <w:r>
              <w:rPr>
                <w:rFonts w:ascii="宋体" w:hAnsi="宋体" w:eastAsia="宋体"/>
                <w:sz w:val="16"/>
              </w:rPr>
              <w:t>重点工作办结率（%）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0CA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945E6">
            <w:pPr>
              <w:jc w:val="center"/>
            </w:pPr>
            <w:r>
              <w:rPr>
                <w:rFonts w:ascii="宋体" w:hAnsi="宋体" w:eastAsia="宋体"/>
                <w:sz w:val="16"/>
              </w:rPr>
              <w:t>疏附县公安局2024年工作计划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28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89A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254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33056">
            <w:pPr>
              <w:jc w:val="center"/>
            </w:pPr>
            <w:r>
              <w:rPr>
                <w:rFonts w:ascii="宋体" w:hAnsi="宋体" w:eastAsia="宋体"/>
                <w:sz w:val="16"/>
              </w:rPr>
              <w:t>20</w:t>
            </w:r>
          </w:p>
        </w:tc>
      </w:tr>
      <w:tr w14:paraId="186E56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ACC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4CC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67E10">
            <w:pPr>
              <w:jc w:val="center"/>
            </w:pPr>
            <w:r>
              <w:rPr>
                <w:rFonts w:ascii="宋体" w:hAnsi="宋体" w:eastAsia="宋体"/>
                <w:sz w:val="16"/>
              </w:rPr>
              <w:t>群众财产安全和人身安全保障率（%）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2B15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5AB0F">
            <w:pPr>
              <w:jc w:val="center"/>
            </w:pPr>
            <w:r>
              <w:rPr>
                <w:rFonts w:ascii="宋体" w:hAnsi="宋体" w:eastAsia="宋体"/>
                <w:sz w:val="16"/>
              </w:rPr>
              <w:t>疏附县公安局2024年工作计划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89B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E254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5A9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45A12">
            <w:pPr>
              <w:jc w:val="center"/>
            </w:pPr>
            <w:r>
              <w:rPr>
                <w:rFonts w:ascii="宋体" w:hAnsi="宋体" w:eastAsia="宋体"/>
                <w:sz w:val="16"/>
              </w:rPr>
              <w:t>15</w:t>
            </w:r>
          </w:p>
        </w:tc>
      </w:tr>
      <w:tr w14:paraId="272EAB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50D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400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B2527">
            <w:pPr>
              <w:jc w:val="center"/>
            </w:pPr>
            <w:r>
              <w:rPr>
                <w:rFonts w:ascii="宋体" w:hAnsi="宋体" w:eastAsia="宋体"/>
                <w:sz w:val="16"/>
              </w:rPr>
              <w:t>受理案件及时率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C923D">
            <w:pPr>
              <w:jc w:val="center"/>
            </w:pPr>
            <w:r>
              <w:rPr>
                <w:rFonts w:ascii="宋体" w:hAnsi="宋体" w:eastAsia="宋体"/>
                <w:sz w:val="16"/>
              </w:rPr>
              <w:t>&lt;=24小时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72D37">
            <w:pPr>
              <w:jc w:val="center"/>
            </w:pPr>
            <w:r>
              <w:rPr>
                <w:rFonts w:ascii="宋体" w:hAnsi="宋体" w:eastAsia="宋体"/>
                <w:sz w:val="16"/>
              </w:rPr>
              <w:t>疏附县公安局2024年工作计划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9E4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7F2A">
            <w:pPr>
              <w:jc w:val="center"/>
            </w:pPr>
            <w:r>
              <w:rPr>
                <w:rFonts w:ascii="宋体" w:hAnsi="宋体" w:eastAsia="宋体"/>
                <w:sz w:val="16"/>
              </w:rPr>
              <w:t>24小时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EA1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E0307">
            <w:pPr>
              <w:jc w:val="center"/>
            </w:pPr>
            <w:r>
              <w:rPr>
                <w:rFonts w:ascii="宋体" w:hAnsi="宋体" w:eastAsia="宋体"/>
                <w:sz w:val="16"/>
              </w:rPr>
              <w:t>15</w:t>
            </w:r>
          </w:p>
        </w:tc>
      </w:tr>
    </w:tbl>
    <w:p w14:paraId="1595DCDD">
      <w:r>
        <w:br w:type="page"/>
      </w:r>
    </w:p>
    <w:p w14:paraId="5BCD5F56">
      <w:pPr>
        <w:spacing w:line="640" w:lineRule="exact"/>
        <w:ind w:firstLine="640"/>
        <w:jc w:val="both"/>
        <w:outlineLvl w:val="2"/>
      </w:pPr>
      <w:r>
        <w:rPr>
          <w:rFonts w:ascii="黑体" w:hAnsi="黑体" w:eastAsia="黑体"/>
          <w:sz w:val="32"/>
        </w:rPr>
        <w:t>十二、其他需说明的事项</w:t>
      </w:r>
    </w:p>
    <w:p w14:paraId="2D6BF1E5">
      <w:pPr>
        <w:spacing w:line="580" w:lineRule="exact"/>
        <w:ind w:firstLine="640"/>
        <w:jc w:val="both"/>
      </w:pPr>
      <w:r>
        <w:rPr>
          <w:rFonts w:ascii="仿宋_GB2312" w:hAnsi="仿宋_GB2312" w:eastAsia="仿宋_GB2312"/>
          <w:b w:val="0"/>
          <w:sz w:val="32"/>
        </w:rPr>
        <w:t>本年本单位SM项目18个，全年预算数11</w:t>
      </w:r>
      <w:r>
        <w:rPr>
          <w:rFonts w:hint="eastAsia" w:ascii="仿宋_GB2312" w:hAnsi="仿宋_GB2312" w:eastAsia="仿宋_GB2312"/>
          <w:b w:val="0"/>
          <w:sz w:val="32"/>
          <w:lang w:val="en-US" w:eastAsia="zh-CN"/>
        </w:rPr>
        <w:t>,</w:t>
      </w:r>
      <w:r>
        <w:rPr>
          <w:rFonts w:ascii="仿宋_GB2312" w:hAnsi="仿宋_GB2312" w:eastAsia="仿宋_GB2312"/>
          <w:b w:val="0"/>
          <w:sz w:val="32"/>
        </w:rPr>
        <w:t>196.5</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万元，全年执行数10</w:t>
      </w:r>
      <w:r>
        <w:rPr>
          <w:rFonts w:hint="eastAsia" w:ascii="仿宋_GB2312" w:hAnsi="仿宋_GB2312" w:eastAsia="仿宋_GB2312"/>
          <w:b w:val="0"/>
          <w:sz w:val="32"/>
          <w:lang w:val="en-US" w:eastAsia="zh-CN"/>
        </w:rPr>
        <w:t>,</w:t>
      </w:r>
      <w:r>
        <w:rPr>
          <w:rFonts w:ascii="仿宋_GB2312" w:hAnsi="仿宋_GB2312" w:eastAsia="仿宋_GB2312"/>
          <w:b w:val="0"/>
          <w:sz w:val="32"/>
        </w:rPr>
        <w:t>848.01万元。</w:t>
      </w:r>
    </w:p>
    <w:p w14:paraId="249E07C0">
      <w:r>
        <w:br w:type="page"/>
      </w:r>
    </w:p>
    <w:p w14:paraId="0E129F91">
      <w:pPr>
        <w:spacing w:line="240" w:lineRule="auto"/>
        <w:jc w:val="center"/>
        <w:outlineLvl w:val="1"/>
      </w:pPr>
      <w:r>
        <w:rPr>
          <w:rFonts w:ascii="黑体" w:hAnsi="黑体" w:eastAsia="黑体"/>
          <w:sz w:val="32"/>
        </w:rPr>
        <w:t>第三部分 专业名词解释</w:t>
      </w:r>
    </w:p>
    <w:p w14:paraId="76D11A9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3AE28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C5BC3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33E92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27ECC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8496CB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C250AB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1EC970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32EF0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39BAC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9C6191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1869D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249B3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4DBF5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CE7D9ED">
      <w:r>
        <w:br w:type="page"/>
      </w:r>
    </w:p>
    <w:p w14:paraId="0862AEAD">
      <w:pPr>
        <w:spacing w:line="240" w:lineRule="auto"/>
        <w:jc w:val="center"/>
        <w:outlineLvl w:val="1"/>
      </w:pPr>
      <w:r>
        <w:rPr>
          <w:rFonts w:ascii="黑体" w:hAnsi="黑体" w:eastAsia="黑体"/>
          <w:sz w:val="32"/>
        </w:rPr>
        <w:t>第四部分 部门决算报表（见附表）</w:t>
      </w:r>
    </w:p>
    <w:p w14:paraId="36C082CB">
      <w:pPr>
        <w:spacing w:line="240" w:lineRule="auto"/>
        <w:ind w:firstLine="640"/>
        <w:jc w:val="both"/>
      </w:pPr>
      <w:r>
        <w:rPr>
          <w:rFonts w:ascii="仿宋_GB2312" w:hAnsi="仿宋_GB2312" w:eastAsia="仿宋_GB2312"/>
          <w:b w:val="0"/>
          <w:sz w:val="32"/>
        </w:rPr>
        <w:t>一、《收入支出决算总表》</w:t>
      </w:r>
    </w:p>
    <w:p w14:paraId="181FB1CA">
      <w:pPr>
        <w:spacing w:line="240" w:lineRule="auto"/>
        <w:ind w:firstLine="640"/>
        <w:jc w:val="both"/>
      </w:pPr>
      <w:r>
        <w:rPr>
          <w:rFonts w:ascii="仿宋_GB2312" w:hAnsi="仿宋_GB2312" w:eastAsia="仿宋_GB2312"/>
          <w:b w:val="0"/>
          <w:sz w:val="32"/>
        </w:rPr>
        <w:t>二、《收入决算表》</w:t>
      </w:r>
    </w:p>
    <w:p w14:paraId="1D092163">
      <w:pPr>
        <w:spacing w:line="240" w:lineRule="auto"/>
        <w:ind w:firstLine="640"/>
        <w:jc w:val="both"/>
      </w:pPr>
      <w:r>
        <w:rPr>
          <w:rFonts w:ascii="仿宋_GB2312" w:hAnsi="仿宋_GB2312" w:eastAsia="仿宋_GB2312"/>
          <w:b w:val="0"/>
          <w:sz w:val="32"/>
        </w:rPr>
        <w:t>三、《支出决算表》</w:t>
      </w:r>
    </w:p>
    <w:p w14:paraId="736374E6">
      <w:pPr>
        <w:spacing w:line="240" w:lineRule="auto"/>
        <w:ind w:firstLine="640"/>
        <w:jc w:val="both"/>
      </w:pPr>
      <w:r>
        <w:rPr>
          <w:rFonts w:ascii="仿宋_GB2312" w:hAnsi="仿宋_GB2312" w:eastAsia="仿宋_GB2312"/>
          <w:b w:val="0"/>
          <w:sz w:val="32"/>
        </w:rPr>
        <w:t>四、《财政拨款收入支出决算总表》</w:t>
      </w:r>
    </w:p>
    <w:p w14:paraId="65B23901">
      <w:pPr>
        <w:spacing w:line="240" w:lineRule="auto"/>
        <w:ind w:firstLine="640"/>
        <w:jc w:val="both"/>
      </w:pPr>
      <w:r>
        <w:rPr>
          <w:rFonts w:ascii="仿宋_GB2312" w:hAnsi="仿宋_GB2312" w:eastAsia="仿宋_GB2312"/>
          <w:b w:val="0"/>
          <w:sz w:val="32"/>
        </w:rPr>
        <w:t>五、《一般公共预算财政拨款支出决算表》</w:t>
      </w:r>
    </w:p>
    <w:p w14:paraId="3A528560">
      <w:pPr>
        <w:spacing w:line="240" w:lineRule="auto"/>
        <w:ind w:firstLine="640"/>
        <w:jc w:val="both"/>
      </w:pPr>
      <w:r>
        <w:rPr>
          <w:rFonts w:ascii="仿宋_GB2312" w:hAnsi="仿宋_GB2312" w:eastAsia="仿宋_GB2312"/>
          <w:b w:val="0"/>
          <w:sz w:val="32"/>
        </w:rPr>
        <w:t>六、《一般公共预算财政拨款基本支出决算表》</w:t>
      </w:r>
    </w:p>
    <w:p w14:paraId="4038A49C">
      <w:pPr>
        <w:spacing w:line="240" w:lineRule="auto"/>
        <w:ind w:firstLine="640"/>
        <w:jc w:val="both"/>
      </w:pPr>
      <w:r>
        <w:rPr>
          <w:rFonts w:ascii="仿宋_GB2312" w:hAnsi="仿宋_GB2312" w:eastAsia="仿宋_GB2312"/>
          <w:b w:val="0"/>
          <w:sz w:val="32"/>
        </w:rPr>
        <w:t>七、《政府性基金预算财政拨款收入支出决算表》</w:t>
      </w:r>
    </w:p>
    <w:p w14:paraId="4A4FDE81">
      <w:pPr>
        <w:spacing w:line="240" w:lineRule="auto"/>
        <w:ind w:firstLine="640"/>
        <w:jc w:val="both"/>
      </w:pPr>
      <w:r>
        <w:rPr>
          <w:rFonts w:ascii="仿宋_GB2312" w:hAnsi="仿宋_GB2312" w:eastAsia="仿宋_GB2312"/>
          <w:b w:val="0"/>
          <w:sz w:val="32"/>
        </w:rPr>
        <w:t>八、《国有资本经营预算财政拨款收入支出决算表》</w:t>
      </w:r>
    </w:p>
    <w:p w14:paraId="631DB634">
      <w:pPr>
        <w:spacing w:line="240" w:lineRule="auto"/>
        <w:ind w:firstLine="640"/>
        <w:jc w:val="both"/>
      </w:pPr>
      <w:r>
        <w:rPr>
          <w:rFonts w:ascii="仿宋_GB2312" w:hAnsi="仿宋_GB2312" w:eastAsia="仿宋_GB2312"/>
          <w:b w:val="0"/>
          <w:sz w:val="32"/>
        </w:rPr>
        <w:t>九、《财政拨款“三公”经费支出决算表》</w:t>
      </w:r>
    </w:p>
    <w:p w14:paraId="5A2122C8">
      <w:pPr>
        <w:spacing w:line="240" w:lineRule="auto"/>
        <w:ind w:firstLine="640"/>
        <w:jc w:val="both"/>
      </w:pPr>
    </w:p>
    <w:p w14:paraId="596CD8A9">
      <w:pPr>
        <w:spacing w:line="240" w:lineRule="auto"/>
        <w:ind w:firstLine="640"/>
        <w:jc w:val="both"/>
      </w:pPr>
    </w:p>
    <w:p w14:paraId="2DE07F39">
      <w:pPr>
        <w:spacing w:line="240" w:lineRule="auto"/>
        <w:ind w:firstLine="640"/>
        <w:jc w:val="both"/>
      </w:pPr>
    </w:p>
    <w:p w14:paraId="79471282">
      <w:pPr>
        <w:spacing w:line="240" w:lineRule="auto"/>
        <w:ind w:firstLine="640"/>
        <w:jc w:val="both"/>
      </w:pPr>
    </w:p>
    <w:p w14:paraId="711FA38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A50591"/>
    <w:rsid w:val="38006E2C"/>
    <w:rsid w:val="3914510A"/>
    <w:rsid w:val="3B1220C9"/>
    <w:rsid w:val="3D5275AC"/>
    <w:rsid w:val="3EA7725F"/>
    <w:rsid w:val="3EC014A1"/>
    <w:rsid w:val="40834692"/>
    <w:rsid w:val="423A32B2"/>
    <w:rsid w:val="423C0CB4"/>
    <w:rsid w:val="427B5743"/>
    <w:rsid w:val="42E64542"/>
    <w:rsid w:val="43EA2187"/>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4681</Words>
  <Characters>5632</Characters>
  <Lines>0</Lines>
  <Paragraphs>0</Paragraphs>
  <TotalTime>2</TotalTime>
  <ScaleCrop>false</ScaleCrop>
  <LinksUpToDate>false</LinksUpToDate>
  <CharactersWithSpaces>5640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2025-09-16T04:26:35Z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