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C26111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疏附县人民代表大会常务委员会2024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7CD1B61">
      <w:r>
        <w:br w:type="page"/>
      </w:r>
    </w:p>
    <w:p w14:paraId="7E1E8B0B">
      <w:pPr>
        <w:spacing w:line="640" w:lineRule="exact"/>
        <w:jc w:val="center"/>
        <w:outlineLvl w:val="1"/>
      </w:pPr>
      <w:r>
        <w:rPr>
          <w:rFonts w:ascii="黑体" w:hAnsi="黑体" w:eastAsia="黑体"/>
          <w:sz w:val="32"/>
        </w:rPr>
        <w:t>第一部分 单位概况</w:t>
      </w:r>
    </w:p>
    <w:p w14:paraId="508E191C">
      <w:pPr>
        <w:spacing w:line="640" w:lineRule="exact"/>
        <w:ind w:firstLine="640"/>
        <w:jc w:val="both"/>
        <w:outlineLvl w:val="2"/>
      </w:pPr>
      <w:r>
        <w:rPr>
          <w:rFonts w:ascii="黑体" w:hAnsi="黑体" w:eastAsia="黑体"/>
          <w:sz w:val="32"/>
        </w:rPr>
        <w:t>一、主要职能</w:t>
      </w:r>
    </w:p>
    <w:p w14:paraId="3596DB19">
      <w:pPr>
        <w:spacing w:line="580" w:lineRule="exact"/>
        <w:ind w:firstLine="640"/>
        <w:jc w:val="both"/>
      </w:pPr>
      <w:r>
        <w:rPr>
          <w:rFonts w:ascii="仿宋_GB2312" w:hAnsi="仿宋_GB2312" w:eastAsia="仿宋_GB2312"/>
          <w:sz w:val="32"/>
        </w:rPr>
        <w:t>1.负责县人大及其常委会重要文件和常委会领导综合性文稿起草工作。</w:t>
      </w:r>
    </w:p>
    <w:p w14:paraId="74E7210A">
      <w:pPr>
        <w:spacing w:line="580" w:lineRule="exact"/>
        <w:ind w:firstLine="640"/>
        <w:jc w:val="both"/>
      </w:pPr>
      <w:r>
        <w:rPr>
          <w:rFonts w:ascii="仿宋_GB2312" w:hAnsi="仿宋_GB2312" w:eastAsia="仿宋_GB2312"/>
          <w:sz w:val="32"/>
        </w:rPr>
        <w:t>2.负责围绕县人大常委会工作部署和人大制度建设的有关问题开展调查研究和理论研讨。</w:t>
      </w:r>
    </w:p>
    <w:p w14:paraId="1491BF86">
      <w:pPr>
        <w:spacing w:line="580" w:lineRule="exact"/>
        <w:ind w:firstLine="640"/>
        <w:jc w:val="both"/>
      </w:pPr>
      <w:r>
        <w:rPr>
          <w:rFonts w:ascii="仿宋_GB2312" w:hAnsi="仿宋_GB2312" w:eastAsia="仿宋_GB2312"/>
          <w:sz w:val="32"/>
        </w:rPr>
        <w:t>3.负责县人民代表大会会议、县人大常委会会议、县人大常委会主任会议及以县人大常委会名义召开的其他会议的有关会务。</w:t>
      </w:r>
    </w:p>
    <w:p w14:paraId="3CE2B8DF">
      <w:pPr>
        <w:spacing w:line="580" w:lineRule="exact"/>
        <w:ind w:firstLine="640"/>
        <w:jc w:val="both"/>
      </w:pPr>
      <w:r>
        <w:rPr>
          <w:rFonts w:ascii="仿宋_GB2312" w:hAnsi="仿宋_GB2312" w:eastAsia="仿宋_GB2312"/>
          <w:sz w:val="32"/>
        </w:rPr>
        <w:t>4.对常委会党组和常委会主任会议决定事项及常委会领导交办事项的组织实施和督促、检查。</w:t>
      </w:r>
    </w:p>
    <w:p w14:paraId="380C5AAC">
      <w:pPr>
        <w:spacing w:line="580" w:lineRule="exact"/>
        <w:ind w:firstLine="640"/>
        <w:jc w:val="both"/>
      </w:pPr>
      <w:r>
        <w:rPr>
          <w:rFonts w:ascii="仿宋_GB2312" w:hAnsi="仿宋_GB2312" w:eastAsia="仿宋_GB2312"/>
          <w:sz w:val="32"/>
        </w:rPr>
        <w:t>5.协助常委会分管领导负责机关日常工作；协调各工作委员会的工作关系，负责机关公文处理、报刊征订、档案管理、机要保密、组织人事、群团组织建设、党建工作、公务接待、财务管理、后勤保障、安全保卫和离退休人员服务等工作。</w:t>
      </w:r>
    </w:p>
    <w:p w14:paraId="643C6169">
      <w:pPr>
        <w:spacing w:line="580" w:lineRule="exact"/>
        <w:ind w:firstLine="640"/>
        <w:jc w:val="both"/>
      </w:pPr>
      <w:r>
        <w:rPr>
          <w:rFonts w:ascii="仿宋_GB2312" w:hAnsi="仿宋_GB2312" w:eastAsia="仿宋_GB2312"/>
          <w:sz w:val="32"/>
        </w:rPr>
        <w:t>6.负责机关值班，归口办理常委会的对外联络工作，负责归口处理县人大常委会机关的信访工作。</w:t>
      </w:r>
    </w:p>
    <w:p w14:paraId="4F6097FC">
      <w:pPr>
        <w:spacing w:line="580" w:lineRule="exact"/>
        <w:ind w:firstLine="640"/>
        <w:jc w:val="both"/>
      </w:pPr>
      <w:r>
        <w:rPr>
          <w:rFonts w:ascii="仿宋_GB2312" w:hAnsi="仿宋_GB2312" w:eastAsia="仿宋_GB2312"/>
          <w:sz w:val="32"/>
        </w:rPr>
        <w:t>7.负责全县人大宣传和新闻报道工作；收集、整理、上报人大工作信息。</w:t>
      </w:r>
    </w:p>
    <w:p w14:paraId="76987EBC">
      <w:pPr>
        <w:spacing w:line="580" w:lineRule="exact"/>
        <w:ind w:firstLine="640"/>
        <w:jc w:val="both"/>
      </w:pPr>
      <w:r>
        <w:rPr>
          <w:rFonts w:ascii="仿宋_GB2312" w:hAnsi="仿宋_GB2312" w:eastAsia="仿宋_GB2312"/>
          <w:sz w:val="32"/>
        </w:rPr>
        <w:t>8.负责与县委、“一府一委两院”联系协调，联系指导乡镇人大工作。</w:t>
      </w:r>
    </w:p>
    <w:p w14:paraId="669C814C">
      <w:pPr>
        <w:spacing w:line="580" w:lineRule="exact"/>
        <w:ind w:firstLine="640"/>
        <w:jc w:val="both"/>
      </w:pPr>
      <w:r>
        <w:rPr>
          <w:rFonts w:ascii="仿宋_GB2312" w:hAnsi="仿宋_GB2312" w:eastAsia="仿宋_GB2312"/>
          <w:sz w:val="32"/>
        </w:rPr>
        <w:t>9.办理县人大常委会及其主任会议交办的其他事项，承办地区人大工委办公室交办的工作。</w:t>
      </w:r>
    </w:p>
    <w:p w14:paraId="2FFF3592">
      <w:pPr>
        <w:spacing w:line="640" w:lineRule="exact"/>
        <w:ind w:firstLine="640"/>
        <w:jc w:val="both"/>
        <w:outlineLvl w:val="2"/>
      </w:pPr>
      <w:r>
        <w:rPr>
          <w:rFonts w:ascii="黑体" w:hAnsi="黑体" w:eastAsia="黑体"/>
          <w:sz w:val="32"/>
        </w:rPr>
        <w:t>二、机构设置及人员情况</w:t>
      </w:r>
    </w:p>
    <w:p w14:paraId="6F505EE9">
      <w:pPr>
        <w:spacing w:line="580" w:lineRule="exact"/>
        <w:ind w:firstLine="640"/>
        <w:jc w:val="both"/>
      </w:pPr>
      <w:r>
        <w:rPr>
          <w:rFonts w:ascii="仿宋_GB2312" w:hAnsi="仿宋_GB2312" w:eastAsia="仿宋_GB2312"/>
          <w:sz w:val="32"/>
        </w:rPr>
        <w:t>疏附县人民代表大会常务委员会2024年度，实有人数64人，其中：在职人员21人，增加0人；离休人员0人，增加0人；退休人员43人</w:t>
      </w:r>
      <w:r>
        <w:rPr>
          <w:rFonts w:hint="eastAsia" w:ascii="仿宋_GB2312" w:hAnsi="仿宋_GB2312" w:eastAsia="仿宋_GB2312"/>
          <w:sz w:val="32"/>
          <w:lang w:eastAsia="zh-CN"/>
        </w:rPr>
        <w:t>，</w:t>
      </w:r>
      <w:r>
        <w:rPr>
          <w:rFonts w:ascii="仿宋_GB2312" w:hAnsi="仿宋_GB2312" w:eastAsia="仿宋_GB2312"/>
          <w:sz w:val="32"/>
        </w:rPr>
        <w:t>增加9人。</w:t>
      </w:r>
    </w:p>
    <w:p w14:paraId="64B66000">
      <w:pPr>
        <w:spacing w:line="580" w:lineRule="exact"/>
        <w:ind w:firstLine="640"/>
        <w:jc w:val="both"/>
      </w:pPr>
      <w:r>
        <w:rPr>
          <w:rFonts w:ascii="仿宋_GB2312" w:hAnsi="仿宋_GB2312" w:eastAsia="仿宋_GB2312"/>
          <w:sz w:val="32"/>
        </w:rPr>
        <w:t>疏附县人民代表大会常务委员会无下属预算单位，下设5个科室，分别是：办公室、代表工委、法治工委、教科文卫</w:t>
      </w:r>
      <w:r>
        <w:rPr>
          <w:rFonts w:hint="eastAsia" w:ascii="仿宋_GB2312" w:hAnsi="仿宋_GB2312" w:eastAsia="仿宋_GB2312"/>
          <w:sz w:val="32"/>
          <w:lang w:eastAsia="zh-CN"/>
        </w:rPr>
        <w:t>工委</w:t>
      </w:r>
      <w:r>
        <w:rPr>
          <w:rFonts w:ascii="仿宋_GB2312" w:hAnsi="仿宋_GB2312" w:eastAsia="仿宋_GB2312"/>
          <w:sz w:val="32"/>
        </w:rPr>
        <w:t>、预算工委。</w:t>
      </w:r>
    </w:p>
    <w:p w14:paraId="6C0401D0">
      <w:r>
        <w:br w:type="page"/>
      </w:r>
    </w:p>
    <w:p w14:paraId="52F37C6B">
      <w:pPr>
        <w:spacing w:line="240" w:lineRule="auto"/>
        <w:jc w:val="center"/>
        <w:outlineLvl w:val="1"/>
      </w:pPr>
      <w:r>
        <w:rPr>
          <w:rFonts w:ascii="黑体" w:hAnsi="黑体" w:eastAsia="黑体"/>
          <w:sz w:val="32"/>
        </w:rPr>
        <w:t>第二部分 部门决算情况说明</w:t>
      </w:r>
    </w:p>
    <w:p w14:paraId="5D14337A">
      <w:pPr>
        <w:spacing w:line="640" w:lineRule="exact"/>
        <w:ind w:firstLine="640"/>
        <w:jc w:val="both"/>
        <w:outlineLvl w:val="2"/>
      </w:pPr>
      <w:r>
        <w:rPr>
          <w:rFonts w:ascii="黑体" w:hAnsi="黑体" w:eastAsia="黑体"/>
          <w:sz w:val="32"/>
        </w:rPr>
        <w:t>一、收入支出决算总体情况说明</w:t>
      </w:r>
    </w:p>
    <w:p w14:paraId="3C445511">
      <w:pPr>
        <w:spacing w:line="580" w:lineRule="exact"/>
        <w:ind w:firstLine="640"/>
        <w:jc w:val="both"/>
      </w:pPr>
      <w:r>
        <w:rPr>
          <w:rFonts w:ascii="仿宋_GB2312" w:hAnsi="仿宋_GB2312" w:eastAsia="仿宋_GB2312"/>
          <w:b/>
          <w:sz w:val="32"/>
        </w:rPr>
        <w:t>2024年度收入总计698.52万元，</w:t>
      </w:r>
      <w:r>
        <w:rPr>
          <w:rFonts w:ascii="仿宋_GB2312" w:hAnsi="仿宋_GB2312" w:eastAsia="仿宋_GB2312"/>
          <w:b w:val="0"/>
          <w:sz w:val="32"/>
        </w:rPr>
        <w:t>其中：本年收入合计698.52万元，使用非财政拨款结余（含专用结余）0.00万元，年初结转和结余0.00万元。</w:t>
      </w:r>
    </w:p>
    <w:p w14:paraId="7F026817">
      <w:pPr>
        <w:spacing w:line="580" w:lineRule="exact"/>
        <w:ind w:firstLine="640"/>
        <w:jc w:val="both"/>
      </w:pPr>
      <w:r>
        <w:rPr>
          <w:rFonts w:ascii="仿宋_GB2312" w:hAnsi="仿宋_GB2312" w:eastAsia="仿宋_GB2312"/>
          <w:b/>
          <w:sz w:val="32"/>
        </w:rPr>
        <w:t>2024年度支出总计698.52万元，</w:t>
      </w:r>
      <w:r>
        <w:rPr>
          <w:rFonts w:ascii="仿宋_GB2312" w:hAnsi="仿宋_GB2312" w:eastAsia="仿宋_GB2312"/>
          <w:b w:val="0"/>
          <w:sz w:val="32"/>
        </w:rPr>
        <w:t>其中：本年支出合计698.52万元，结余分配0.00万元，年末结转和结余0.00万元。</w:t>
      </w:r>
    </w:p>
    <w:p w14:paraId="00225813">
      <w:pPr>
        <w:spacing w:line="580" w:lineRule="exact"/>
        <w:ind w:firstLine="640"/>
        <w:jc w:val="both"/>
      </w:pPr>
      <w:r>
        <w:rPr>
          <w:rFonts w:ascii="仿宋_GB2312" w:hAnsi="仿宋_GB2312" w:eastAsia="仿宋_GB2312"/>
          <w:b w:val="0"/>
          <w:sz w:val="32"/>
        </w:rPr>
        <w:t>收入支出总体与上年相比，增加16.44万元，增长2.41%，主要原因是：本年增加</w:t>
      </w:r>
      <w:r>
        <w:rPr>
          <w:rFonts w:hint="eastAsia" w:ascii="仿宋_GB2312" w:hAnsi="仿宋_GB2312" w:eastAsia="仿宋_GB2312"/>
          <w:b w:val="0"/>
          <w:sz w:val="32"/>
          <w:lang w:val="en-US" w:eastAsia="zh-CN"/>
        </w:rPr>
        <w:t>人大活动经费</w:t>
      </w:r>
      <w:r>
        <w:rPr>
          <w:rFonts w:ascii="仿宋_GB2312" w:hAnsi="仿宋_GB2312" w:eastAsia="仿宋_GB2312"/>
          <w:b w:val="0"/>
          <w:sz w:val="32"/>
        </w:rPr>
        <w:t>。</w:t>
      </w:r>
    </w:p>
    <w:p w14:paraId="5160A166">
      <w:pPr>
        <w:spacing w:line="640" w:lineRule="exact"/>
        <w:ind w:firstLine="640"/>
        <w:jc w:val="both"/>
        <w:outlineLvl w:val="2"/>
      </w:pPr>
      <w:r>
        <w:rPr>
          <w:rFonts w:ascii="黑体" w:hAnsi="黑体" w:eastAsia="黑体"/>
          <w:sz w:val="32"/>
        </w:rPr>
        <w:t>二、收入决算情况说明</w:t>
      </w:r>
    </w:p>
    <w:p w14:paraId="1079D307">
      <w:pPr>
        <w:spacing w:line="580" w:lineRule="exact"/>
        <w:ind w:firstLine="640"/>
        <w:jc w:val="both"/>
      </w:pPr>
      <w:r>
        <w:rPr>
          <w:rFonts w:ascii="仿宋_GB2312" w:hAnsi="仿宋_GB2312" w:eastAsia="仿宋_GB2312"/>
          <w:b/>
          <w:sz w:val="32"/>
        </w:rPr>
        <w:t>本年收入698.52万元，</w:t>
      </w:r>
      <w:r>
        <w:rPr>
          <w:rFonts w:ascii="仿宋_GB2312" w:hAnsi="仿宋_GB2312" w:eastAsia="仿宋_GB2312"/>
          <w:b w:val="0"/>
          <w:sz w:val="32"/>
        </w:rPr>
        <w:t>其中：财政拨款收入695.34万元，占99.54%；上级补助收入0.00万元，占0.00%；事业收入0.00万元，占0.00%；经营收入0.00万元，占0.00%；附属单位上缴收入0.00万元，占0.00%；其他收入3.18万元，占0.46%。</w:t>
      </w:r>
    </w:p>
    <w:p w14:paraId="24D1EA4F">
      <w:pPr>
        <w:spacing w:line="640" w:lineRule="exact"/>
        <w:ind w:firstLine="640"/>
        <w:jc w:val="both"/>
        <w:outlineLvl w:val="2"/>
      </w:pPr>
      <w:r>
        <w:rPr>
          <w:rFonts w:ascii="黑体" w:hAnsi="黑体" w:eastAsia="黑体"/>
          <w:sz w:val="32"/>
        </w:rPr>
        <w:t>三、支出决算情况说明</w:t>
      </w:r>
    </w:p>
    <w:p w14:paraId="69AB1D5C">
      <w:pPr>
        <w:spacing w:line="580" w:lineRule="exact"/>
        <w:ind w:firstLine="640"/>
        <w:jc w:val="both"/>
      </w:pPr>
      <w:r>
        <w:rPr>
          <w:rFonts w:ascii="仿宋_GB2312" w:hAnsi="仿宋_GB2312" w:eastAsia="仿宋_GB2312"/>
          <w:b/>
          <w:sz w:val="32"/>
        </w:rPr>
        <w:t>本年支出698.52万元，</w:t>
      </w:r>
      <w:r>
        <w:rPr>
          <w:rFonts w:ascii="仿宋_GB2312" w:hAnsi="仿宋_GB2312" w:eastAsia="仿宋_GB2312"/>
          <w:b w:val="0"/>
          <w:sz w:val="32"/>
        </w:rPr>
        <w:t>其中：基本支出630.26万元，占90.23%；项目支出68.26万元，占9.77%；上缴上级支出0.00万元，占0.00%；经营支出0.00万元，占0.00%；对附属单位补助支出0.00万元，占0.00%。</w:t>
      </w:r>
    </w:p>
    <w:p w14:paraId="377ACA96">
      <w:pPr>
        <w:spacing w:line="640" w:lineRule="exact"/>
        <w:ind w:firstLine="640"/>
        <w:jc w:val="both"/>
        <w:outlineLvl w:val="2"/>
      </w:pPr>
      <w:r>
        <w:rPr>
          <w:rFonts w:ascii="黑体" w:hAnsi="黑体" w:eastAsia="黑体"/>
          <w:sz w:val="32"/>
        </w:rPr>
        <w:t>四、财政拨款收入支出决算总体情况说明</w:t>
      </w:r>
    </w:p>
    <w:p w14:paraId="3BE46785">
      <w:pPr>
        <w:spacing w:line="580" w:lineRule="exact"/>
        <w:ind w:firstLine="640"/>
        <w:jc w:val="both"/>
      </w:pPr>
      <w:r>
        <w:rPr>
          <w:rFonts w:ascii="仿宋_GB2312" w:hAnsi="仿宋_GB2312" w:eastAsia="仿宋_GB2312"/>
          <w:b/>
          <w:sz w:val="32"/>
        </w:rPr>
        <w:t>2024年度财政拨款收入总计695.34万元，</w:t>
      </w:r>
      <w:r>
        <w:rPr>
          <w:rFonts w:ascii="仿宋_GB2312" w:hAnsi="仿宋_GB2312" w:eastAsia="仿宋_GB2312"/>
          <w:b w:val="0"/>
          <w:sz w:val="32"/>
        </w:rPr>
        <w:t>其中：年初财政拨款结转和结余0.00万元，本年财政拨款收入695.34万元。</w:t>
      </w:r>
      <w:r>
        <w:rPr>
          <w:rFonts w:ascii="仿宋_GB2312" w:hAnsi="仿宋_GB2312" w:eastAsia="仿宋_GB2312"/>
          <w:b/>
          <w:sz w:val="32"/>
        </w:rPr>
        <w:t>财政拨款支出总计695.34万元，</w:t>
      </w:r>
      <w:r>
        <w:rPr>
          <w:rFonts w:ascii="仿宋_GB2312" w:hAnsi="仿宋_GB2312" w:eastAsia="仿宋_GB2312"/>
          <w:b w:val="0"/>
          <w:sz w:val="32"/>
        </w:rPr>
        <w:t>其中：年末财政拨款结转和结余0.00万元，本年财政拨款支出695.34万元。</w:t>
      </w:r>
    </w:p>
    <w:p w14:paraId="433D118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增加13.26万元，增长1.94%，主要原因是：本年增加</w:t>
      </w:r>
      <w:r>
        <w:rPr>
          <w:rFonts w:hint="eastAsia" w:ascii="仿宋_GB2312" w:hAnsi="仿宋_GB2312" w:eastAsia="仿宋_GB2312"/>
          <w:b w:val="0"/>
          <w:sz w:val="32"/>
          <w:lang w:val="en-US" w:eastAsia="zh-CN"/>
        </w:rPr>
        <w:t>人大活动经费</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年初预算数644.63万元，决算数695.34万元，预决算差异率7.87%，主要原因是：年中追加人员工资、社保、公积金基数调增部分资金，</w:t>
      </w:r>
      <w:r>
        <w:rPr>
          <w:rFonts w:hint="eastAsia" w:ascii="仿宋_GB2312" w:hAnsi="仿宋_GB2312" w:eastAsia="仿宋_GB2312"/>
          <w:b w:val="0"/>
          <w:sz w:val="32"/>
          <w:lang w:val="en-US" w:eastAsia="zh-CN"/>
        </w:rPr>
        <w:t>追加人员职业年金及死亡人员抚恤金，</w:t>
      </w:r>
      <w:r>
        <w:rPr>
          <w:rFonts w:ascii="仿宋_GB2312" w:hAnsi="仿宋_GB2312" w:eastAsia="仿宋_GB2312"/>
          <w:b w:val="0"/>
          <w:sz w:val="32"/>
        </w:rPr>
        <w:t>导致预决算存在差异。</w:t>
      </w:r>
    </w:p>
    <w:p w14:paraId="1A36A3F0">
      <w:pPr>
        <w:spacing w:line="640" w:lineRule="exact"/>
        <w:ind w:firstLine="640"/>
        <w:jc w:val="both"/>
        <w:outlineLvl w:val="2"/>
      </w:pPr>
      <w:r>
        <w:rPr>
          <w:rFonts w:ascii="黑体" w:hAnsi="黑体" w:eastAsia="黑体"/>
          <w:sz w:val="32"/>
        </w:rPr>
        <w:t>五、一般公共预算财政拨款支出决算情况说明</w:t>
      </w:r>
    </w:p>
    <w:p w14:paraId="160EE293">
      <w:pPr>
        <w:spacing w:line="640" w:lineRule="exact"/>
        <w:ind w:firstLine="640"/>
        <w:jc w:val="both"/>
        <w:outlineLvl w:val="3"/>
      </w:pPr>
      <w:r>
        <w:rPr>
          <w:rFonts w:ascii="楷体_GB2312" w:hAnsi="楷体_GB2312" w:eastAsia="楷体_GB2312"/>
          <w:b/>
          <w:sz w:val="32"/>
        </w:rPr>
        <w:t>（一）一般公共预算财政拨款支出决算总体情况</w:t>
      </w:r>
    </w:p>
    <w:p w14:paraId="3C7273DC">
      <w:pPr>
        <w:spacing w:line="580" w:lineRule="exact"/>
        <w:ind w:firstLine="640"/>
        <w:jc w:val="both"/>
      </w:pPr>
      <w:r>
        <w:rPr>
          <w:rFonts w:ascii="仿宋_GB2312" w:hAnsi="仿宋_GB2312" w:eastAsia="仿宋_GB2312"/>
          <w:b/>
          <w:sz w:val="32"/>
        </w:rPr>
        <w:t>2024年度一般公共预算财政拨款支出695.34万元，</w:t>
      </w:r>
      <w:r>
        <w:rPr>
          <w:rFonts w:ascii="仿宋_GB2312" w:hAnsi="仿宋_GB2312" w:eastAsia="仿宋_GB2312"/>
          <w:b w:val="0"/>
          <w:sz w:val="32"/>
        </w:rPr>
        <w:t>占本年支出合计的99.54%。</w:t>
      </w:r>
      <w:r>
        <w:rPr>
          <w:rFonts w:ascii="仿宋_GB2312" w:hAnsi="仿宋_GB2312" w:eastAsia="仿宋_GB2312"/>
          <w:b/>
          <w:sz w:val="32"/>
        </w:rPr>
        <w:t>与上年相比，</w:t>
      </w:r>
      <w:r>
        <w:rPr>
          <w:rFonts w:ascii="仿宋_GB2312" w:hAnsi="仿宋_GB2312" w:eastAsia="仿宋_GB2312"/>
          <w:b w:val="0"/>
          <w:sz w:val="32"/>
        </w:rPr>
        <w:t>增加13.26万元，增长1.94%，主要原因是：本年增加</w:t>
      </w:r>
      <w:r>
        <w:rPr>
          <w:rFonts w:hint="eastAsia" w:ascii="仿宋_GB2312" w:hAnsi="仿宋_GB2312" w:eastAsia="仿宋_GB2312"/>
          <w:b w:val="0"/>
          <w:sz w:val="32"/>
          <w:lang w:val="en-US" w:eastAsia="zh-CN"/>
        </w:rPr>
        <w:t>人大活动经费</w:t>
      </w:r>
      <w:r>
        <w:rPr>
          <w:rFonts w:ascii="仿宋_GB2312" w:hAnsi="仿宋_GB2312" w:eastAsia="仿宋_GB2312"/>
          <w:b w:val="0"/>
          <w:sz w:val="32"/>
        </w:rPr>
        <w:t>。</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年初预算数644.63万元，决算数695.34万元，预决算差异率7.87%，主要原因是：年中追加人员工资、社保、公积金基数调增部分资金，</w:t>
      </w:r>
      <w:r>
        <w:rPr>
          <w:rFonts w:hint="eastAsia" w:ascii="仿宋_GB2312" w:hAnsi="仿宋_GB2312" w:eastAsia="仿宋_GB2312"/>
          <w:b w:val="0"/>
          <w:sz w:val="32"/>
          <w:lang w:val="en-US" w:eastAsia="zh-CN"/>
        </w:rPr>
        <w:t>追加人员职业年金及死亡人员抚恤金，</w:t>
      </w:r>
      <w:r>
        <w:rPr>
          <w:rFonts w:ascii="仿宋_GB2312" w:hAnsi="仿宋_GB2312" w:eastAsia="仿宋_GB2312"/>
          <w:b w:val="0"/>
          <w:sz w:val="32"/>
        </w:rPr>
        <w:t>导致预决算存在差异。</w:t>
      </w:r>
    </w:p>
    <w:p w14:paraId="67A604DF">
      <w:pPr>
        <w:spacing w:line="640" w:lineRule="exact"/>
        <w:ind w:firstLine="640"/>
        <w:jc w:val="both"/>
        <w:outlineLvl w:val="3"/>
      </w:pPr>
      <w:r>
        <w:rPr>
          <w:rFonts w:ascii="楷体_GB2312" w:hAnsi="楷体_GB2312" w:eastAsia="楷体_GB2312"/>
          <w:b/>
          <w:sz w:val="32"/>
        </w:rPr>
        <w:t>（二）一般公共预算财政拨款支出决算结构情况</w:t>
      </w:r>
    </w:p>
    <w:p w14:paraId="59506B01">
      <w:pPr>
        <w:spacing w:line="580" w:lineRule="exact"/>
        <w:ind w:firstLine="640"/>
        <w:jc w:val="both"/>
      </w:pPr>
      <w:r>
        <w:rPr>
          <w:rFonts w:ascii="仿宋_GB2312" w:hAnsi="仿宋_GB2312" w:eastAsia="仿宋_GB2312"/>
          <w:b w:val="0"/>
          <w:sz w:val="32"/>
        </w:rPr>
        <w:t>1.一般公共服务支出(类)417.94万元</w:t>
      </w:r>
      <w:r>
        <w:rPr>
          <w:rFonts w:hint="eastAsia" w:ascii="仿宋_GB2312" w:hAnsi="仿宋_GB2312" w:eastAsia="仿宋_GB2312"/>
          <w:b w:val="0"/>
          <w:sz w:val="32"/>
          <w:lang w:eastAsia="zh-CN"/>
        </w:rPr>
        <w:t>，</w:t>
      </w:r>
      <w:r>
        <w:rPr>
          <w:rFonts w:ascii="仿宋_GB2312" w:hAnsi="仿宋_GB2312" w:eastAsia="仿宋_GB2312"/>
          <w:b w:val="0"/>
          <w:sz w:val="32"/>
        </w:rPr>
        <w:t>占60.11%。</w:t>
      </w:r>
    </w:p>
    <w:p w14:paraId="76D19402">
      <w:pPr>
        <w:spacing w:line="580" w:lineRule="exact"/>
        <w:ind w:firstLine="640"/>
        <w:jc w:val="both"/>
      </w:pPr>
      <w:r>
        <w:rPr>
          <w:rFonts w:ascii="仿宋_GB2312" w:hAnsi="仿宋_GB2312" w:eastAsia="仿宋_GB2312"/>
          <w:b w:val="0"/>
          <w:sz w:val="32"/>
        </w:rPr>
        <w:t>2.社会保障和就业支出(类)218.65万元</w:t>
      </w:r>
      <w:r>
        <w:rPr>
          <w:rFonts w:hint="eastAsia" w:ascii="仿宋_GB2312" w:hAnsi="仿宋_GB2312" w:eastAsia="仿宋_GB2312"/>
          <w:b w:val="0"/>
          <w:sz w:val="32"/>
          <w:lang w:eastAsia="zh-CN"/>
        </w:rPr>
        <w:t>，</w:t>
      </w:r>
      <w:r>
        <w:rPr>
          <w:rFonts w:ascii="仿宋_GB2312" w:hAnsi="仿宋_GB2312" w:eastAsia="仿宋_GB2312"/>
          <w:b w:val="0"/>
          <w:sz w:val="32"/>
        </w:rPr>
        <w:t>占31.45%。</w:t>
      </w:r>
    </w:p>
    <w:p w14:paraId="338827AD">
      <w:pPr>
        <w:spacing w:line="580" w:lineRule="exact"/>
        <w:ind w:firstLine="640"/>
        <w:jc w:val="both"/>
      </w:pPr>
      <w:r>
        <w:rPr>
          <w:rFonts w:ascii="仿宋_GB2312" w:hAnsi="仿宋_GB2312" w:eastAsia="仿宋_GB2312"/>
          <w:b w:val="0"/>
          <w:sz w:val="32"/>
        </w:rPr>
        <w:t>3.卫生健康支出(类)22.61万元</w:t>
      </w:r>
      <w:r>
        <w:rPr>
          <w:rFonts w:hint="eastAsia" w:ascii="仿宋_GB2312" w:hAnsi="仿宋_GB2312" w:eastAsia="仿宋_GB2312"/>
          <w:b w:val="0"/>
          <w:sz w:val="32"/>
          <w:lang w:eastAsia="zh-CN"/>
        </w:rPr>
        <w:t>，</w:t>
      </w:r>
      <w:r>
        <w:rPr>
          <w:rFonts w:ascii="仿宋_GB2312" w:hAnsi="仿宋_GB2312" w:eastAsia="仿宋_GB2312"/>
          <w:b w:val="0"/>
          <w:sz w:val="32"/>
        </w:rPr>
        <w:t>占3.25%。</w:t>
      </w:r>
    </w:p>
    <w:p w14:paraId="17BE6487">
      <w:pPr>
        <w:spacing w:line="580" w:lineRule="exact"/>
        <w:ind w:firstLine="640"/>
        <w:jc w:val="both"/>
      </w:pPr>
      <w:r>
        <w:rPr>
          <w:rFonts w:ascii="仿宋_GB2312" w:hAnsi="仿宋_GB2312" w:eastAsia="仿宋_GB2312"/>
          <w:b w:val="0"/>
          <w:sz w:val="32"/>
        </w:rPr>
        <w:t>4.住房保障支出(类)33.87万元</w:t>
      </w:r>
      <w:r>
        <w:rPr>
          <w:rFonts w:hint="eastAsia" w:ascii="仿宋_GB2312" w:hAnsi="仿宋_GB2312" w:eastAsia="仿宋_GB2312"/>
          <w:b w:val="0"/>
          <w:sz w:val="32"/>
          <w:lang w:eastAsia="zh-CN"/>
        </w:rPr>
        <w:t>，</w:t>
      </w:r>
      <w:r>
        <w:rPr>
          <w:rFonts w:ascii="仿宋_GB2312" w:hAnsi="仿宋_GB2312" w:eastAsia="仿宋_GB2312"/>
          <w:b w:val="0"/>
          <w:sz w:val="32"/>
        </w:rPr>
        <w:t>占4.87%。</w:t>
      </w:r>
    </w:p>
    <w:p w14:paraId="6C5E087E">
      <w:pPr>
        <w:spacing w:line="580" w:lineRule="exact"/>
        <w:ind w:firstLine="640"/>
        <w:jc w:val="both"/>
      </w:pPr>
      <w:r>
        <w:rPr>
          <w:rFonts w:ascii="仿宋_GB2312" w:hAnsi="仿宋_GB2312" w:eastAsia="仿宋_GB2312"/>
          <w:b w:val="0"/>
          <w:sz w:val="32"/>
        </w:rPr>
        <w:t>5.其他支出(类)2.27万元</w:t>
      </w:r>
      <w:r>
        <w:rPr>
          <w:rFonts w:hint="eastAsia" w:ascii="仿宋_GB2312" w:hAnsi="仿宋_GB2312" w:eastAsia="仿宋_GB2312"/>
          <w:b w:val="0"/>
          <w:sz w:val="32"/>
          <w:lang w:eastAsia="zh-CN"/>
        </w:rPr>
        <w:t>，</w:t>
      </w:r>
      <w:r>
        <w:rPr>
          <w:rFonts w:ascii="仿宋_GB2312" w:hAnsi="仿宋_GB2312" w:eastAsia="仿宋_GB2312"/>
          <w:b w:val="0"/>
          <w:sz w:val="32"/>
        </w:rPr>
        <w:t>占0.33%。</w:t>
      </w:r>
    </w:p>
    <w:p w14:paraId="689EA7ED">
      <w:pPr>
        <w:spacing w:line="640" w:lineRule="exact"/>
        <w:ind w:firstLine="640"/>
        <w:jc w:val="both"/>
        <w:outlineLvl w:val="3"/>
      </w:pPr>
      <w:r>
        <w:rPr>
          <w:rFonts w:ascii="楷体_GB2312" w:hAnsi="楷体_GB2312" w:eastAsia="楷体_GB2312"/>
          <w:b/>
          <w:sz w:val="32"/>
        </w:rPr>
        <w:t>（三）一般公共预算财政拨款支出决算具体情况</w:t>
      </w:r>
    </w:p>
    <w:p w14:paraId="19EC61A2">
      <w:pPr>
        <w:spacing w:line="580" w:lineRule="exact"/>
        <w:ind w:firstLine="640"/>
        <w:jc w:val="both"/>
      </w:pPr>
      <w:r>
        <w:rPr>
          <w:rFonts w:ascii="仿宋_GB2312" w:hAnsi="仿宋_GB2312" w:eastAsia="仿宋_GB2312"/>
          <w:b w:val="0"/>
          <w:sz w:val="32"/>
        </w:rPr>
        <w:t>1.一般公共服务支出(类)人大事务(款)行政运行(项):支出决算数为354.99万元，比上年决算减少157.79万元，下降30.77%</w:t>
      </w:r>
      <w:r>
        <w:rPr>
          <w:rFonts w:hint="eastAsia" w:ascii="仿宋_GB2312" w:hAnsi="仿宋_GB2312" w:eastAsia="仿宋_GB2312"/>
          <w:b w:val="0"/>
          <w:sz w:val="32"/>
          <w:lang w:eastAsia="zh-CN"/>
        </w:rPr>
        <w:t>，</w:t>
      </w:r>
      <w:r>
        <w:rPr>
          <w:rFonts w:ascii="仿宋_GB2312" w:hAnsi="仿宋_GB2312" w:eastAsia="仿宋_GB2312"/>
          <w:b w:val="0"/>
          <w:sz w:val="32"/>
        </w:rPr>
        <w:t>主要原因是：一是本年在职人员调入调出，人员职级不同，工资基数不同，导致人员经费较上年减少；二是上年</w:t>
      </w:r>
      <w:r>
        <w:rPr>
          <w:rFonts w:hint="eastAsia" w:ascii="仿宋_GB2312" w:hAnsi="仿宋_GB2312" w:eastAsia="仿宋_GB2312"/>
          <w:b w:val="0"/>
          <w:sz w:val="32"/>
          <w:lang w:val="en-US" w:eastAsia="zh-CN"/>
        </w:rPr>
        <w:t>人员职业年金和死亡人员</w:t>
      </w:r>
      <w:r>
        <w:rPr>
          <w:rFonts w:ascii="仿宋_GB2312" w:hAnsi="仿宋_GB2312" w:eastAsia="仿宋_GB2312"/>
          <w:b w:val="0"/>
          <w:sz w:val="32"/>
        </w:rPr>
        <w:t>抚恤金</w:t>
      </w:r>
      <w:r>
        <w:rPr>
          <w:rFonts w:hint="eastAsia" w:ascii="仿宋_GB2312" w:hAnsi="仿宋_GB2312" w:eastAsia="仿宋_GB2312"/>
          <w:b w:val="0"/>
          <w:sz w:val="32"/>
          <w:lang w:val="en-US" w:eastAsia="zh-CN"/>
        </w:rPr>
        <w:t>在本科目列支</w:t>
      </w:r>
      <w:r>
        <w:rPr>
          <w:rFonts w:ascii="仿宋_GB2312" w:hAnsi="仿宋_GB2312" w:eastAsia="仿宋_GB2312"/>
          <w:b w:val="0"/>
          <w:sz w:val="32"/>
        </w:rPr>
        <w:t>，</w:t>
      </w:r>
      <w:r>
        <w:rPr>
          <w:rFonts w:hint="eastAsia" w:ascii="仿宋_GB2312" w:hAnsi="仿宋_GB2312" w:eastAsia="仿宋_GB2312"/>
          <w:b w:val="0"/>
          <w:sz w:val="32"/>
          <w:lang w:val="en-US" w:eastAsia="zh-CN"/>
        </w:rPr>
        <w:t>本年单独列支，导致经费</w:t>
      </w:r>
      <w:r>
        <w:rPr>
          <w:rFonts w:ascii="仿宋_GB2312" w:hAnsi="仿宋_GB2312" w:eastAsia="仿宋_GB2312"/>
          <w:b w:val="0"/>
          <w:sz w:val="32"/>
        </w:rPr>
        <w:t>减少。</w:t>
      </w:r>
    </w:p>
    <w:p w14:paraId="09C555B0">
      <w:pPr>
        <w:spacing w:line="580" w:lineRule="exact"/>
        <w:ind w:firstLine="640"/>
        <w:jc w:val="both"/>
      </w:pPr>
      <w:r>
        <w:rPr>
          <w:rFonts w:ascii="仿宋_GB2312" w:hAnsi="仿宋_GB2312" w:eastAsia="仿宋_GB2312"/>
          <w:b w:val="0"/>
          <w:sz w:val="32"/>
        </w:rPr>
        <w:t>2.一般公共服务支出(类)人大事务(款)一般行政管理事务(项):支出决算数为11.32万元，比上年决算增加7.84万元，增长225.29%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主要原因是：本年增加项目2023年预算联网监督系统运行维护项目。</w:t>
      </w:r>
    </w:p>
    <w:p w14:paraId="09A962D8">
      <w:pPr>
        <w:spacing w:line="580" w:lineRule="exact"/>
        <w:ind w:firstLine="640"/>
        <w:jc w:val="both"/>
      </w:pPr>
      <w:r>
        <w:rPr>
          <w:rFonts w:ascii="仿宋_GB2312" w:hAnsi="仿宋_GB2312" w:eastAsia="仿宋_GB2312"/>
          <w:b w:val="0"/>
          <w:sz w:val="32"/>
        </w:rPr>
        <w:t>3.一般公共服务支出(类)人大事务(款)机关服务(项):支出决算数为1.63万元，比上年决算增加1.63万元，增长100.00%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主要原因是：本年增加机关食堂就餐补助项目。</w:t>
      </w:r>
    </w:p>
    <w:p w14:paraId="36CC5A6B">
      <w:pPr>
        <w:spacing w:line="580" w:lineRule="exact"/>
        <w:ind w:firstLine="640"/>
        <w:jc w:val="both"/>
      </w:pPr>
      <w:r>
        <w:rPr>
          <w:rFonts w:ascii="仿宋_GB2312" w:hAnsi="仿宋_GB2312" w:eastAsia="仿宋_GB2312"/>
          <w:b w:val="0"/>
          <w:sz w:val="32"/>
        </w:rPr>
        <w:t>4.一般公共服务支出(类)人大事务(款)人大会议(项):支出决算数为6.21万元，比上年决算增加6.21万元，增长100.00%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主要原因是：本年增加2023年</w:t>
      </w:r>
      <w:r>
        <w:rPr>
          <w:rFonts w:hint="eastAsia" w:ascii="仿宋_GB2312" w:hAnsi="仿宋_GB2312" w:eastAsia="仿宋_GB2312"/>
          <w:b w:val="0"/>
          <w:sz w:val="32"/>
          <w:lang w:eastAsia="zh-CN"/>
        </w:rPr>
        <w:t>人大</w:t>
      </w:r>
      <w:r>
        <w:rPr>
          <w:rFonts w:ascii="仿宋_GB2312" w:hAnsi="仿宋_GB2312" w:eastAsia="仿宋_GB2312"/>
          <w:b w:val="0"/>
          <w:sz w:val="32"/>
        </w:rPr>
        <w:t>会议费。</w:t>
      </w:r>
    </w:p>
    <w:p w14:paraId="4DBA99CC">
      <w:pPr>
        <w:spacing w:line="580" w:lineRule="exact"/>
        <w:ind w:firstLine="640"/>
        <w:jc w:val="both"/>
      </w:pPr>
      <w:r>
        <w:rPr>
          <w:rFonts w:ascii="仿宋_GB2312" w:hAnsi="仿宋_GB2312" w:eastAsia="仿宋_GB2312"/>
          <w:b w:val="0"/>
          <w:sz w:val="32"/>
        </w:rPr>
        <w:t>5.一般公共服务支出(类)人大事务(款)代表工作(项):支出决算数为35.81万元，比上年决算增加35.81万元，增长100.00%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主要原因是：本年增加人大活动经费。</w:t>
      </w:r>
    </w:p>
    <w:p w14:paraId="51681672">
      <w:pPr>
        <w:spacing w:line="580" w:lineRule="exact"/>
        <w:ind w:firstLine="640"/>
        <w:jc w:val="both"/>
      </w:pPr>
      <w:r>
        <w:rPr>
          <w:rFonts w:ascii="仿宋_GB2312" w:hAnsi="仿宋_GB2312" w:eastAsia="仿宋_GB2312"/>
          <w:b w:val="0"/>
          <w:sz w:val="32"/>
        </w:rPr>
        <w:t>6.一般公共服务支出(类)人大事务(款)其他人大事务支出(项):支出决算数为7.83万元，比上年决算增加0.59万元，增长8.15%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主要原因是：本年增加2023年基层人大补助经费。</w:t>
      </w:r>
    </w:p>
    <w:p w14:paraId="6ECA88A9">
      <w:pPr>
        <w:spacing w:line="580" w:lineRule="exact"/>
        <w:ind w:firstLine="640"/>
        <w:jc w:val="both"/>
      </w:pPr>
      <w:r>
        <w:rPr>
          <w:rFonts w:ascii="仿宋_GB2312" w:hAnsi="仿宋_GB2312" w:eastAsia="仿宋_GB2312"/>
          <w:b w:val="0"/>
          <w:sz w:val="32"/>
        </w:rPr>
        <w:t>7.一般公共服务支出(类)政府办公厅（室）及相关机构事务(款)行政运行(项):支出决算数为0.14万元，比上年决算增加0.14万元，增长100.00%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主要原因是：本年补发事业编干部2023年底绩效。</w:t>
      </w:r>
    </w:p>
    <w:p w14:paraId="015B92F4">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8.社会保障和就业支出(类)行政事业单位养老支出(款)行政单位离退休(项):支出决算数为65.26万元，比上年决算增加24.57万元，增长60.38%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主要原因是：本年退休人员增加，退休费支出增加。</w:t>
      </w:r>
    </w:p>
    <w:p w14:paraId="38CB8A4A">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9.社会保障和就业支出(类)行政事业单位养老支出(款)机关事业单位基本养老保险缴费支出(项):支出决算数为42.84万元，比上年决算减少3.93万元，下降8.40%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主要原因是：本年在职人员调入调出，人员职级不同，缴费基数不同，导致养老保险缴费较上年减少。</w:t>
      </w:r>
    </w:p>
    <w:p w14:paraId="57BB5F45">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10.社会保障和就业支出(类)行政事业单位养老支出(款)机关事业单位职业年金缴费支出(项):支出决算数为78.00万元，比上年决算增加78.00万元，增长100.00%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w:t>
      </w:r>
      <w:r>
        <w:rPr>
          <w:rFonts w:hint="eastAsia" w:ascii="仿宋_GB2312" w:hAnsi="仿宋_GB2312" w:eastAsia="仿宋_GB2312"/>
          <w:b w:val="0"/>
          <w:sz w:val="32"/>
          <w:lang w:val="en-US" w:eastAsia="zh-CN"/>
        </w:rPr>
        <w:t>且</w:t>
      </w:r>
      <w:r>
        <w:rPr>
          <w:rFonts w:ascii="仿宋_GB2312" w:hAnsi="仿宋_GB2312" w:eastAsia="仿宋_GB2312"/>
          <w:b w:val="0"/>
          <w:sz w:val="32"/>
        </w:rPr>
        <w:t>职业年金</w:t>
      </w:r>
      <w:r>
        <w:rPr>
          <w:rFonts w:hint="eastAsia" w:ascii="仿宋_GB2312" w:hAnsi="仿宋_GB2312" w:eastAsia="仿宋_GB2312"/>
          <w:b w:val="0"/>
          <w:sz w:val="32"/>
          <w:lang w:val="en-US" w:eastAsia="zh-CN"/>
        </w:rPr>
        <w:t>单独列支，相应</w:t>
      </w:r>
      <w:r>
        <w:rPr>
          <w:rFonts w:ascii="仿宋_GB2312" w:hAnsi="仿宋_GB2312" w:eastAsia="仿宋_GB2312"/>
          <w:b w:val="0"/>
          <w:sz w:val="32"/>
        </w:rPr>
        <w:t>缴费支出增加。</w:t>
      </w:r>
    </w:p>
    <w:p w14:paraId="48A2F2A1">
      <w:pPr>
        <w:spacing w:line="580" w:lineRule="exact"/>
        <w:ind w:firstLine="640"/>
        <w:jc w:val="both"/>
      </w:pPr>
      <w:r>
        <w:rPr>
          <w:rFonts w:ascii="仿宋_GB2312" w:hAnsi="仿宋_GB2312" w:eastAsia="仿宋_GB2312"/>
          <w:b w:val="0"/>
          <w:sz w:val="32"/>
        </w:rPr>
        <w:t>11.社会保障和就业支出(类)抚恤(款)死亡抚恤(项):支出决算数为32.55万元，比上年决算增加32.55万元，增长100.00%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主要原因是：本年新增死亡人员，</w:t>
      </w:r>
      <w:r>
        <w:rPr>
          <w:rFonts w:hint="eastAsia" w:ascii="仿宋_GB2312" w:hAnsi="仿宋_GB2312" w:eastAsia="仿宋_GB2312"/>
          <w:b w:val="0"/>
          <w:sz w:val="32"/>
          <w:lang w:val="en-US" w:eastAsia="zh-CN"/>
        </w:rPr>
        <w:t>且</w:t>
      </w:r>
      <w:r>
        <w:rPr>
          <w:rFonts w:ascii="仿宋_GB2312" w:hAnsi="仿宋_GB2312" w:eastAsia="仿宋_GB2312"/>
          <w:b w:val="0"/>
          <w:sz w:val="32"/>
        </w:rPr>
        <w:t>死亡抚恤</w:t>
      </w:r>
      <w:r>
        <w:rPr>
          <w:rFonts w:hint="eastAsia" w:ascii="仿宋_GB2312" w:hAnsi="仿宋_GB2312" w:eastAsia="仿宋_GB2312"/>
          <w:b w:val="0"/>
          <w:sz w:val="32"/>
          <w:lang w:val="en-US" w:eastAsia="zh-CN"/>
        </w:rPr>
        <w:t>单独列支，相应</w:t>
      </w:r>
      <w:r>
        <w:rPr>
          <w:rFonts w:ascii="仿宋_GB2312" w:hAnsi="仿宋_GB2312" w:eastAsia="仿宋_GB2312"/>
          <w:b w:val="0"/>
          <w:sz w:val="32"/>
        </w:rPr>
        <w:t>支出增加。</w:t>
      </w:r>
    </w:p>
    <w:p w14:paraId="2C1B25EA">
      <w:pPr>
        <w:spacing w:line="580" w:lineRule="exact"/>
        <w:ind w:firstLine="640"/>
        <w:jc w:val="both"/>
      </w:pPr>
      <w:r>
        <w:rPr>
          <w:rFonts w:ascii="仿宋_GB2312" w:hAnsi="仿宋_GB2312" w:eastAsia="仿宋_GB2312"/>
          <w:b w:val="0"/>
          <w:sz w:val="32"/>
        </w:rPr>
        <w:t>12.卫生健康支出(类)行政事业单位医疗(款)行政单位医疗(项):支出决算数为18.35万元，比上年决算减少2.04万元，下降10.00%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主要原因是：本年在职人员调入调出，人员职级不同，缴费基数不同，导致行政单位医疗较上年减少。</w:t>
      </w:r>
    </w:p>
    <w:p w14:paraId="7DECA9DC">
      <w:pPr>
        <w:spacing w:line="580" w:lineRule="exact"/>
        <w:ind w:firstLine="640"/>
        <w:jc w:val="both"/>
      </w:pPr>
      <w:r>
        <w:rPr>
          <w:rFonts w:ascii="仿宋_GB2312" w:hAnsi="仿宋_GB2312" w:eastAsia="仿宋_GB2312"/>
          <w:b w:val="0"/>
          <w:sz w:val="32"/>
        </w:rPr>
        <w:t>13.卫生健康支出(类)行政事业单位医疗(款)公务员医疗补助(项):支出决算数为4.26万元，比上年决算减少5.58万元，下降56.71%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主要原因是：本年在职人员调入调出，人员职级不同，缴费基数不同，导致公务员医疗补助较上年减少。</w:t>
      </w:r>
    </w:p>
    <w:p w14:paraId="485C9957">
      <w:pPr>
        <w:spacing w:line="580" w:lineRule="exact"/>
        <w:ind w:firstLine="640"/>
        <w:jc w:val="both"/>
      </w:pPr>
      <w:r>
        <w:rPr>
          <w:rFonts w:ascii="仿宋_GB2312" w:hAnsi="仿宋_GB2312" w:eastAsia="仿宋_GB2312"/>
          <w:b w:val="0"/>
          <w:sz w:val="32"/>
        </w:rPr>
        <w:t>14.住房保障支出(类)住房改革支出(款)住房公积金(项):支出决算数为33.87万元，比上年决算减少6.62万元，下降16.35%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主要原因是：本年在职人员调入调出，人员职级不同，缴费基数不同，导致住房公积金较上年减少。</w:t>
      </w:r>
    </w:p>
    <w:p w14:paraId="57BDAB3D">
      <w:pPr>
        <w:spacing w:line="580" w:lineRule="exact"/>
        <w:ind w:firstLine="640"/>
        <w:jc w:val="both"/>
      </w:pPr>
      <w:r>
        <w:rPr>
          <w:rFonts w:ascii="仿宋_GB2312" w:hAnsi="仿宋_GB2312" w:eastAsia="仿宋_GB2312"/>
          <w:b w:val="0"/>
          <w:sz w:val="32"/>
        </w:rPr>
        <w:t>15.其他支出(类)其他支出(款)其他支出(项):支出决算数为2.27万元，比上年决算增加1.87万元，增长467.50%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主要原因是：本年为民办实事项目支出增加。</w:t>
      </w:r>
    </w:p>
    <w:p w14:paraId="4667BE71">
      <w:pPr>
        <w:spacing w:line="640" w:lineRule="exact"/>
        <w:ind w:firstLine="640"/>
        <w:jc w:val="both"/>
        <w:outlineLvl w:val="2"/>
      </w:pPr>
      <w:r>
        <w:rPr>
          <w:rFonts w:ascii="黑体" w:hAnsi="黑体" w:eastAsia="黑体"/>
          <w:sz w:val="32"/>
        </w:rPr>
        <w:t>六、一般公共预算财政拨款基本支出决算情况说明</w:t>
      </w:r>
    </w:p>
    <w:p w14:paraId="33E50516">
      <w:pPr>
        <w:spacing w:line="580" w:lineRule="exact"/>
        <w:ind w:firstLine="640"/>
        <w:jc w:val="both"/>
      </w:pPr>
      <w:r>
        <w:rPr>
          <w:rFonts w:ascii="仿宋_GB2312" w:hAnsi="仿宋_GB2312" w:eastAsia="仿宋_GB2312"/>
          <w:b w:val="0"/>
          <w:sz w:val="32"/>
        </w:rPr>
        <w:t>2024年度一般公共预算财政拨款基本支出630.26万元，其中：</w:t>
      </w:r>
      <w:r>
        <w:rPr>
          <w:rFonts w:ascii="仿宋_GB2312" w:hAnsi="仿宋_GB2312" w:eastAsia="仿宋_GB2312"/>
          <w:b/>
          <w:sz w:val="32"/>
        </w:rPr>
        <w:t>人员经费601.45万元，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w:t>
      </w:r>
    </w:p>
    <w:p w14:paraId="6BCF8F2A">
      <w:pPr>
        <w:spacing w:line="580" w:lineRule="exact"/>
        <w:ind w:firstLine="640"/>
        <w:jc w:val="both"/>
      </w:pPr>
      <w:r>
        <w:rPr>
          <w:rFonts w:ascii="仿宋_GB2312" w:hAnsi="仿宋_GB2312" w:eastAsia="仿宋_GB2312"/>
          <w:b/>
          <w:sz w:val="32"/>
        </w:rPr>
        <w:t>公用经费28.81万元，</w:t>
      </w:r>
      <w:r>
        <w:rPr>
          <w:rFonts w:ascii="仿宋_GB2312" w:hAnsi="仿宋_GB2312" w:eastAsia="仿宋_GB2312"/>
          <w:b w:val="0"/>
          <w:sz w:val="32"/>
        </w:rPr>
        <w:t>包括：办公费、水费、电费、邮电费、差旅费、公务用车运行维护费、其他交通费用。</w:t>
      </w:r>
    </w:p>
    <w:p w14:paraId="0CFCF5AF">
      <w:pPr>
        <w:spacing w:line="640" w:lineRule="exact"/>
        <w:ind w:firstLine="640"/>
        <w:jc w:val="both"/>
        <w:outlineLvl w:val="2"/>
      </w:pPr>
      <w:r>
        <w:rPr>
          <w:rFonts w:ascii="黑体" w:hAnsi="黑体" w:eastAsia="黑体"/>
          <w:sz w:val="32"/>
        </w:rPr>
        <w:t>七、政府性基金预算财政拨款收入支出决算情况说明</w:t>
      </w:r>
    </w:p>
    <w:p w14:paraId="50B4E7C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539E351">
      <w:pPr>
        <w:spacing w:line="640" w:lineRule="exact"/>
        <w:ind w:firstLine="640"/>
        <w:jc w:val="both"/>
        <w:outlineLvl w:val="2"/>
      </w:pPr>
      <w:r>
        <w:rPr>
          <w:rFonts w:ascii="黑体" w:hAnsi="黑体" w:eastAsia="黑体"/>
          <w:sz w:val="32"/>
        </w:rPr>
        <w:t>八、国有资本经营预算财政拨款收入支出决算情况说明</w:t>
      </w:r>
    </w:p>
    <w:p w14:paraId="3DBDAC6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310613A">
      <w:pPr>
        <w:spacing w:line="640" w:lineRule="exact"/>
        <w:ind w:firstLine="640"/>
        <w:jc w:val="both"/>
        <w:outlineLvl w:val="2"/>
      </w:pPr>
      <w:r>
        <w:rPr>
          <w:rFonts w:ascii="黑体" w:hAnsi="黑体" w:eastAsia="黑体"/>
          <w:sz w:val="32"/>
        </w:rPr>
        <w:t>九、财政拨款“三公”经费支出决算情况说明</w:t>
      </w:r>
    </w:p>
    <w:p w14:paraId="4A023A26">
      <w:pPr>
        <w:spacing w:line="580" w:lineRule="exact"/>
        <w:ind w:firstLine="640"/>
        <w:jc w:val="both"/>
      </w:pPr>
      <w:r>
        <w:rPr>
          <w:rFonts w:ascii="仿宋_GB2312" w:hAnsi="仿宋_GB2312" w:eastAsia="仿宋_GB2312"/>
          <w:b/>
          <w:sz w:val="32"/>
        </w:rPr>
        <w:t>2024年度财政拨款“三公”经费支出13.16万元，</w:t>
      </w:r>
      <w:r>
        <w:rPr>
          <w:rFonts w:ascii="仿宋_GB2312" w:hAnsi="仿宋_GB2312" w:eastAsia="仿宋_GB2312"/>
          <w:b w:val="0"/>
          <w:sz w:val="32"/>
        </w:rPr>
        <w:t>比上年增加4.61万元，增长53.92%，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13.16万元，占100.00%，比上年增加4.61万元，增长53.92%，主要原因是：本单位公务用车日渐老化，维修维护成本增加，导致公务用车运行维护费较上年增加。公务接待费支出0.00万元，占0.00%，比上年增加0.00万元，增长0.00%，主要原因是：2023年与2024年均未安排公务接待费支出。</w:t>
      </w:r>
    </w:p>
    <w:p w14:paraId="4C19B091">
      <w:pPr>
        <w:spacing w:line="580" w:lineRule="exact"/>
        <w:ind w:firstLine="640"/>
        <w:jc w:val="both"/>
      </w:pPr>
      <w:r>
        <w:rPr>
          <w:rFonts w:ascii="仿宋_GB2312" w:hAnsi="仿宋_GB2312" w:eastAsia="仿宋_GB2312"/>
          <w:b/>
          <w:sz w:val="32"/>
        </w:rPr>
        <w:t>具体情况如下：</w:t>
      </w:r>
    </w:p>
    <w:p w14:paraId="2EFE03B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DCAB73E">
      <w:pPr>
        <w:spacing w:line="580" w:lineRule="exact"/>
        <w:ind w:firstLine="640"/>
        <w:jc w:val="both"/>
      </w:pPr>
      <w:r>
        <w:rPr>
          <w:rFonts w:ascii="仿宋_GB2312" w:hAnsi="仿宋_GB2312" w:eastAsia="仿宋_GB2312"/>
          <w:b w:val="0"/>
          <w:sz w:val="32"/>
        </w:rPr>
        <w:t>公务用车购置及运行维护费13.16万元，其中：公务用车购置费0.00万元，公务用车运行维护费13.16万元。公务用车运行维护费开支内容包括公车加油费、过路费、审车费、维修费。公务用车购置数0辆，公务用车保有量6辆。国有资产占用情况中固定资产车辆5辆，与公务用车保有量差异原因是：借用其他单位车辆，车辆费用由本单位支付。</w:t>
      </w:r>
    </w:p>
    <w:p w14:paraId="23442C0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61313E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13.16万元，决算数13.16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13.16万元，决算数13.16万元，预决算差异率0.00%，主要原因是：严格按照预算执行，预决算无差异。公务接待费全年预算数0.00万元，决算数0.00万元，预决算差异率0.00%，主要原因是：本单位无公务接待费。</w:t>
      </w:r>
    </w:p>
    <w:p w14:paraId="0488FDCD">
      <w:pPr>
        <w:spacing w:line="640" w:lineRule="exact"/>
        <w:ind w:firstLine="640"/>
        <w:jc w:val="both"/>
        <w:outlineLvl w:val="2"/>
      </w:pPr>
      <w:r>
        <w:rPr>
          <w:rFonts w:ascii="黑体" w:hAnsi="黑体" w:eastAsia="黑体"/>
          <w:sz w:val="32"/>
        </w:rPr>
        <w:t>十、其他重要事项的情况说明</w:t>
      </w:r>
    </w:p>
    <w:p w14:paraId="16DCF146">
      <w:pPr>
        <w:spacing w:line="640" w:lineRule="exact"/>
        <w:ind w:firstLine="640"/>
        <w:jc w:val="both"/>
        <w:outlineLvl w:val="3"/>
      </w:pPr>
      <w:r>
        <w:rPr>
          <w:rFonts w:ascii="楷体_GB2312" w:hAnsi="楷体_GB2312" w:eastAsia="楷体_GB2312"/>
          <w:b/>
          <w:sz w:val="32"/>
        </w:rPr>
        <w:t>（一）机关运行经费及公用经费支出情况</w:t>
      </w:r>
    </w:p>
    <w:p w14:paraId="1B7A567E">
      <w:pPr>
        <w:spacing w:line="580" w:lineRule="exact"/>
        <w:ind w:firstLine="640"/>
        <w:jc w:val="both"/>
      </w:pPr>
      <w:r>
        <w:rPr>
          <w:rFonts w:ascii="仿宋_GB2312" w:hAnsi="仿宋_GB2312" w:eastAsia="仿宋_GB2312"/>
          <w:b w:val="0"/>
          <w:sz w:val="32"/>
        </w:rPr>
        <w:t>2024年度疏附县人民代表大会常务委员会（行政单位和参照公务员法管理事业单位）机关运行经费支出28.81万元，比上年增加7.12万元，增长32.83%，主要原因是：本年更新、维护补充办公用品，导致机关运行经费较上年增加。</w:t>
      </w:r>
    </w:p>
    <w:p w14:paraId="6FDF6D6F">
      <w:pPr>
        <w:spacing w:line="640" w:lineRule="exact"/>
        <w:ind w:firstLine="640"/>
        <w:jc w:val="both"/>
        <w:outlineLvl w:val="3"/>
      </w:pPr>
      <w:r>
        <w:rPr>
          <w:rFonts w:ascii="楷体_GB2312" w:hAnsi="楷体_GB2312" w:eastAsia="楷体_GB2312"/>
          <w:b/>
          <w:sz w:val="32"/>
        </w:rPr>
        <w:t>（二）政府采购情况</w:t>
      </w:r>
    </w:p>
    <w:p w14:paraId="0D150F41">
      <w:pPr>
        <w:spacing w:line="580" w:lineRule="exact"/>
        <w:ind w:firstLine="640"/>
        <w:jc w:val="both"/>
      </w:pPr>
      <w:r>
        <w:rPr>
          <w:rFonts w:ascii="仿宋_GB2312" w:hAnsi="仿宋_GB2312" w:eastAsia="仿宋_GB2312"/>
          <w:b w:val="0"/>
          <w:sz w:val="32"/>
        </w:rPr>
        <w:t>2024年度政府采购支出总额6.53万元，其中：政府采购货物支出1.53万元、政府采购工程支出0.00万元、政府采购服务支出5.00万元。</w:t>
      </w:r>
    </w:p>
    <w:p w14:paraId="67FB0289">
      <w:pPr>
        <w:spacing w:line="580" w:lineRule="exact"/>
        <w:ind w:firstLine="640"/>
        <w:jc w:val="both"/>
      </w:pPr>
      <w:r>
        <w:rPr>
          <w:rFonts w:ascii="仿宋_GB2312" w:hAnsi="仿宋_GB2312" w:eastAsia="仿宋_GB2312"/>
          <w:b w:val="0"/>
          <w:sz w:val="32"/>
        </w:rPr>
        <w:t>授予中小企业合同金额6.53万元，占政府采购支出总额的100.00%，其中：授予小微企业合同金额5.38万元，占政府采购支出总额的82.39%。</w:t>
      </w:r>
    </w:p>
    <w:p w14:paraId="0C02243E">
      <w:pPr>
        <w:spacing w:line="640" w:lineRule="exact"/>
        <w:ind w:firstLine="640"/>
        <w:jc w:val="both"/>
        <w:outlineLvl w:val="3"/>
      </w:pPr>
      <w:r>
        <w:rPr>
          <w:rFonts w:ascii="楷体_GB2312" w:hAnsi="楷体_GB2312" w:eastAsia="楷体_GB2312"/>
          <w:b/>
          <w:sz w:val="32"/>
        </w:rPr>
        <w:t>（三）国有资产占用情况说明</w:t>
      </w:r>
    </w:p>
    <w:p w14:paraId="3AEC51F1">
      <w:pPr>
        <w:spacing w:line="580" w:lineRule="exact"/>
        <w:ind w:firstLine="640"/>
        <w:jc w:val="both"/>
      </w:pPr>
      <w:r>
        <w:rPr>
          <w:rFonts w:ascii="仿宋_GB2312" w:hAnsi="仿宋_GB2312" w:eastAsia="仿宋_GB2312"/>
          <w:b w:val="0"/>
          <w:sz w:val="32"/>
        </w:rPr>
        <w:t>截至2024年12月31日，房屋0.00平方米，价值0.00万元。车辆5辆，价值119.61万元，其中：副部（省）级及以上领导用车0辆、主要负责人用车0辆、机要通信用车0辆、应急保障用车0辆、执法执勤用车0辆、特种专业技术用车0辆、离退休干部服务用车0辆、其他用车5辆，其他用车主要是：我单位公务用车。单价100万元（含）以上设备（不含车辆）0台（套）。</w:t>
      </w:r>
    </w:p>
    <w:p w14:paraId="551A3C4E">
      <w:pPr>
        <w:spacing w:line="640" w:lineRule="exact"/>
        <w:ind w:firstLine="640"/>
        <w:jc w:val="both"/>
        <w:outlineLvl w:val="2"/>
      </w:pPr>
      <w:r>
        <w:rPr>
          <w:rFonts w:ascii="黑体" w:hAnsi="黑体" w:eastAsia="黑体"/>
          <w:sz w:val="32"/>
        </w:rPr>
        <w:t>十一、预算绩效的情况说明</w:t>
      </w:r>
    </w:p>
    <w:p w14:paraId="07C2E75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根据预算绩效管理要求，本单位2024年度预算绩效管理形成整体支出绩效自评表1个，全年预算总额781.55万元，实际执行总额698.52万元；预算绩效评价项目</w:t>
      </w:r>
      <w:r>
        <w:rPr>
          <w:rFonts w:hint="eastAsia" w:ascii="仿宋_GB2312" w:hAnsi="仿宋_GB2312" w:eastAsia="仿宋_GB2312"/>
          <w:b w:val="0"/>
          <w:sz w:val="32"/>
          <w:lang w:val="en-US" w:eastAsia="zh-CN"/>
        </w:rPr>
        <w:t>8</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64</w:t>
      </w:r>
      <w:r>
        <w:rPr>
          <w:rFonts w:ascii="仿宋_GB2312" w:hAnsi="仿宋_GB2312" w:eastAsia="仿宋_GB2312"/>
          <w:b w:val="0"/>
          <w:sz w:val="32"/>
        </w:rPr>
        <w:t>.73万元，全年执行数32.43万元。预算绩效管理取得的成效：一是加强组织领导，本项目绩效评价工作，</w:t>
      </w:r>
      <w:r>
        <w:rPr>
          <w:rFonts w:hint="eastAsia" w:ascii="仿宋_GB2312" w:hAnsi="仿宋_GB2312" w:eastAsia="仿宋_GB2312"/>
          <w:b w:val="0"/>
          <w:sz w:val="32"/>
          <w:lang w:eastAsia="zh-CN"/>
        </w:rPr>
        <w:t>由</w:t>
      </w:r>
      <w:r>
        <w:rPr>
          <w:rFonts w:ascii="仿宋_GB2312" w:hAnsi="仿宋_GB2312" w:eastAsia="仿宋_GB2312"/>
          <w:b w:val="0"/>
          <w:sz w:val="32"/>
        </w:rPr>
        <w:t>县政府主要领导亲自挂帅，分管县领导具体负责，从项目到资金，均能很</w:t>
      </w:r>
      <w:r>
        <w:rPr>
          <w:rFonts w:hint="eastAsia" w:ascii="仿宋_GB2312" w:hAnsi="仿宋_GB2312" w:eastAsia="仿宋_GB2312"/>
          <w:b w:val="0"/>
          <w:sz w:val="32"/>
          <w:lang w:eastAsia="zh-CN"/>
        </w:rPr>
        <w:t>好地</w:t>
      </w:r>
      <w:r>
        <w:rPr>
          <w:rFonts w:ascii="仿宋_GB2312" w:hAnsi="仿宋_GB2312" w:eastAsia="仿宋_GB2312"/>
          <w:b w:val="0"/>
          <w:sz w:val="32"/>
        </w:rPr>
        <w:t>执行。</w:t>
      </w:r>
      <w:r>
        <w:rPr>
          <w:rFonts w:hint="eastAsia" w:ascii="仿宋_GB2312" w:hAnsi="仿宋_GB2312" w:eastAsia="仿宋_GB2312"/>
          <w:b w:val="0"/>
          <w:sz w:val="32"/>
          <w:lang w:val="en-US" w:eastAsia="zh-CN"/>
        </w:rPr>
        <w:t>二</w:t>
      </w:r>
      <w:r>
        <w:rPr>
          <w:rFonts w:ascii="仿宋_GB2312" w:hAnsi="仿宋_GB2312" w:eastAsia="仿宋_GB2312"/>
          <w:b w:val="0"/>
          <w:sz w:val="32"/>
        </w:rPr>
        <w:t>是加强沟通协调，我单位及时向县领导汇报项目建设进度，加强与施工单位的沟通，确保项目按期完工。发现的问题及原因：因单位财务人员新加入财务工作领域，业务人员绩效管理意识有待增强，未能全面深入认识理解绩效管理工作的意义。绩效管理经验缺少，预算绩效管理工作有待进一步落实。下一步改进措施：通过领导层面加大此项工作的重视力度，给业务人员创造进一步学习和加强职能的条件，提升预算精细化管理水平。具体附整体支出绩效自评表，项目支出绩效自评表和评价报告。</w:t>
      </w:r>
    </w:p>
    <w:p w14:paraId="3A9F75B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3FE66D">
        <w:tblPrEx>
          <w:tblCellMar>
            <w:top w:w="0" w:type="dxa"/>
            <w:left w:w="108" w:type="dxa"/>
            <w:bottom w:w="0" w:type="dxa"/>
            <w:right w:w="108" w:type="dxa"/>
          </w:tblCellMar>
        </w:tblPrEx>
        <w:tc>
          <w:tcPr>
            <w:tcW w:w="8847" w:type="dxa"/>
            <w:gridSpan w:val="9"/>
            <w:vAlign w:val="center"/>
          </w:tcPr>
          <w:p w14:paraId="5DF717B5">
            <w:pPr>
              <w:jc w:val="center"/>
            </w:pPr>
            <w:r>
              <w:rPr>
                <w:rFonts w:ascii="宋体" w:hAnsi="宋体" w:eastAsia="宋体"/>
                <w:sz w:val="24"/>
              </w:rPr>
              <w:t>单位整体支出绩效自评表</w:t>
            </w:r>
          </w:p>
        </w:tc>
      </w:tr>
      <w:tr w14:paraId="5EDA77D4">
        <w:tblPrEx>
          <w:tblCellMar>
            <w:top w:w="0" w:type="dxa"/>
            <w:left w:w="108" w:type="dxa"/>
            <w:bottom w:w="0" w:type="dxa"/>
            <w:right w:w="108" w:type="dxa"/>
          </w:tblCellMar>
        </w:tblPrEx>
        <w:tc>
          <w:tcPr>
            <w:tcW w:w="8847" w:type="dxa"/>
            <w:gridSpan w:val="9"/>
            <w:vAlign w:val="center"/>
          </w:tcPr>
          <w:p w14:paraId="62D0B339">
            <w:pPr>
              <w:jc w:val="center"/>
            </w:pPr>
            <w:r>
              <w:rPr>
                <w:rFonts w:ascii="宋体" w:hAnsi="宋体" w:eastAsia="宋体"/>
                <w:sz w:val="24"/>
              </w:rPr>
              <w:t>（2024年度）</w:t>
            </w:r>
          </w:p>
        </w:tc>
      </w:tr>
      <w:tr w14:paraId="3E0421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B783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CADB4E0">
            <w:pPr>
              <w:jc w:val="center"/>
            </w:pPr>
            <w:r>
              <w:rPr>
                <w:rFonts w:ascii="宋体" w:hAnsi="宋体" w:eastAsia="宋体"/>
                <w:sz w:val="16"/>
              </w:rPr>
              <w:t>疏附县人民代表大会常务委员会</w:t>
            </w:r>
          </w:p>
        </w:tc>
      </w:tr>
      <w:tr w14:paraId="0D82B01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C598C">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6147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2189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2C38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4698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621A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C45B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13002">
            <w:pPr>
              <w:jc w:val="center"/>
            </w:pPr>
            <w:r>
              <w:rPr>
                <w:rFonts w:ascii="宋体" w:hAnsi="宋体" w:eastAsia="宋体"/>
                <w:sz w:val="16"/>
              </w:rPr>
              <w:t>得分</w:t>
            </w:r>
          </w:p>
        </w:tc>
      </w:tr>
      <w:tr w14:paraId="7D5077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7310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EDF9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7B136">
            <w:pPr>
              <w:jc w:val="center"/>
            </w:pPr>
            <w:r>
              <w:rPr>
                <w:rFonts w:ascii="宋体" w:hAnsi="宋体" w:eastAsia="宋体"/>
                <w:sz w:val="16"/>
              </w:rPr>
              <w:t>644.63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BA83B">
            <w:pPr>
              <w:jc w:val="center"/>
            </w:pPr>
            <w:r>
              <w:rPr>
                <w:rFonts w:ascii="宋体" w:hAnsi="宋体" w:eastAsia="宋体"/>
                <w:sz w:val="16"/>
              </w:rPr>
              <w:t>781.55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35710">
            <w:pPr>
              <w:jc w:val="center"/>
            </w:pPr>
            <w:r>
              <w:rPr>
                <w:rFonts w:ascii="宋体" w:hAnsi="宋体" w:eastAsia="宋体"/>
                <w:sz w:val="16"/>
              </w:rPr>
              <w:t>698.52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1C2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89AFD">
            <w:pPr>
              <w:jc w:val="center"/>
            </w:pPr>
            <w:r>
              <w:rPr>
                <w:rFonts w:ascii="宋体" w:hAnsi="宋体" w:eastAsia="宋体"/>
                <w:sz w:val="16"/>
              </w:rPr>
              <w:t>89.38%</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B144C">
            <w:pPr>
              <w:jc w:val="center"/>
            </w:pPr>
            <w:r>
              <w:rPr>
                <w:rFonts w:ascii="宋体" w:hAnsi="宋体" w:eastAsia="宋体"/>
                <w:sz w:val="16"/>
              </w:rPr>
              <w:t>8.94</w:t>
            </w:r>
          </w:p>
        </w:tc>
      </w:tr>
      <w:tr w14:paraId="0F5F35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F16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DB34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9C3E5">
            <w:pPr>
              <w:jc w:val="center"/>
            </w:pPr>
            <w:r>
              <w:rPr>
                <w:rFonts w:ascii="宋体" w:hAnsi="宋体" w:eastAsia="宋体"/>
                <w:sz w:val="16"/>
              </w:rPr>
              <w:t>25.68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88B6D">
            <w:pPr>
              <w:jc w:val="center"/>
            </w:pPr>
            <w:r>
              <w:rPr>
                <w:rFonts w:ascii="宋体" w:hAnsi="宋体" w:eastAsia="宋体"/>
                <w:sz w:val="16"/>
              </w:rPr>
              <w:t>107.44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89D6A">
            <w:pPr>
              <w:jc w:val="center"/>
            </w:pPr>
            <w:r>
              <w:rPr>
                <w:rFonts w:ascii="宋体" w:hAnsi="宋体" w:eastAsia="宋体"/>
                <w:sz w:val="16"/>
              </w:rPr>
              <w:t>45.92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19A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9BC0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387B3">
            <w:pPr>
              <w:jc w:val="center"/>
            </w:pPr>
            <w:r>
              <w:rPr>
                <w:rFonts w:ascii="宋体" w:hAnsi="宋体" w:eastAsia="宋体"/>
                <w:sz w:val="16"/>
              </w:rPr>
              <w:t>—</w:t>
            </w:r>
          </w:p>
        </w:tc>
      </w:tr>
      <w:tr w14:paraId="430E34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D9D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EF65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86467">
            <w:pPr>
              <w:jc w:val="center"/>
            </w:pPr>
            <w:r>
              <w:rPr>
                <w:rFonts w:ascii="宋体" w:hAnsi="宋体" w:eastAsia="宋体"/>
                <w:sz w:val="16"/>
              </w:rPr>
              <w:t>618.95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67EE8">
            <w:pPr>
              <w:jc w:val="center"/>
            </w:pPr>
            <w:r>
              <w:rPr>
                <w:rFonts w:ascii="宋体" w:hAnsi="宋体" w:eastAsia="宋体"/>
                <w:sz w:val="16"/>
              </w:rPr>
              <w:t>674.11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DCBAF">
            <w:pPr>
              <w:jc w:val="center"/>
            </w:pPr>
            <w:r>
              <w:rPr>
                <w:rFonts w:ascii="宋体" w:hAnsi="宋体" w:eastAsia="宋体"/>
                <w:sz w:val="16"/>
              </w:rPr>
              <w:t>652.60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9AD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D70A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357AB">
            <w:pPr>
              <w:jc w:val="center"/>
            </w:pPr>
            <w:r>
              <w:rPr>
                <w:rFonts w:ascii="宋体" w:hAnsi="宋体" w:eastAsia="宋体"/>
                <w:sz w:val="16"/>
              </w:rPr>
              <w:t>—</w:t>
            </w:r>
          </w:p>
        </w:tc>
      </w:tr>
      <w:tr w14:paraId="55EF5A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061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31A1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8C1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8B6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F15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F8A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9FA7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265E4">
            <w:pPr>
              <w:jc w:val="center"/>
            </w:pPr>
            <w:r>
              <w:rPr>
                <w:rFonts w:ascii="宋体" w:hAnsi="宋体" w:eastAsia="宋体"/>
                <w:sz w:val="16"/>
              </w:rPr>
              <w:t>—</w:t>
            </w:r>
          </w:p>
        </w:tc>
      </w:tr>
      <w:tr w14:paraId="07EA56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752D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5C9D6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61C8EB">
            <w:pPr>
              <w:jc w:val="center"/>
            </w:pPr>
            <w:r>
              <w:rPr>
                <w:rFonts w:ascii="宋体" w:hAnsi="宋体" w:eastAsia="宋体"/>
                <w:sz w:val="16"/>
              </w:rPr>
              <w:t>实际完成情况</w:t>
            </w:r>
          </w:p>
        </w:tc>
      </w:tr>
      <w:tr w14:paraId="46E5AB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729F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17C8E7">
            <w:pPr>
              <w:jc w:val="both"/>
            </w:pPr>
            <w:r>
              <w:rPr>
                <w:rFonts w:ascii="宋体" w:hAnsi="宋体" w:eastAsia="宋体"/>
                <w:sz w:val="16"/>
              </w:rPr>
              <w:t>疏附县人民代表大会常务委员会行政工作坚持以习近平新时代中国特色社会主义思想为指导，深入贯彻落实党的二十大精神，全面贯彻习近平法治思想，认真贯彻各级人大工作部署，审查和批准国民经济和社会发展规划纲要、计划和预算及其执行情况报告，审查监督政府债务，监督政府对国有资产的管理。依法选举常务委员会组成人员，选举县长、副县长，选举监察委员会主任、人民法院院长和人民检察院检察长，选举上一级人民代表大会代表，听取和审议政府、人民法院、人民检察院的工作报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5956C6">
            <w:pPr>
              <w:jc w:val="both"/>
            </w:pPr>
            <w:r>
              <w:rPr>
                <w:rFonts w:ascii="宋体" w:hAnsi="宋体" w:eastAsia="宋体"/>
                <w:sz w:val="16"/>
              </w:rPr>
              <w:t>疏附县人民代表大会常务委员会行政工作坚持以习近平新时代中国特色社会主义思想为指导，深入贯彻落实党的二十大精神，全面贯彻习近平法治思想，认真贯彻各级人大工作部署，审查和批准国民经济和社会发展规划纲要、计划和预算及其执行情况报告，审查监督政府债务，监督政府对国有资产的管理，完成召开常委会会议次数7次，召开乡镇人大主席会议12次，召开专题会议4次，梳理总结规范性文件备案审查工作2次，听取和审议专项工作报告10项，听取和审议政府、人民法院、人民检察院的工作报告。</w:t>
            </w:r>
          </w:p>
        </w:tc>
      </w:tr>
      <w:tr w14:paraId="01EDE6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06C4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2BCE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4B38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0DE8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60DD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BF7D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D188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155B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A4311">
            <w:pPr>
              <w:jc w:val="center"/>
            </w:pPr>
            <w:r>
              <w:rPr>
                <w:rFonts w:ascii="宋体" w:hAnsi="宋体" w:eastAsia="宋体"/>
                <w:sz w:val="16"/>
              </w:rPr>
              <w:t>得分</w:t>
            </w:r>
          </w:p>
        </w:tc>
      </w:tr>
      <w:tr w14:paraId="2CA9E3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4049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E172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8928A">
            <w:pPr>
              <w:jc w:val="center"/>
            </w:pPr>
            <w:r>
              <w:rPr>
                <w:rFonts w:ascii="宋体" w:hAnsi="宋体" w:eastAsia="宋体"/>
                <w:sz w:val="16"/>
              </w:rPr>
              <w:t>召开常委会会议次数（次）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946D9">
            <w:pPr>
              <w:jc w:val="center"/>
            </w:pPr>
            <w:r>
              <w:rPr>
                <w:rFonts w:ascii="宋体" w:hAnsi="宋体" w:eastAsia="宋体"/>
                <w:sz w:val="16"/>
              </w:rPr>
              <w:t>&gt;=7次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4A068">
            <w:pPr>
              <w:jc w:val="center"/>
            </w:pPr>
            <w:r>
              <w:rPr>
                <w:rFonts w:ascii="宋体" w:hAnsi="宋体" w:eastAsia="宋体"/>
                <w:sz w:val="16"/>
              </w:rPr>
              <w:t>疏附县人大常委会2024年工作计划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A33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39449">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5C2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AB157">
            <w:pPr>
              <w:jc w:val="center"/>
            </w:pPr>
            <w:r>
              <w:rPr>
                <w:rFonts w:ascii="宋体" w:hAnsi="宋体" w:eastAsia="宋体"/>
                <w:sz w:val="16"/>
              </w:rPr>
              <w:t>20</w:t>
            </w:r>
          </w:p>
        </w:tc>
      </w:tr>
      <w:tr w14:paraId="3950BD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F69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C95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E7837">
            <w:pPr>
              <w:jc w:val="center"/>
            </w:pPr>
            <w:r>
              <w:rPr>
                <w:rFonts w:ascii="宋体" w:hAnsi="宋体" w:eastAsia="宋体"/>
                <w:sz w:val="16"/>
              </w:rPr>
              <w:t>召开乡镇人大主席会议（次）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AD943">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E6E9E">
            <w:pPr>
              <w:jc w:val="center"/>
            </w:pPr>
            <w:r>
              <w:rPr>
                <w:rFonts w:ascii="宋体" w:hAnsi="宋体" w:eastAsia="宋体"/>
                <w:sz w:val="16"/>
              </w:rPr>
              <w:t>疏附县人大常委会2024年工作计划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A97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B0047">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4AF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981F6">
            <w:pPr>
              <w:jc w:val="center"/>
            </w:pPr>
            <w:r>
              <w:rPr>
                <w:rFonts w:ascii="宋体" w:hAnsi="宋体" w:eastAsia="宋体"/>
                <w:sz w:val="16"/>
              </w:rPr>
              <w:t>20</w:t>
            </w:r>
          </w:p>
        </w:tc>
      </w:tr>
      <w:tr w14:paraId="5AD1D7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D2E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626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823B7">
            <w:pPr>
              <w:jc w:val="center"/>
            </w:pPr>
            <w:r>
              <w:rPr>
                <w:rFonts w:ascii="宋体" w:hAnsi="宋体" w:eastAsia="宋体"/>
                <w:sz w:val="16"/>
              </w:rPr>
              <w:t>召开专题会议（次）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D6AE2">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CA1CB">
            <w:pPr>
              <w:jc w:val="center"/>
            </w:pPr>
            <w:r>
              <w:rPr>
                <w:rFonts w:ascii="宋体" w:hAnsi="宋体" w:eastAsia="宋体"/>
                <w:sz w:val="16"/>
              </w:rPr>
              <w:t>疏附县人大常委会2024年工作计划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BB8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8BBF4">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BDC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A2B83">
            <w:pPr>
              <w:jc w:val="center"/>
            </w:pPr>
            <w:r>
              <w:rPr>
                <w:rFonts w:ascii="宋体" w:hAnsi="宋体" w:eastAsia="宋体"/>
                <w:sz w:val="16"/>
              </w:rPr>
              <w:t>20</w:t>
            </w:r>
          </w:p>
        </w:tc>
      </w:tr>
      <w:tr w14:paraId="36156E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55C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080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9F012">
            <w:pPr>
              <w:jc w:val="center"/>
            </w:pPr>
            <w:r>
              <w:rPr>
                <w:rFonts w:ascii="宋体" w:hAnsi="宋体" w:eastAsia="宋体"/>
                <w:sz w:val="16"/>
              </w:rPr>
              <w:t>梳理总结规范性文件备案审查工作（次）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2BAFE">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3901C">
            <w:pPr>
              <w:jc w:val="center"/>
            </w:pPr>
            <w:r>
              <w:rPr>
                <w:rFonts w:ascii="宋体" w:hAnsi="宋体" w:eastAsia="宋体"/>
                <w:sz w:val="16"/>
              </w:rPr>
              <w:t>疏附县人大常委会2024年工作计划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38D1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BA0B8">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7DB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AB513">
            <w:pPr>
              <w:jc w:val="center"/>
            </w:pPr>
            <w:r>
              <w:rPr>
                <w:rFonts w:ascii="宋体" w:hAnsi="宋体" w:eastAsia="宋体"/>
                <w:sz w:val="16"/>
              </w:rPr>
              <w:t>15</w:t>
            </w:r>
          </w:p>
        </w:tc>
      </w:tr>
      <w:tr w14:paraId="2E2664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31D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DA36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F5174">
            <w:pPr>
              <w:jc w:val="center"/>
            </w:pPr>
            <w:r>
              <w:rPr>
                <w:rFonts w:ascii="宋体" w:hAnsi="宋体" w:eastAsia="宋体"/>
                <w:sz w:val="16"/>
              </w:rPr>
              <w:t>听取和审议专项工作报告（项）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CADA1">
            <w:pPr>
              <w:jc w:val="center"/>
            </w:pPr>
            <w:r>
              <w:rPr>
                <w:rFonts w:ascii="宋体" w:hAnsi="宋体" w:eastAsia="宋体"/>
                <w:sz w:val="16"/>
              </w:rPr>
              <w:t>&gt;=10项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42527">
            <w:pPr>
              <w:jc w:val="center"/>
            </w:pPr>
            <w:r>
              <w:rPr>
                <w:rFonts w:ascii="宋体" w:hAnsi="宋体" w:eastAsia="宋体"/>
                <w:sz w:val="16"/>
              </w:rPr>
              <w:t>疏附县人大常委会2024年工作计划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6F8C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1D7E5">
            <w:pPr>
              <w:jc w:val="center"/>
            </w:pPr>
            <w:r>
              <w:rPr>
                <w:rFonts w:ascii="宋体" w:hAnsi="宋体" w:eastAsia="宋体"/>
                <w:sz w:val="16"/>
              </w:rPr>
              <w:t>10项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BEF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44522">
            <w:pPr>
              <w:jc w:val="center"/>
            </w:pPr>
            <w:r>
              <w:rPr>
                <w:rFonts w:ascii="宋体" w:hAnsi="宋体" w:eastAsia="宋体"/>
                <w:sz w:val="16"/>
              </w:rPr>
              <w:t>15</w:t>
            </w:r>
          </w:p>
        </w:tc>
      </w:tr>
    </w:tbl>
    <w:p w14:paraId="010203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E96816F">
        <w:tblPrEx>
          <w:tblCellMar>
            <w:top w:w="0" w:type="dxa"/>
            <w:left w:w="108" w:type="dxa"/>
            <w:bottom w:w="0" w:type="dxa"/>
            <w:right w:w="108" w:type="dxa"/>
          </w:tblCellMar>
        </w:tblPrEx>
        <w:tc>
          <w:tcPr>
            <w:tcW w:w="8848" w:type="dxa"/>
            <w:gridSpan w:val="14"/>
            <w:vAlign w:val="center"/>
          </w:tcPr>
          <w:p w14:paraId="403DD019">
            <w:pPr>
              <w:jc w:val="center"/>
            </w:pPr>
            <w:r>
              <w:rPr>
                <w:rFonts w:ascii="宋体" w:hAnsi="宋体" w:eastAsia="宋体"/>
                <w:sz w:val="24"/>
              </w:rPr>
              <w:t>项目支出绩效自评表</w:t>
            </w:r>
          </w:p>
        </w:tc>
      </w:tr>
      <w:tr w14:paraId="4E768335">
        <w:tblPrEx>
          <w:tblCellMar>
            <w:top w:w="0" w:type="dxa"/>
            <w:left w:w="108" w:type="dxa"/>
            <w:bottom w:w="0" w:type="dxa"/>
            <w:right w:w="108" w:type="dxa"/>
          </w:tblCellMar>
        </w:tblPrEx>
        <w:tc>
          <w:tcPr>
            <w:tcW w:w="8848" w:type="dxa"/>
            <w:gridSpan w:val="14"/>
            <w:vAlign w:val="center"/>
          </w:tcPr>
          <w:p w14:paraId="5C64BA9C">
            <w:pPr>
              <w:jc w:val="center"/>
            </w:pPr>
            <w:r>
              <w:rPr>
                <w:rFonts w:ascii="宋体" w:hAnsi="宋体" w:eastAsia="宋体"/>
                <w:sz w:val="24"/>
              </w:rPr>
              <w:t>(2024年度)</w:t>
            </w:r>
          </w:p>
        </w:tc>
      </w:tr>
      <w:tr w14:paraId="1910ED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7A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9C4849">
            <w:pPr>
              <w:jc w:val="center"/>
            </w:pPr>
            <w:r>
              <w:rPr>
                <w:rFonts w:ascii="宋体" w:hAnsi="宋体" w:eastAsia="宋体"/>
                <w:sz w:val="16"/>
              </w:rPr>
              <w:t>2023-2024年自治区基层人大补助经费项目</w:t>
            </w:r>
          </w:p>
        </w:tc>
      </w:tr>
      <w:tr w14:paraId="462BC1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0A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C4E417">
            <w:pPr>
              <w:jc w:val="center"/>
            </w:pPr>
            <w:r>
              <w:rPr>
                <w:rFonts w:ascii="宋体" w:hAnsi="宋体" w:eastAsia="宋体"/>
                <w:sz w:val="16"/>
              </w:rPr>
              <w:t>新疆维吾尔自治区人民代表大会常务委员会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746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0F752D">
            <w:pPr>
              <w:jc w:val="center"/>
            </w:pPr>
            <w:r>
              <w:rPr>
                <w:rFonts w:ascii="宋体" w:hAnsi="宋体" w:eastAsia="宋体"/>
                <w:sz w:val="16"/>
              </w:rPr>
              <w:t>疏附县人民代表大会常务委员会</w:t>
            </w:r>
          </w:p>
        </w:tc>
      </w:tr>
      <w:tr w14:paraId="1F98EA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31A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256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173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E15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938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74F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003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4922">
            <w:pPr>
              <w:jc w:val="center"/>
            </w:pPr>
            <w:r>
              <w:rPr>
                <w:rFonts w:ascii="宋体" w:hAnsi="宋体" w:eastAsia="宋体"/>
                <w:sz w:val="16"/>
              </w:rPr>
              <w:t>得分</w:t>
            </w:r>
          </w:p>
        </w:tc>
      </w:tr>
      <w:tr w14:paraId="02470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B91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8CC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109A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F24B7">
            <w:pPr>
              <w:jc w:val="center"/>
            </w:pPr>
            <w:r>
              <w:rPr>
                <w:rFonts w:ascii="宋体" w:hAnsi="宋体" w:eastAsia="宋体"/>
                <w:sz w:val="16"/>
              </w:rPr>
              <w:t>8.27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071C2">
            <w:pPr>
              <w:jc w:val="center"/>
            </w:pPr>
            <w:r>
              <w:rPr>
                <w:rFonts w:ascii="宋体" w:hAnsi="宋体" w:eastAsia="宋体"/>
                <w:sz w:val="16"/>
              </w:rPr>
              <w:t>8.27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991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674B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714B">
            <w:pPr>
              <w:jc w:val="center"/>
            </w:pPr>
            <w:r>
              <w:rPr>
                <w:rFonts w:ascii="宋体" w:hAnsi="宋体" w:eastAsia="宋体"/>
                <w:sz w:val="16"/>
              </w:rPr>
              <w:t>10.00分</w:t>
            </w:r>
          </w:p>
        </w:tc>
      </w:tr>
      <w:tr w14:paraId="2FFB4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691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DF9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21D6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38F31">
            <w:pPr>
              <w:jc w:val="center"/>
            </w:pPr>
            <w:r>
              <w:rPr>
                <w:rFonts w:ascii="宋体" w:hAnsi="宋体" w:eastAsia="宋体"/>
                <w:sz w:val="16"/>
              </w:rPr>
              <w:t>8.27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C9D49">
            <w:pPr>
              <w:jc w:val="center"/>
            </w:pPr>
            <w:r>
              <w:rPr>
                <w:rFonts w:ascii="宋体" w:hAnsi="宋体" w:eastAsia="宋体"/>
                <w:sz w:val="16"/>
              </w:rPr>
              <w:t>8.27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1C3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445A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6FE2">
            <w:pPr>
              <w:jc w:val="center"/>
            </w:pPr>
            <w:r>
              <w:rPr>
                <w:rFonts w:ascii="宋体" w:hAnsi="宋体" w:eastAsia="宋体"/>
                <w:sz w:val="16"/>
              </w:rPr>
              <w:t>—</w:t>
            </w:r>
          </w:p>
        </w:tc>
      </w:tr>
      <w:tr w14:paraId="100D4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B78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5EA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F58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446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143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4AF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0C99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8DE2">
            <w:pPr>
              <w:jc w:val="center"/>
            </w:pPr>
            <w:r>
              <w:rPr>
                <w:rFonts w:ascii="宋体" w:hAnsi="宋体" w:eastAsia="宋体"/>
                <w:sz w:val="16"/>
              </w:rPr>
              <w:t>—</w:t>
            </w:r>
          </w:p>
        </w:tc>
      </w:tr>
      <w:tr w14:paraId="6F1D56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448C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7AFB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244171">
            <w:pPr>
              <w:jc w:val="center"/>
            </w:pPr>
            <w:r>
              <w:rPr>
                <w:rFonts w:ascii="宋体" w:hAnsi="宋体" w:eastAsia="宋体"/>
                <w:sz w:val="16"/>
              </w:rPr>
              <w:t>实际完成情况</w:t>
            </w:r>
          </w:p>
        </w:tc>
      </w:tr>
      <w:tr w14:paraId="3495B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A65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989BE4">
            <w:pPr>
              <w:jc w:val="both"/>
            </w:pPr>
            <w:r>
              <w:rPr>
                <w:rFonts w:ascii="宋体" w:hAnsi="宋体" w:eastAsia="宋体"/>
                <w:sz w:val="16"/>
              </w:rPr>
              <w:t>本项目主要是为人大代表56个联络站进行改造，保障人大代表人数1023人，改造后能够为人大代表接待群众来访，宣讲各项政策；项目实施后，有效加强改进乡县两级人大工作联动，开展各项活动提供便利，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D6BD70">
            <w:pPr>
              <w:jc w:val="both"/>
            </w:pPr>
            <w:r>
              <w:rPr>
                <w:rFonts w:hint="eastAsia" w:ascii="宋体" w:hAnsi="宋体"/>
                <w:sz w:val="16"/>
                <w:lang w:eastAsia="zh-CN"/>
              </w:rPr>
              <w:t>截至</w:t>
            </w:r>
            <w:r>
              <w:rPr>
                <w:rFonts w:ascii="宋体" w:hAnsi="宋体" w:eastAsia="宋体"/>
                <w:sz w:val="16"/>
              </w:rPr>
              <w:t>2024年12月31日，本项目预算金额为8.27万元，全年执行数为8.27万元，全年执行率为100%，改造联络站个数56个，保障人大代表人数1023人，资金使用规范率100%，保障联络站正常运转，同时每个联络站保障经费2180元/个。</w:t>
            </w:r>
          </w:p>
        </w:tc>
      </w:tr>
      <w:tr w14:paraId="7E69E3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185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12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3C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3A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CE9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70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BB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AD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28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04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412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52B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06615">
            <w:pPr>
              <w:jc w:val="center"/>
            </w:pPr>
            <w:r>
              <w:rPr>
                <w:rFonts w:ascii="宋体" w:hAnsi="宋体" w:eastAsia="宋体"/>
                <w:sz w:val="16"/>
              </w:rPr>
              <w:t>偏差原因分析及改进措施</w:t>
            </w:r>
          </w:p>
        </w:tc>
      </w:tr>
      <w:tr w14:paraId="006D97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9B0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65B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BA9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CBA9">
            <w:pPr>
              <w:jc w:val="center"/>
            </w:pPr>
            <w:r>
              <w:rPr>
                <w:rFonts w:ascii="宋体" w:hAnsi="宋体" w:eastAsia="宋体"/>
                <w:sz w:val="16"/>
              </w:rPr>
              <w:t>改造联络站个数（个）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5485">
            <w:pPr>
              <w:jc w:val="center"/>
            </w:pPr>
            <w:r>
              <w:rPr>
                <w:rFonts w:ascii="宋体" w:hAnsi="宋体" w:eastAsia="宋体"/>
                <w:sz w:val="16"/>
              </w:rPr>
              <w:t>&gt;=56个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E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2564">
            <w:pPr>
              <w:jc w:val="center"/>
            </w:pPr>
            <w:r>
              <w:rPr>
                <w:rFonts w:ascii="宋体" w:hAnsi="宋体" w:eastAsia="宋体"/>
                <w:sz w:val="16"/>
              </w:rPr>
              <w:t>55个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6D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6B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1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A59D">
            <w:pPr>
              <w:jc w:val="center"/>
            </w:pPr>
            <w:r>
              <w:rPr>
                <w:rFonts w:ascii="宋体" w:hAnsi="宋体" w:eastAsia="宋体"/>
                <w:sz w:val="16"/>
              </w:rPr>
              <w:t>=56个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FC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A8626">
            <w:pPr>
              <w:jc w:val="center"/>
            </w:pPr>
          </w:p>
        </w:tc>
      </w:tr>
      <w:tr w14:paraId="21D81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07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058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4A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F205">
            <w:pPr>
              <w:jc w:val="center"/>
            </w:pPr>
            <w:r>
              <w:rPr>
                <w:rFonts w:ascii="宋体" w:hAnsi="宋体" w:eastAsia="宋体"/>
                <w:sz w:val="16"/>
              </w:rPr>
              <w:t>保障人大代表人数（人）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E6CC">
            <w:pPr>
              <w:jc w:val="center"/>
            </w:pPr>
            <w:r>
              <w:rPr>
                <w:rFonts w:ascii="宋体" w:hAnsi="宋体" w:eastAsia="宋体"/>
                <w:sz w:val="16"/>
              </w:rPr>
              <w:t>&gt;=1023人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36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05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A5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8D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8D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EFB7">
            <w:pPr>
              <w:jc w:val="center"/>
            </w:pPr>
            <w:r>
              <w:rPr>
                <w:rFonts w:ascii="宋体" w:hAnsi="宋体" w:eastAsia="宋体"/>
                <w:sz w:val="16"/>
              </w:rPr>
              <w:t>=1023人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848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5562B">
            <w:pPr>
              <w:jc w:val="center"/>
            </w:pPr>
          </w:p>
        </w:tc>
      </w:tr>
      <w:tr w14:paraId="64E5F5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51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90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57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F0AF">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2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71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8E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DB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8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DA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2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018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8138">
            <w:pPr>
              <w:jc w:val="center"/>
            </w:pPr>
          </w:p>
        </w:tc>
      </w:tr>
      <w:tr w14:paraId="5BED7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BF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628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91F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5229">
            <w:pPr>
              <w:jc w:val="center"/>
            </w:pPr>
            <w:r>
              <w:rPr>
                <w:rFonts w:ascii="宋体" w:hAnsi="宋体" w:eastAsia="宋体"/>
                <w:sz w:val="16"/>
              </w:rPr>
              <w:t>拨付资金及时率（%）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C5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AB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D7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EA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57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3FCA">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F3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E8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BD483">
            <w:pPr>
              <w:jc w:val="center"/>
            </w:pPr>
          </w:p>
        </w:tc>
      </w:tr>
      <w:tr w14:paraId="2E966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13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1D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EF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4A6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835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E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B296">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BA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B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876D">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41A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31D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5C05B">
            <w:pPr>
              <w:jc w:val="center"/>
            </w:pPr>
          </w:p>
        </w:tc>
      </w:tr>
      <w:tr w14:paraId="0E1B1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41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308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3A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260F">
            <w:pPr>
              <w:jc w:val="center"/>
            </w:pPr>
            <w:r>
              <w:rPr>
                <w:rFonts w:ascii="宋体" w:hAnsi="宋体" w:eastAsia="宋体"/>
                <w:sz w:val="16"/>
              </w:rPr>
              <w:t>保障联络站正常运转经费(元/个)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A182">
            <w:pPr>
              <w:jc w:val="center"/>
            </w:pPr>
            <w:r>
              <w:rPr>
                <w:rFonts w:ascii="宋体" w:hAnsi="宋体" w:eastAsia="宋体"/>
                <w:sz w:val="16"/>
              </w:rPr>
              <w:t>&lt;=2180元/个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0F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DC67">
            <w:pPr>
              <w:jc w:val="center"/>
            </w:pPr>
            <w:r>
              <w:rPr>
                <w:rFonts w:ascii="宋体" w:hAnsi="宋体" w:eastAsia="宋体"/>
                <w:sz w:val="16"/>
              </w:rPr>
              <w:t>2180元/个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76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B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4574">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3A01">
            <w:pPr>
              <w:jc w:val="center"/>
            </w:pPr>
            <w:r>
              <w:rPr>
                <w:rFonts w:ascii="宋体" w:hAnsi="宋体" w:eastAsia="宋体"/>
                <w:sz w:val="16"/>
              </w:rPr>
              <w:t>=2180元/个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3D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A2DE0">
            <w:pPr>
              <w:jc w:val="center"/>
            </w:pPr>
          </w:p>
        </w:tc>
      </w:tr>
      <w:tr w14:paraId="64296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30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00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A8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52D5">
            <w:pPr>
              <w:jc w:val="center"/>
            </w:pPr>
            <w:r>
              <w:rPr>
                <w:rFonts w:ascii="宋体" w:hAnsi="宋体" w:eastAsia="宋体"/>
                <w:sz w:val="16"/>
              </w:rPr>
              <w:t>加强改进乡县两级人大工作联动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AF6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79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5487">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B9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C1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9690">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1BD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6D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32E3A">
            <w:pPr>
              <w:jc w:val="center"/>
            </w:pPr>
          </w:p>
        </w:tc>
      </w:tr>
      <w:tr w14:paraId="5817E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12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19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A7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2B8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A0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73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0C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08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28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63F9">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3B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24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9B765">
            <w:pPr>
              <w:jc w:val="center"/>
            </w:pPr>
          </w:p>
        </w:tc>
      </w:tr>
      <w:tr w14:paraId="03AA1E0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23E9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BA6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0C32E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07E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84C54DF"/>
        </w:tc>
      </w:tr>
    </w:tbl>
    <w:p w14:paraId="1517F7CB">
      <w:r>
        <w:br w:type="page"/>
      </w:r>
    </w:p>
    <w:tbl>
      <w:tblPr>
        <w:tblStyle w:val="9"/>
        <w:tblW w:w="9398" w:type="dxa"/>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gridCol w:w="342"/>
      </w:tblGrid>
      <w:tr w14:paraId="2E075805">
        <w:tblPrEx>
          <w:tblCellMar>
            <w:top w:w="0" w:type="dxa"/>
            <w:left w:w="108" w:type="dxa"/>
            <w:bottom w:w="0" w:type="dxa"/>
            <w:right w:w="108" w:type="dxa"/>
          </w:tblCellMar>
        </w:tblPrEx>
        <w:trPr>
          <w:gridAfter w:val="1"/>
          <w:wAfter w:w="342" w:type="dxa"/>
        </w:trPr>
        <w:tc>
          <w:tcPr>
            <w:tcW w:w="9056" w:type="dxa"/>
            <w:gridSpan w:val="14"/>
            <w:vAlign w:val="center"/>
          </w:tcPr>
          <w:p w14:paraId="06587E31">
            <w:pPr>
              <w:jc w:val="center"/>
            </w:pPr>
            <w:r>
              <w:rPr>
                <w:rFonts w:ascii="宋体" w:hAnsi="宋体" w:eastAsia="宋体"/>
                <w:sz w:val="24"/>
              </w:rPr>
              <w:t>项目支出绩效自评表</w:t>
            </w:r>
          </w:p>
        </w:tc>
      </w:tr>
      <w:tr w14:paraId="6DE8B592">
        <w:tblPrEx>
          <w:tblCellMar>
            <w:top w:w="0" w:type="dxa"/>
            <w:left w:w="108" w:type="dxa"/>
            <w:bottom w:w="0" w:type="dxa"/>
            <w:right w:w="108" w:type="dxa"/>
          </w:tblCellMar>
        </w:tblPrEx>
        <w:trPr>
          <w:gridAfter w:val="1"/>
          <w:wAfter w:w="342" w:type="dxa"/>
        </w:trPr>
        <w:tc>
          <w:tcPr>
            <w:tcW w:w="9056" w:type="dxa"/>
            <w:gridSpan w:val="14"/>
            <w:vAlign w:val="center"/>
          </w:tcPr>
          <w:p w14:paraId="3019B8F9">
            <w:pPr>
              <w:jc w:val="center"/>
            </w:pPr>
            <w:r>
              <w:rPr>
                <w:rFonts w:ascii="宋体" w:hAnsi="宋体" w:eastAsia="宋体"/>
                <w:sz w:val="24"/>
              </w:rPr>
              <w:t>(2024年度)</w:t>
            </w:r>
          </w:p>
        </w:tc>
      </w:tr>
      <w:tr w14:paraId="4169472F">
        <w:tblPrEx>
          <w:tblCellMar>
            <w:top w:w="0" w:type="dxa"/>
            <w:left w:w="108" w:type="dxa"/>
            <w:bottom w:w="0" w:type="dxa"/>
            <w:right w:w="108" w:type="dxa"/>
          </w:tblCellMar>
        </w:tblPrEx>
        <w:trPr>
          <w:gridAfter w:val="1"/>
          <w:wAfter w:w="342"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AD09">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BE7BDE">
            <w:pPr>
              <w:jc w:val="center"/>
            </w:pPr>
            <w:r>
              <w:rPr>
                <w:rFonts w:ascii="宋体" w:hAnsi="宋体" w:eastAsia="宋体"/>
                <w:sz w:val="16"/>
              </w:rPr>
              <w:t>2023年</w:t>
            </w:r>
            <w:r>
              <w:rPr>
                <w:rFonts w:hint="eastAsia" w:ascii="宋体" w:hAnsi="宋体"/>
                <w:sz w:val="16"/>
                <w:lang w:eastAsia="zh-CN"/>
              </w:rPr>
              <w:t>人大</w:t>
            </w:r>
            <w:r>
              <w:rPr>
                <w:rFonts w:ascii="宋体" w:hAnsi="宋体" w:eastAsia="宋体"/>
                <w:sz w:val="16"/>
              </w:rPr>
              <w:t>会议费项目</w:t>
            </w:r>
          </w:p>
        </w:tc>
      </w:tr>
      <w:tr w14:paraId="3777F56C">
        <w:tblPrEx>
          <w:tblCellMar>
            <w:top w:w="0" w:type="dxa"/>
            <w:left w:w="108" w:type="dxa"/>
            <w:bottom w:w="0" w:type="dxa"/>
            <w:right w:w="108" w:type="dxa"/>
          </w:tblCellMar>
        </w:tblPrEx>
        <w:trPr>
          <w:gridAfter w:val="1"/>
          <w:wAfter w:w="342"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B24C">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9032AD">
            <w:pPr>
              <w:jc w:val="center"/>
            </w:pPr>
            <w:r>
              <w:rPr>
                <w:rFonts w:ascii="宋体" w:hAnsi="宋体" w:eastAsia="宋体"/>
                <w:sz w:val="16"/>
              </w:rPr>
              <w:t>新疆维吾尔自治区人民代表大会常务委员会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AA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020321">
            <w:pPr>
              <w:jc w:val="center"/>
            </w:pPr>
            <w:r>
              <w:rPr>
                <w:rFonts w:ascii="宋体" w:hAnsi="宋体" w:eastAsia="宋体"/>
                <w:sz w:val="16"/>
              </w:rPr>
              <w:t>疏附县人民代表大会常务委员会</w:t>
            </w:r>
          </w:p>
        </w:tc>
      </w:tr>
      <w:tr w14:paraId="115F663C">
        <w:tblPrEx>
          <w:tblCellMar>
            <w:top w:w="0" w:type="dxa"/>
            <w:left w:w="108" w:type="dxa"/>
            <w:bottom w:w="0" w:type="dxa"/>
            <w:right w:w="108" w:type="dxa"/>
          </w:tblCellMar>
        </w:tblPrEx>
        <w:trPr>
          <w:gridAfter w:val="1"/>
          <w:wAfter w:w="342"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5A0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55EA9">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D24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3C5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DE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1FA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A78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8660">
            <w:pPr>
              <w:jc w:val="center"/>
            </w:pPr>
            <w:r>
              <w:rPr>
                <w:rFonts w:ascii="宋体" w:hAnsi="宋体" w:eastAsia="宋体"/>
                <w:sz w:val="16"/>
              </w:rPr>
              <w:t>得分</w:t>
            </w:r>
          </w:p>
        </w:tc>
      </w:tr>
      <w:tr w14:paraId="1A9B0113">
        <w:tblPrEx>
          <w:tblCellMar>
            <w:top w:w="0" w:type="dxa"/>
            <w:left w:w="108" w:type="dxa"/>
            <w:bottom w:w="0" w:type="dxa"/>
            <w:right w:w="108" w:type="dxa"/>
          </w:tblCellMar>
        </w:tblPrEx>
        <w:trPr>
          <w:gridAfter w:val="1"/>
          <w:wAfter w:w="34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BD7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3A4CE">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13FB1">
            <w:pPr>
              <w:jc w:val="center"/>
            </w:pPr>
            <w:r>
              <w:rPr>
                <w:rFonts w:ascii="宋体" w:hAnsi="宋体" w:eastAsia="宋体"/>
                <w:sz w:val="16"/>
              </w:rPr>
              <w:t>19.88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B1047">
            <w:pPr>
              <w:jc w:val="center"/>
            </w:pPr>
            <w:r>
              <w:rPr>
                <w:rFonts w:ascii="宋体" w:hAnsi="宋体" w:eastAsia="宋体"/>
                <w:sz w:val="16"/>
              </w:rPr>
              <w:t>19.88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763F8">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77A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3B472">
            <w:pPr>
              <w:jc w:val="center"/>
            </w:pPr>
            <w:r>
              <w:rPr>
                <w:rFonts w:ascii="宋体" w:hAnsi="宋体" w:eastAsia="宋体"/>
                <w:sz w:val="16"/>
              </w:rPr>
              <w:t>31.24%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C7DE">
            <w:pPr>
              <w:jc w:val="center"/>
            </w:pPr>
            <w:r>
              <w:rPr>
                <w:rFonts w:ascii="宋体" w:hAnsi="宋体" w:eastAsia="宋体"/>
                <w:sz w:val="16"/>
              </w:rPr>
              <w:t>0.00分</w:t>
            </w:r>
          </w:p>
        </w:tc>
      </w:tr>
      <w:tr w14:paraId="69FDA99B">
        <w:tblPrEx>
          <w:tblCellMar>
            <w:top w:w="0" w:type="dxa"/>
            <w:left w:w="108" w:type="dxa"/>
            <w:bottom w:w="0" w:type="dxa"/>
            <w:right w:w="108" w:type="dxa"/>
          </w:tblCellMar>
        </w:tblPrEx>
        <w:trPr>
          <w:gridAfter w:val="1"/>
          <w:wAfter w:w="34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D15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92095">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53CD9">
            <w:pPr>
              <w:jc w:val="center"/>
            </w:pPr>
            <w:r>
              <w:rPr>
                <w:rFonts w:ascii="宋体" w:hAnsi="宋体" w:eastAsia="宋体"/>
                <w:sz w:val="16"/>
              </w:rPr>
              <w:t>19.88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165EA">
            <w:pPr>
              <w:jc w:val="center"/>
            </w:pPr>
            <w:r>
              <w:rPr>
                <w:rFonts w:ascii="宋体" w:hAnsi="宋体" w:eastAsia="宋体"/>
                <w:sz w:val="16"/>
              </w:rPr>
              <w:t>19.88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2E4FC">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146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B13D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CACB">
            <w:pPr>
              <w:jc w:val="center"/>
            </w:pPr>
            <w:r>
              <w:rPr>
                <w:rFonts w:ascii="宋体" w:hAnsi="宋体" w:eastAsia="宋体"/>
                <w:sz w:val="16"/>
              </w:rPr>
              <w:t>—</w:t>
            </w:r>
          </w:p>
        </w:tc>
      </w:tr>
      <w:tr w14:paraId="3216C39F">
        <w:tblPrEx>
          <w:tblCellMar>
            <w:top w:w="0" w:type="dxa"/>
            <w:left w:w="108" w:type="dxa"/>
            <w:bottom w:w="0" w:type="dxa"/>
            <w:right w:w="108" w:type="dxa"/>
          </w:tblCellMar>
        </w:tblPrEx>
        <w:trPr>
          <w:gridAfter w:val="1"/>
          <w:wAfter w:w="34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10C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F4870">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E4C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491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0F7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2E3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6DA4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B162C">
            <w:pPr>
              <w:jc w:val="center"/>
            </w:pPr>
            <w:r>
              <w:rPr>
                <w:rFonts w:ascii="宋体" w:hAnsi="宋体" w:eastAsia="宋体"/>
                <w:sz w:val="16"/>
              </w:rPr>
              <w:t>—</w:t>
            </w:r>
          </w:p>
        </w:tc>
      </w:tr>
      <w:tr w14:paraId="417BF141">
        <w:tblPrEx>
          <w:tblCellMar>
            <w:top w:w="0" w:type="dxa"/>
            <w:left w:w="108" w:type="dxa"/>
            <w:bottom w:w="0" w:type="dxa"/>
            <w:right w:w="108" w:type="dxa"/>
          </w:tblCellMar>
        </w:tblPrEx>
        <w:trPr>
          <w:gridAfter w:val="1"/>
          <w:wAfter w:w="342"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9357D">
            <w:pPr>
              <w:jc w:val="center"/>
            </w:pPr>
            <w:r>
              <w:rPr>
                <w:rFonts w:ascii="宋体" w:hAnsi="宋体" w:eastAsia="宋体"/>
                <w:sz w:val="16"/>
              </w:rPr>
              <w:t>三、目标完成情况</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DF0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7FC505">
            <w:pPr>
              <w:jc w:val="center"/>
            </w:pPr>
            <w:r>
              <w:rPr>
                <w:rFonts w:ascii="宋体" w:hAnsi="宋体" w:eastAsia="宋体"/>
                <w:sz w:val="16"/>
              </w:rPr>
              <w:t>实际完成情况</w:t>
            </w:r>
          </w:p>
        </w:tc>
      </w:tr>
      <w:tr w14:paraId="5BF73D58">
        <w:tblPrEx>
          <w:tblCellMar>
            <w:top w:w="0" w:type="dxa"/>
            <w:left w:w="108" w:type="dxa"/>
            <w:bottom w:w="0" w:type="dxa"/>
            <w:right w:w="108" w:type="dxa"/>
          </w:tblCellMar>
        </w:tblPrEx>
        <w:trPr>
          <w:gridAfter w:val="1"/>
          <w:wAfter w:w="34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B4DFA"/>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53F9A">
            <w:pPr>
              <w:jc w:val="both"/>
            </w:pPr>
            <w:r>
              <w:rPr>
                <w:rFonts w:ascii="宋体" w:hAnsi="宋体" w:eastAsia="宋体"/>
                <w:sz w:val="16"/>
              </w:rPr>
              <w:t>本项目预算金额为19.881743万元。主要用于保障疏附县第十七届人民代表大会第三次会议正常开展。其中：大小会议共6场次；参加会议人数180人；会议共需3天；会议召开及时率达到100%，保障会议正常开展，让参会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023EBB">
            <w:pPr>
              <w:jc w:val="both"/>
            </w:pPr>
            <w:r>
              <w:rPr>
                <w:rFonts w:hint="eastAsia" w:ascii="宋体" w:hAnsi="宋体"/>
                <w:sz w:val="16"/>
                <w:lang w:eastAsia="zh-CN"/>
              </w:rPr>
              <w:t>截至2024</w:t>
            </w:r>
            <w:r>
              <w:rPr>
                <w:rFonts w:ascii="宋体" w:hAnsi="宋体" w:eastAsia="宋体"/>
                <w:sz w:val="16"/>
              </w:rPr>
              <w:t>年12月31日，本项目预算金额为19.88万元，全年执行数为6.21万元，全年执行率为31.2%，主要用于保障疏附县第十七届人民代表大会第三次会议正常开展，其中，保障了大小会议共3场次；参加会议人数182人；会期3天；项目实现目标程度较低，未开展满意度调查业务。</w:t>
            </w:r>
          </w:p>
        </w:tc>
      </w:tr>
      <w:tr w14:paraId="5507432D">
        <w:tblPrEx>
          <w:tblCellMar>
            <w:top w:w="0" w:type="dxa"/>
            <w:left w:w="108" w:type="dxa"/>
            <w:bottom w:w="0" w:type="dxa"/>
            <w:right w:w="108" w:type="dxa"/>
          </w:tblCellMar>
        </w:tblPrEx>
        <w:trPr>
          <w:gridAfter w:val="1"/>
          <w:wAfter w:w="342" w:type="dxa"/>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0355AF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D7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898A">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84C7D8">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4865EF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02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16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A0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CB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F5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5D4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20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71ECB">
            <w:pPr>
              <w:jc w:val="center"/>
            </w:pPr>
            <w:r>
              <w:rPr>
                <w:rFonts w:ascii="宋体" w:hAnsi="宋体" w:eastAsia="宋体"/>
                <w:sz w:val="16"/>
              </w:rPr>
              <w:t>偏差原因分析及改进措施</w:t>
            </w:r>
          </w:p>
        </w:tc>
      </w:tr>
      <w:tr w14:paraId="6ABE025F">
        <w:tblPrEx>
          <w:tblCellMar>
            <w:top w:w="0" w:type="dxa"/>
            <w:left w:w="108" w:type="dxa"/>
            <w:bottom w:w="0" w:type="dxa"/>
            <w:right w:w="108" w:type="dxa"/>
          </w:tblCellMar>
        </w:tblPrEx>
        <w:trPr>
          <w:gridAfter w:val="1"/>
          <w:wAfter w:w="342"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C7F8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1109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38859">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C77E86">
            <w:pPr>
              <w:jc w:val="center"/>
            </w:pPr>
            <w:r>
              <w:rPr>
                <w:rFonts w:ascii="宋体" w:hAnsi="宋体" w:eastAsia="宋体"/>
                <w:sz w:val="16"/>
              </w:rPr>
              <w:t>会议召开场次（次）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746CE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3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FF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95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D8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F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49C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755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E0D9C">
            <w:pPr>
              <w:jc w:val="center"/>
            </w:pPr>
          </w:p>
        </w:tc>
      </w:tr>
      <w:tr w14:paraId="56F0AA81">
        <w:tblPrEx>
          <w:tblCellMar>
            <w:top w:w="0" w:type="dxa"/>
            <w:left w:w="108" w:type="dxa"/>
            <w:bottom w:w="0" w:type="dxa"/>
            <w:right w:w="108" w:type="dxa"/>
          </w:tblCellMar>
        </w:tblPrEx>
        <w:trPr>
          <w:gridAfter w:val="1"/>
          <w:wAfter w:w="34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88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41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8CB7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0EB52C">
            <w:pPr>
              <w:jc w:val="center"/>
            </w:pPr>
            <w:r>
              <w:rPr>
                <w:rFonts w:ascii="宋体" w:hAnsi="宋体" w:eastAsia="宋体"/>
                <w:sz w:val="16"/>
              </w:rPr>
              <w:t>会议参会人数（人）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DF437EA">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A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6A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EE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4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2D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ED40">
            <w:pPr>
              <w:jc w:val="center"/>
            </w:pPr>
            <w:r>
              <w:rPr>
                <w:rFonts w:ascii="宋体" w:hAnsi="宋体" w:eastAsia="宋体"/>
                <w:sz w:val="16"/>
              </w:rPr>
              <w:t>=182人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427F">
            <w:pPr>
              <w:jc w:val="center"/>
            </w:pPr>
            <w:r>
              <w:rPr>
                <w:rFonts w:ascii="宋体" w:hAnsi="宋体" w:eastAsia="宋体"/>
                <w:sz w:val="16"/>
              </w:rPr>
              <w:t>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B8A25">
            <w:pPr>
              <w:jc w:val="center"/>
            </w:pPr>
            <w:r>
              <w:rPr>
                <w:rFonts w:ascii="宋体" w:hAnsi="宋体" w:eastAsia="宋体"/>
                <w:sz w:val="16"/>
              </w:rPr>
              <w:t>偏差原因：会议参会人数实际完成182人，超指标完成，故导致出现正偏差。</w:t>
            </w:r>
          </w:p>
        </w:tc>
      </w:tr>
      <w:tr w14:paraId="5E65EC40">
        <w:tblPrEx>
          <w:tblCellMar>
            <w:top w:w="0" w:type="dxa"/>
            <w:left w:w="108" w:type="dxa"/>
            <w:bottom w:w="0" w:type="dxa"/>
            <w:right w:w="108" w:type="dxa"/>
          </w:tblCellMar>
        </w:tblPrEx>
        <w:trPr>
          <w:gridAfter w:val="1"/>
          <w:wAfter w:w="34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73A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DB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ADD1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6AFFE4">
            <w:pPr>
              <w:jc w:val="center"/>
            </w:pPr>
            <w:r>
              <w:rPr>
                <w:rFonts w:ascii="宋体" w:hAnsi="宋体" w:eastAsia="宋体"/>
                <w:sz w:val="16"/>
              </w:rPr>
              <w:t>会议天数（天）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F042E5">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5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5B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59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3A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D1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53F5">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345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3AF65">
            <w:pPr>
              <w:jc w:val="center"/>
            </w:pPr>
          </w:p>
        </w:tc>
      </w:tr>
      <w:tr w14:paraId="4C09C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30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A09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EBC1">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130059">
            <w:pPr>
              <w:jc w:val="center"/>
            </w:pPr>
            <w:r>
              <w:rPr>
                <w:rFonts w:ascii="宋体" w:hAnsi="宋体" w:eastAsia="宋体"/>
                <w:sz w:val="16"/>
              </w:rPr>
              <w:t>资金支付合规率（%）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A89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C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75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03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74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DF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D499">
            <w:pPr>
              <w:jc w:val="center"/>
            </w:pPr>
            <w:r>
              <w:rPr>
                <w:rFonts w:ascii="宋体" w:hAnsi="宋体" w:eastAsia="宋体"/>
                <w:sz w:val="16"/>
              </w:rPr>
              <w:t>=31%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C857">
            <w:pPr>
              <w:jc w:val="center"/>
            </w:pPr>
            <w:r>
              <w:rPr>
                <w:rFonts w:ascii="宋体" w:hAnsi="宋体" w:eastAsia="宋体"/>
                <w:sz w:val="16"/>
              </w:rPr>
              <w:t>0</w:t>
            </w:r>
          </w:p>
        </w:tc>
        <w:tc>
          <w:tcPr>
            <w:tcW w:w="160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033962">
            <w:pPr>
              <w:jc w:val="center"/>
            </w:pPr>
            <w:r>
              <w:rPr>
                <w:rFonts w:ascii="宋体" w:hAnsi="宋体" w:eastAsia="宋体"/>
                <w:sz w:val="16"/>
              </w:rPr>
              <w:t>偏差原因：由于年初预算不精准，故导致年度指标未达到目标值，整改措施：制定和完善基本支出、项目支出等各项支出标准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r>
              <w:rPr>
                <w:rFonts w:hint="eastAsia" w:ascii="宋体" w:hAnsi="宋体"/>
                <w:sz w:val="16"/>
                <w:lang w:eastAsia="zh-CN"/>
              </w:rPr>
              <w:t>，</w:t>
            </w:r>
            <w:r>
              <w:rPr>
                <w:rFonts w:ascii="宋体" w:hAnsi="宋体" w:eastAsia="宋体"/>
                <w:sz w:val="16"/>
              </w:rPr>
              <w:t>增强预算的约束力和严肃性。</w:t>
            </w:r>
          </w:p>
        </w:tc>
      </w:tr>
      <w:tr w14:paraId="052B6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2A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47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B2A9">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536CA7">
            <w:pPr>
              <w:jc w:val="center"/>
            </w:pPr>
            <w:r>
              <w:rPr>
                <w:rFonts w:ascii="宋体" w:hAnsi="宋体" w:eastAsia="宋体"/>
                <w:sz w:val="16"/>
              </w:rPr>
              <w:t>项目完成时间（年/月/日）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74F4B7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75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89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9E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DB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2C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51D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0A84">
            <w:pPr>
              <w:jc w:val="center"/>
            </w:pPr>
            <w:r>
              <w:rPr>
                <w:rFonts w:ascii="宋体" w:hAnsi="宋体" w:eastAsia="宋体"/>
                <w:sz w:val="16"/>
              </w:rPr>
              <w:t>0</w:t>
            </w:r>
          </w:p>
        </w:tc>
        <w:tc>
          <w:tcPr>
            <w:tcW w:w="160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11E2F9">
            <w:pPr>
              <w:jc w:val="center"/>
            </w:pPr>
            <w:r>
              <w:rPr>
                <w:rFonts w:ascii="宋体" w:hAnsi="宋体" w:eastAsia="宋体"/>
                <w:sz w:val="16"/>
              </w:rPr>
              <w:t>偏差原因：由于年初预算不精准，故导致年度指标未达到目标值，整改措施：制定和完善基本支出、项目支出等各项支出标准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r>
              <w:rPr>
                <w:rFonts w:hint="eastAsia" w:ascii="宋体" w:hAnsi="宋体"/>
                <w:sz w:val="16"/>
                <w:lang w:eastAsia="zh-CN"/>
              </w:rPr>
              <w:t>，</w:t>
            </w:r>
            <w:r>
              <w:rPr>
                <w:rFonts w:ascii="宋体" w:hAnsi="宋体" w:eastAsia="宋体"/>
                <w:sz w:val="16"/>
              </w:rPr>
              <w:t>增强预算的约束力和严肃性。</w:t>
            </w:r>
          </w:p>
        </w:tc>
      </w:tr>
      <w:tr w14:paraId="0FD5C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32D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37F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C5BAF">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2916EF">
            <w:pPr>
              <w:jc w:val="center"/>
            </w:pPr>
            <w:r>
              <w:rPr>
                <w:rFonts w:ascii="宋体" w:hAnsi="宋体" w:eastAsia="宋体"/>
                <w:sz w:val="16"/>
              </w:rPr>
              <w:t>会议筹备费用（万元）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03D822">
            <w:pPr>
              <w:jc w:val="center"/>
            </w:pPr>
            <w:r>
              <w:rPr>
                <w:rFonts w:ascii="宋体" w:hAnsi="宋体" w:eastAsia="宋体"/>
                <w:sz w:val="16"/>
              </w:rPr>
              <w:t>&lt;=19.88元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91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90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10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D8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B9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AC4D">
            <w:pPr>
              <w:jc w:val="center"/>
            </w:pPr>
            <w:r>
              <w:rPr>
                <w:rFonts w:ascii="宋体" w:hAnsi="宋体" w:eastAsia="宋体"/>
                <w:sz w:val="16"/>
              </w:rPr>
              <w:t>6.21万元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90CF">
            <w:pPr>
              <w:jc w:val="center"/>
            </w:pPr>
            <w:r>
              <w:rPr>
                <w:rFonts w:ascii="宋体" w:hAnsi="宋体" w:eastAsia="宋体"/>
                <w:sz w:val="16"/>
              </w:rPr>
              <w:t>0</w:t>
            </w:r>
          </w:p>
        </w:tc>
        <w:tc>
          <w:tcPr>
            <w:tcW w:w="160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6F0075">
            <w:pPr>
              <w:jc w:val="center"/>
            </w:pPr>
            <w:r>
              <w:rPr>
                <w:rFonts w:ascii="宋体" w:hAnsi="宋体" w:eastAsia="宋体"/>
                <w:sz w:val="16"/>
              </w:rPr>
              <w:t>偏差原因：由于年初预算不精准，故导致年度指标未达到目标值，整改措施：制定和完善基本支出、项目支出等各项支出标准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r>
              <w:rPr>
                <w:rFonts w:hint="eastAsia" w:ascii="宋体" w:hAnsi="宋体"/>
                <w:sz w:val="16"/>
                <w:lang w:eastAsia="zh-CN"/>
              </w:rPr>
              <w:t>，</w:t>
            </w:r>
            <w:r>
              <w:rPr>
                <w:rFonts w:ascii="宋体" w:hAnsi="宋体" w:eastAsia="宋体"/>
                <w:sz w:val="16"/>
              </w:rPr>
              <w:t>增强预算的约束力和严肃性。</w:t>
            </w:r>
          </w:p>
        </w:tc>
      </w:tr>
      <w:tr w14:paraId="6A437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1ED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478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5597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38ECF9">
            <w:pPr>
              <w:jc w:val="center"/>
            </w:pPr>
            <w:r>
              <w:rPr>
                <w:rFonts w:ascii="宋体" w:hAnsi="宋体" w:eastAsia="宋体"/>
                <w:sz w:val="16"/>
              </w:rPr>
              <w:t>成本控制率（%）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A353C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15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0E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9A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4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1B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D217">
            <w:pPr>
              <w:jc w:val="center"/>
            </w:pPr>
            <w:r>
              <w:rPr>
                <w:rFonts w:ascii="宋体" w:hAnsi="宋体" w:eastAsia="宋体"/>
                <w:sz w:val="16"/>
              </w:rPr>
              <w:t>=31%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A078">
            <w:pPr>
              <w:jc w:val="center"/>
            </w:pPr>
            <w:r>
              <w:rPr>
                <w:rFonts w:ascii="宋体" w:hAnsi="宋体" w:eastAsia="宋体"/>
                <w:sz w:val="16"/>
              </w:rPr>
              <w:t>0</w:t>
            </w:r>
          </w:p>
        </w:tc>
        <w:tc>
          <w:tcPr>
            <w:tcW w:w="160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89F609">
            <w:pPr>
              <w:jc w:val="center"/>
            </w:pPr>
            <w:r>
              <w:rPr>
                <w:rFonts w:ascii="宋体" w:hAnsi="宋体" w:eastAsia="宋体"/>
                <w:sz w:val="16"/>
              </w:rPr>
              <w:t>偏差原因：由于年初预算不精准，故导致年度指标未达到目标值，整改措施：落实预算执行分析</w:t>
            </w:r>
            <w:r>
              <w:rPr>
                <w:rFonts w:hint="eastAsia" w:ascii="宋体" w:hAnsi="宋体"/>
                <w:sz w:val="16"/>
                <w:lang w:eastAsia="zh-CN"/>
              </w:rPr>
              <w:t>，</w:t>
            </w:r>
            <w:r>
              <w:rPr>
                <w:rFonts w:ascii="宋体" w:hAnsi="宋体" w:eastAsia="宋体"/>
                <w:sz w:val="16"/>
              </w:rPr>
              <w:t>及时了解预算执行差异</w:t>
            </w:r>
            <w:r>
              <w:rPr>
                <w:rFonts w:hint="eastAsia" w:ascii="宋体" w:hAnsi="宋体"/>
                <w:sz w:val="16"/>
                <w:lang w:eastAsia="zh-CN"/>
              </w:rPr>
              <w:t>，</w:t>
            </w:r>
            <w:r>
              <w:rPr>
                <w:rFonts w:ascii="宋体" w:hAnsi="宋体" w:eastAsia="宋体"/>
                <w:sz w:val="16"/>
              </w:rPr>
              <w:t>合理调整、纠正预算执行偏差，切实提高部门预算收支管理水平。尽可能地做到决算与预算相衔接。</w:t>
            </w:r>
          </w:p>
        </w:tc>
      </w:tr>
      <w:tr w14:paraId="71EA8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CD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92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21C7">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18F66A">
            <w:pPr>
              <w:jc w:val="center"/>
            </w:pPr>
            <w:r>
              <w:rPr>
                <w:rFonts w:ascii="宋体" w:hAnsi="宋体" w:eastAsia="宋体"/>
                <w:sz w:val="16"/>
              </w:rPr>
              <w:t>保障会议正常开展</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C9B04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62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8E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BA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EF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43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553A">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C354">
            <w:pPr>
              <w:jc w:val="center"/>
            </w:pPr>
            <w:r>
              <w:rPr>
                <w:rFonts w:ascii="宋体" w:hAnsi="宋体" w:eastAsia="宋体"/>
                <w:sz w:val="16"/>
              </w:rPr>
              <w:t>0</w:t>
            </w:r>
          </w:p>
        </w:tc>
        <w:tc>
          <w:tcPr>
            <w:tcW w:w="160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DEB11F">
            <w:pPr>
              <w:jc w:val="center"/>
            </w:pPr>
            <w:r>
              <w:rPr>
                <w:rFonts w:ascii="宋体" w:hAnsi="宋体" w:eastAsia="宋体"/>
                <w:sz w:val="16"/>
              </w:rPr>
              <w:t>偏差原因：由于年初预算不精准，故导致年度指标未达到目标值，整改措施：制定和完善基本支出、项目支出等各项支出标准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r>
              <w:rPr>
                <w:rFonts w:hint="eastAsia" w:ascii="宋体" w:hAnsi="宋体"/>
                <w:sz w:val="16"/>
                <w:lang w:eastAsia="zh-CN"/>
              </w:rPr>
              <w:t>，</w:t>
            </w:r>
            <w:r>
              <w:rPr>
                <w:rFonts w:ascii="宋体" w:hAnsi="宋体" w:eastAsia="宋体"/>
                <w:sz w:val="16"/>
              </w:rPr>
              <w:t>增强预算的约束力和严肃性。</w:t>
            </w:r>
          </w:p>
        </w:tc>
      </w:tr>
      <w:tr w14:paraId="5E53E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E9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10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6843">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56AD8D">
            <w:pPr>
              <w:jc w:val="center"/>
            </w:pPr>
            <w:r>
              <w:rPr>
                <w:rFonts w:ascii="宋体" w:hAnsi="宋体" w:eastAsia="宋体"/>
                <w:sz w:val="16"/>
              </w:rPr>
              <w:t>参会人员满意度（%）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558B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0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45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9F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26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50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EB12">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5052">
            <w:pPr>
              <w:jc w:val="center"/>
            </w:pPr>
            <w:r>
              <w:rPr>
                <w:rFonts w:ascii="宋体" w:hAnsi="宋体" w:eastAsia="宋体"/>
                <w:sz w:val="16"/>
              </w:rPr>
              <w:t>0</w:t>
            </w:r>
          </w:p>
        </w:tc>
        <w:tc>
          <w:tcPr>
            <w:tcW w:w="160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687634">
            <w:pPr>
              <w:jc w:val="center"/>
            </w:pPr>
            <w:r>
              <w:rPr>
                <w:rFonts w:ascii="宋体" w:hAnsi="宋体" w:eastAsia="宋体"/>
                <w:sz w:val="16"/>
              </w:rPr>
              <w:t>偏差原因：由于年初预算不精准，故导致年度指标未达到目标值，整改措施：制定和完善基本支出、项目支出等各项支出标准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r>
              <w:rPr>
                <w:rFonts w:hint="eastAsia" w:ascii="宋体" w:hAnsi="宋体"/>
                <w:sz w:val="16"/>
                <w:lang w:eastAsia="zh-CN"/>
              </w:rPr>
              <w:t>，</w:t>
            </w:r>
            <w:r>
              <w:rPr>
                <w:rFonts w:ascii="宋体" w:hAnsi="宋体" w:eastAsia="宋体"/>
                <w:sz w:val="16"/>
              </w:rPr>
              <w:t>增强预算的约束力和严肃性。</w:t>
            </w:r>
          </w:p>
        </w:tc>
      </w:tr>
      <w:tr w14:paraId="49C13FDC">
        <w:tblPrEx>
          <w:tblCellMar>
            <w:top w:w="0" w:type="dxa"/>
            <w:left w:w="108" w:type="dxa"/>
            <w:bottom w:w="0" w:type="dxa"/>
            <w:right w:w="108" w:type="dxa"/>
          </w:tblCellMar>
        </w:tblPrEx>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FCE4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8F9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BF43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6A6E">
            <w:pPr>
              <w:jc w:val="center"/>
            </w:pPr>
            <w:r>
              <w:rPr>
                <w:rFonts w:ascii="宋体" w:hAnsi="宋体" w:eastAsia="宋体"/>
                <w:sz w:val="16"/>
              </w:rPr>
              <w:t>23.92分</w:t>
            </w:r>
          </w:p>
        </w:tc>
        <w:tc>
          <w:tcPr>
            <w:tcW w:w="1606" w:type="dxa"/>
            <w:gridSpan w:val="3"/>
            <w:tcBorders>
              <w:top w:val="single" w:color="auto" w:sz="10" w:space="0"/>
              <w:left w:val="single" w:color="auto" w:sz="10" w:space="0"/>
              <w:bottom w:val="single" w:color="auto" w:sz="10" w:space="0"/>
              <w:right w:val="single" w:color="auto" w:sz="10" w:space="0"/>
              <w:insideV w:val="single" w:sz="10" w:space="0"/>
            </w:tcBorders>
          </w:tcPr>
          <w:p w14:paraId="3DE222E1"/>
        </w:tc>
      </w:tr>
    </w:tbl>
    <w:p w14:paraId="2ED9A0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052EE30">
        <w:tblPrEx>
          <w:tblCellMar>
            <w:top w:w="0" w:type="dxa"/>
            <w:left w:w="108" w:type="dxa"/>
            <w:bottom w:w="0" w:type="dxa"/>
            <w:right w:w="108" w:type="dxa"/>
          </w:tblCellMar>
        </w:tblPrEx>
        <w:tc>
          <w:tcPr>
            <w:tcW w:w="8848" w:type="dxa"/>
            <w:gridSpan w:val="14"/>
            <w:vAlign w:val="center"/>
          </w:tcPr>
          <w:p w14:paraId="6C4B7588">
            <w:pPr>
              <w:jc w:val="center"/>
            </w:pPr>
            <w:r>
              <w:rPr>
                <w:rFonts w:ascii="宋体" w:hAnsi="宋体" w:eastAsia="宋体"/>
                <w:sz w:val="24"/>
              </w:rPr>
              <w:t>项目支出绩效自评表</w:t>
            </w:r>
          </w:p>
        </w:tc>
      </w:tr>
      <w:tr w14:paraId="6F41AE4D">
        <w:tblPrEx>
          <w:tblCellMar>
            <w:top w:w="0" w:type="dxa"/>
            <w:left w:w="108" w:type="dxa"/>
            <w:bottom w:w="0" w:type="dxa"/>
            <w:right w:w="108" w:type="dxa"/>
          </w:tblCellMar>
        </w:tblPrEx>
        <w:tc>
          <w:tcPr>
            <w:tcW w:w="8848" w:type="dxa"/>
            <w:gridSpan w:val="14"/>
            <w:vAlign w:val="center"/>
          </w:tcPr>
          <w:p w14:paraId="0800BA93">
            <w:pPr>
              <w:jc w:val="center"/>
            </w:pPr>
            <w:r>
              <w:rPr>
                <w:rFonts w:ascii="宋体" w:hAnsi="宋体" w:eastAsia="宋体"/>
                <w:sz w:val="24"/>
              </w:rPr>
              <w:t>(2024年度)</w:t>
            </w:r>
          </w:p>
        </w:tc>
      </w:tr>
      <w:tr w14:paraId="236F60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AF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D320F3">
            <w:pPr>
              <w:jc w:val="center"/>
            </w:pPr>
            <w:r>
              <w:rPr>
                <w:rFonts w:ascii="宋体" w:hAnsi="宋体" w:eastAsia="宋体"/>
                <w:sz w:val="16"/>
              </w:rPr>
              <w:t>2023年预算联网监督系统运行维护欠款项目</w:t>
            </w:r>
          </w:p>
        </w:tc>
      </w:tr>
      <w:tr w14:paraId="11259E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58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CA85DA">
            <w:pPr>
              <w:jc w:val="center"/>
            </w:pPr>
            <w:r>
              <w:rPr>
                <w:rFonts w:ascii="宋体" w:hAnsi="宋体" w:eastAsia="宋体"/>
                <w:sz w:val="16"/>
              </w:rPr>
              <w:t>新疆维吾尔自治区人民代表大会常务委员会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24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DA12C6">
            <w:pPr>
              <w:jc w:val="center"/>
            </w:pPr>
            <w:r>
              <w:rPr>
                <w:rFonts w:ascii="宋体" w:hAnsi="宋体" w:eastAsia="宋体"/>
                <w:sz w:val="16"/>
              </w:rPr>
              <w:t>疏附县人民代表大会常务委员会</w:t>
            </w:r>
          </w:p>
        </w:tc>
      </w:tr>
      <w:tr w14:paraId="0330A4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4ED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299E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ECF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8A4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034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3EC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9C2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1CD9">
            <w:pPr>
              <w:jc w:val="center"/>
            </w:pPr>
            <w:r>
              <w:rPr>
                <w:rFonts w:ascii="宋体" w:hAnsi="宋体" w:eastAsia="宋体"/>
                <w:sz w:val="16"/>
              </w:rPr>
              <w:t>得分</w:t>
            </w:r>
          </w:p>
        </w:tc>
      </w:tr>
      <w:tr w14:paraId="05CFE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769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F0E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F862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BC4C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90BC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A04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0A64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A835">
            <w:pPr>
              <w:jc w:val="center"/>
            </w:pPr>
            <w:r>
              <w:rPr>
                <w:rFonts w:ascii="宋体" w:hAnsi="宋体" w:eastAsia="宋体"/>
                <w:sz w:val="16"/>
              </w:rPr>
              <w:t>10.00分</w:t>
            </w:r>
          </w:p>
        </w:tc>
      </w:tr>
      <w:tr w14:paraId="47363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A80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27D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187B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7E55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9FBC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E94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9CFE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7EEF">
            <w:pPr>
              <w:jc w:val="center"/>
            </w:pPr>
            <w:r>
              <w:rPr>
                <w:rFonts w:ascii="宋体" w:hAnsi="宋体" w:eastAsia="宋体"/>
                <w:sz w:val="16"/>
              </w:rPr>
              <w:t>—</w:t>
            </w:r>
          </w:p>
        </w:tc>
      </w:tr>
      <w:tr w14:paraId="06AE5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E84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713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758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4F0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155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D7E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FA9B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D5CD">
            <w:pPr>
              <w:jc w:val="center"/>
            </w:pPr>
            <w:r>
              <w:rPr>
                <w:rFonts w:ascii="宋体" w:hAnsi="宋体" w:eastAsia="宋体"/>
                <w:sz w:val="16"/>
              </w:rPr>
              <w:t>—</w:t>
            </w:r>
          </w:p>
        </w:tc>
      </w:tr>
      <w:tr w14:paraId="2705C7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2981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932D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29B9EA">
            <w:pPr>
              <w:jc w:val="center"/>
            </w:pPr>
            <w:r>
              <w:rPr>
                <w:rFonts w:ascii="宋体" w:hAnsi="宋体" w:eastAsia="宋体"/>
                <w:sz w:val="16"/>
              </w:rPr>
              <w:t>实际完成情况</w:t>
            </w:r>
          </w:p>
        </w:tc>
      </w:tr>
      <w:tr w14:paraId="0B64E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C23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DC9CE">
            <w:pPr>
              <w:jc w:val="both"/>
            </w:pPr>
            <w:r>
              <w:rPr>
                <w:rFonts w:ascii="宋体" w:hAnsi="宋体" w:eastAsia="宋体"/>
                <w:sz w:val="16"/>
              </w:rPr>
              <w:t>本项目预算金额为5万元，主要用于预算联网监督系统的运行进行维护。维护成本5万元，其中：县（市）定制化云系统软件服务4.58万元，电子政务外网电路租赁0.42万元。通过本项目实施加强人大常委会预算联网监督工作，提高财政资金使用效益。使服务对象的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CF6930">
            <w:pPr>
              <w:jc w:val="both"/>
            </w:pPr>
            <w:r>
              <w:rPr>
                <w:rFonts w:hint="eastAsia" w:ascii="宋体" w:hAnsi="宋体"/>
                <w:sz w:val="16"/>
                <w:lang w:eastAsia="zh-CN"/>
              </w:rPr>
              <w:t>截至2024</w:t>
            </w:r>
            <w:r>
              <w:rPr>
                <w:rFonts w:ascii="宋体" w:hAnsi="宋体" w:eastAsia="宋体"/>
                <w:sz w:val="16"/>
              </w:rPr>
              <w:t>年12月31日，本项目预算金额为5元，全年执行数为5万元，全年执行率为100%，维护电子政务外网</w:t>
            </w:r>
            <w:r>
              <w:rPr>
                <w:rFonts w:hint="eastAsia" w:ascii="宋体" w:hAnsi="宋体"/>
                <w:sz w:val="16"/>
                <w:lang w:eastAsia="zh-CN"/>
              </w:rPr>
              <w:t>电力系统</w:t>
            </w:r>
            <w:r>
              <w:rPr>
                <w:rFonts w:ascii="宋体" w:hAnsi="宋体" w:eastAsia="宋体"/>
                <w:sz w:val="16"/>
              </w:rPr>
              <w:t>1次，对陈旧的云系统维护1次，同时资金得到了</w:t>
            </w:r>
            <w:r>
              <w:rPr>
                <w:rFonts w:hint="eastAsia" w:ascii="宋体" w:hAnsi="宋体"/>
                <w:sz w:val="16"/>
                <w:lang w:eastAsia="zh-CN"/>
              </w:rPr>
              <w:t>有效地</w:t>
            </w:r>
            <w:r>
              <w:rPr>
                <w:rFonts w:ascii="宋体" w:hAnsi="宋体" w:eastAsia="宋体"/>
                <w:sz w:val="16"/>
              </w:rPr>
              <w:t>使用，资金拨付及时率到100%，有效保障了预算联网中心正常运转。服务对象的满意度达到了95%。资金支付及时性（%）：100；维护县（市）定制化云系统软件服务1次；维护电子政务外网</w:t>
            </w:r>
            <w:r>
              <w:rPr>
                <w:rFonts w:hint="eastAsia" w:ascii="宋体" w:hAnsi="宋体"/>
                <w:sz w:val="16"/>
                <w:lang w:eastAsia="zh-CN"/>
              </w:rPr>
              <w:t>电力系统</w:t>
            </w:r>
            <w:r>
              <w:rPr>
                <w:rFonts w:ascii="宋体" w:hAnsi="宋体" w:eastAsia="宋体"/>
                <w:sz w:val="16"/>
              </w:rPr>
              <w:t>1次；县（市）定制化云系统软件服务4.58万元，电子政务外网电路租赁0.42万元；验收合格率100%；有效提高工作人员工作办事效率，服务对象的满意度达到95%。</w:t>
            </w:r>
          </w:p>
        </w:tc>
      </w:tr>
      <w:tr w14:paraId="6CB388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8FC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D8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74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B2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06B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1C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3A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DC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F4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A8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C5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6AD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DAB85">
            <w:pPr>
              <w:jc w:val="center"/>
            </w:pPr>
            <w:r>
              <w:rPr>
                <w:rFonts w:ascii="宋体" w:hAnsi="宋体" w:eastAsia="宋体"/>
                <w:sz w:val="16"/>
              </w:rPr>
              <w:t>偏差原因分析及改进措施</w:t>
            </w:r>
          </w:p>
        </w:tc>
      </w:tr>
      <w:tr w14:paraId="3786DF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D1B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A1B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43B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F2DB">
            <w:pPr>
              <w:jc w:val="center"/>
            </w:pPr>
            <w:r>
              <w:rPr>
                <w:rFonts w:ascii="宋体" w:hAnsi="宋体" w:eastAsia="宋体"/>
                <w:sz w:val="16"/>
              </w:rPr>
              <w:t>维护电子政务外网电路系统（次）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643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F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F5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30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9A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6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F4E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FA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CE6EB">
            <w:pPr>
              <w:jc w:val="center"/>
            </w:pPr>
          </w:p>
        </w:tc>
      </w:tr>
      <w:tr w14:paraId="762BF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1C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1E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EE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F2F9">
            <w:pPr>
              <w:jc w:val="center"/>
            </w:pPr>
            <w:r>
              <w:rPr>
                <w:rFonts w:ascii="宋体" w:hAnsi="宋体" w:eastAsia="宋体"/>
                <w:sz w:val="16"/>
              </w:rPr>
              <w:t>维护县（市）定制化云系统软件服务（次）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11A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A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4F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0D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F7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40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6E6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273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58827">
            <w:pPr>
              <w:jc w:val="center"/>
            </w:pPr>
          </w:p>
        </w:tc>
      </w:tr>
      <w:tr w14:paraId="5A31D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7A7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DB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21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E040">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AB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B1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5D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75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0C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03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271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5D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74FBE">
            <w:pPr>
              <w:jc w:val="center"/>
            </w:pPr>
          </w:p>
        </w:tc>
      </w:tr>
      <w:tr w14:paraId="519BF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B7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246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9B8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E8C5">
            <w:pPr>
              <w:jc w:val="center"/>
            </w:pPr>
            <w:r>
              <w:rPr>
                <w:rFonts w:ascii="宋体" w:hAnsi="宋体" w:eastAsia="宋体"/>
                <w:sz w:val="16"/>
              </w:rPr>
              <w:t>系统维护周期（年）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AB5F">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92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82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5F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60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DA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4E7F">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8E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6652A">
            <w:pPr>
              <w:jc w:val="center"/>
            </w:pPr>
          </w:p>
        </w:tc>
      </w:tr>
      <w:tr w14:paraId="017F3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FE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95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212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E580">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8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17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33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EB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48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BD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0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3E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4F2A6">
            <w:pPr>
              <w:jc w:val="center"/>
            </w:pPr>
          </w:p>
        </w:tc>
      </w:tr>
      <w:tr w14:paraId="6151E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B69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EF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943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3CF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682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A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8E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76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A6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9B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F19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4E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F3C62">
            <w:pPr>
              <w:jc w:val="center"/>
            </w:pPr>
          </w:p>
        </w:tc>
      </w:tr>
      <w:tr w14:paraId="694FB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FB4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BE2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F15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36CF">
            <w:pPr>
              <w:jc w:val="center"/>
            </w:pPr>
            <w:r>
              <w:rPr>
                <w:rFonts w:ascii="宋体" w:hAnsi="宋体" w:eastAsia="宋体"/>
                <w:sz w:val="16"/>
              </w:rPr>
              <w:t>县（市）定制化云系统软件服务（万元）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4488">
            <w:pPr>
              <w:jc w:val="center"/>
            </w:pPr>
            <w:r>
              <w:rPr>
                <w:rFonts w:ascii="宋体" w:hAnsi="宋体" w:eastAsia="宋体"/>
                <w:sz w:val="16"/>
              </w:rPr>
              <w:t>&lt;=4.58万元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EA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C8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AB5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B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65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F27F">
            <w:pPr>
              <w:jc w:val="center"/>
            </w:pPr>
            <w:r>
              <w:rPr>
                <w:rFonts w:ascii="宋体" w:hAnsi="宋体" w:eastAsia="宋体"/>
                <w:sz w:val="16"/>
              </w:rPr>
              <w:t>=4.58万元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472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849D9">
            <w:pPr>
              <w:jc w:val="center"/>
            </w:pPr>
          </w:p>
        </w:tc>
      </w:tr>
      <w:tr w14:paraId="11EA8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5D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46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13C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513F">
            <w:pPr>
              <w:jc w:val="center"/>
            </w:pPr>
            <w:r>
              <w:rPr>
                <w:rFonts w:ascii="宋体" w:hAnsi="宋体" w:eastAsia="宋体"/>
                <w:sz w:val="16"/>
              </w:rPr>
              <w:t>电子政务外网电路租赁（万元）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CE26">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18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A8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1C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7F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8D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196C">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E606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606BA">
            <w:pPr>
              <w:jc w:val="center"/>
            </w:pPr>
          </w:p>
        </w:tc>
      </w:tr>
      <w:tr w14:paraId="4DFD5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44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40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CA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DE41">
            <w:pPr>
              <w:jc w:val="center"/>
            </w:pPr>
            <w:r>
              <w:rPr>
                <w:rFonts w:ascii="宋体" w:hAnsi="宋体" w:eastAsia="宋体"/>
                <w:sz w:val="16"/>
              </w:rPr>
              <w:t>提高工作人员工作办事效率（%）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94F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2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13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68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63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E4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008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07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23444">
            <w:pPr>
              <w:jc w:val="center"/>
            </w:pPr>
          </w:p>
        </w:tc>
      </w:tr>
      <w:tr w14:paraId="1A5DD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54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C5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D1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5858">
            <w:pPr>
              <w:jc w:val="center"/>
            </w:pPr>
            <w:r>
              <w:rPr>
                <w:rFonts w:ascii="宋体" w:hAnsi="宋体" w:eastAsia="宋体"/>
                <w:sz w:val="16"/>
              </w:rPr>
              <w:t>工作人员对象满意度（%）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54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7B6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F6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0B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29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4A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E5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FA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8A579">
            <w:pPr>
              <w:jc w:val="center"/>
            </w:pPr>
          </w:p>
        </w:tc>
      </w:tr>
      <w:tr w14:paraId="5DB53B5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91BFC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34C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041E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9A4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6AA49E"/>
        </w:tc>
      </w:tr>
    </w:tbl>
    <w:p w14:paraId="1ADBB5CC">
      <w:r>
        <w:br w:type="page"/>
      </w:r>
    </w:p>
    <w:tbl>
      <w:tblPr>
        <w:tblStyle w:val="9"/>
        <w:tblW w:w="9248" w:type="dxa"/>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gridCol w:w="272"/>
      </w:tblGrid>
      <w:tr w14:paraId="37667CA9">
        <w:tblPrEx>
          <w:tblCellMar>
            <w:top w:w="0" w:type="dxa"/>
            <w:left w:w="108" w:type="dxa"/>
            <w:bottom w:w="0" w:type="dxa"/>
            <w:right w:w="108" w:type="dxa"/>
          </w:tblCellMar>
        </w:tblPrEx>
        <w:trPr>
          <w:gridAfter w:val="1"/>
          <w:wAfter w:w="272" w:type="dxa"/>
        </w:trPr>
        <w:tc>
          <w:tcPr>
            <w:tcW w:w="8976" w:type="dxa"/>
            <w:gridSpan w:val="14"/>
            <w:vAlign w:val="center"/>
          </w:tcPr>
          <w:p w14:paraId="77F790B6">
            <w:pPr>
              <w:jc w:val="center"/>
            </w:pPr>
            <w:r>
              <w:rPr>
                <w:rFonts w:ascii="宋体" w:hAnsi="宋体" w:eastAsia="宋体"/>
                <w:sz w:val="24"/>
              </w:rPr>
              <w:t>项目支出绩效自评表</w:t>
            </w:r>
          </w:p>
        </w:tc>
      </w:tr>
      <w:tr w14:paraId="09DEEEDB">
        <w:tblPrEx>
          <w:tblCellMar>
            <w:top w:w="0" w:type="dxa"/>
            <w:left w:w="108" w:type="dxa"/>
            <w:bottom w:w="0" w:type="dxa"/>
            <w:right w:w="108" w:type="dxa"/>
          </w:tblCellMar>
        </w:tblPrEx>
        <w:trPr>
          <w:gridAfter w:val="1"/>
          <w:wAfter w:w="272" w:type="dxa"/>
        </w:trPr>
        <w:tc>
          <w:tcPr>
            <w:tcW w:w="8976" w:type="dxa"/>
            <w:gridSpan w:val="14"/>
            <w:vAlign w:val="center"/>
          </w:tcPr>
          <w:p w14:paraId="7C09ACE3">
            <w:pPr>
              <w:jc w:val="center"/>
            </w:pPr>
            <w:r>
              <w:rPr>
                <w:rFonts w:ascii="宋体" w:hAnsi="宋体" w:eastAsia="宋体"/>
                <w:sz w:val="24"/>
              </w:rPr>
              <w:t>(2024年度)</w:t>
            </w:r>
          </w:p>
        </w:tc>
      </w:tr>
      <w:tr w14:paraId="1DD60303">
        <w:tblPrEx>
          <w:tblCellMar>
            <w:top w:w="0" w:type="dxa"/>
            <w:left w:w="108" w:type="dxa"/>
            <w:bottom w:w="0" w:type="dxa"/>
            <w:right w:w="108" w:type="dxa"/>
          </w:tblCellMar>
        </w:tblPrEx>
        <w:trPr>
          <w:gridAfter w:val="1"/>
          <w:wAfter w:w="272"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1848">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9EFB06">
            <w:pPr>
              <w:jc w:val="center"/>
            </w:pPr>
            <w:r>
              <w:rPr>
                <w:rFonts w:ascii="宋体" w:hAnsi="宋体" w:eastAsia="宋体"/>
                <w:sz w:val="16"/>
              </w:rPr>
              <w:t>保安、保洁</w:t>
            </w:r>
            <w:bookmarkStart w:id="0" w:name="_GoBack"/>
            <w:r>
              <w:rPr>
                <w:rFonts w:ascii="宋体" w:hAnsi="宋体" w:eastAsia="宋体"/>
                <w:sz w:val="16"/>
              </w:rPr>
              <w:t>工资</w:t>
            </w:r>
            <w:bookmarkEnd w:id="0"/>
            <w:r>
              <w:rPr>
                <w:rFonts w:ascii="宋体" w:hAnsi="宋体" w:eastAsia="宋体"/>
                <w:sz w:val="16"/>
              </w:rPr>
              <w:t>项目</w:t>
            </w:r>
          </w:p>
        </w:tc>
      </w:tr>
      <w:tr w14:paraId="39B7C6E3">
        <w:tblPrEx>
          <w:tblCellMar>
            <w:top w:w="0" w:type="dxa"/>
            <w:left w:w="108" w:type="dxa"/>
            <w:bottom w:w="0" w:type="dxa"/>
            <w:right w:w="108" w:type="dxa"/>
          </w:tblCellMar>
        </w:tblPrEx>
        <w:trPr>
          <w:gridAfter w:val="1"/>
          <w:wAfter w:w="272"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46F1">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A28071">
            <w:pPr>
              <w:jc w:val="center"/>
            </w:pPr>
            <w:r>
              <w:rPr>
                <w:rFonts w:ascii="宋体" w:hAnsi="宋体" w:eastAsia="宋体"/>
                <w:sz w:val="16"/>
              </w:rPr>
              <w:t>新疆维吾尔自治区人民代表大会常务委员会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D5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8B29BA">
            <w:pPr>
              <w:jc w:val="center"/>
            </w:pPr>
            <w:r>
              <w:rPr>
                <w:rFonts w:ascii="宋体" w:hAnsi="宋体" w:eastAsia="宋体"/>
                <w:sz w:val="16"/>
              </w:rPr>
              <w:t>疏附县人民代表大会常务委员会</w:t>
            </w:r>
          </w:p>
        </w:tc>
      </w:tr>
      <w:tr w14:paraId="00C44DF0">
        <w:tblPrEx>
          <w:tblCellMar>
            <w:top w:w="0" w:type="dxa"/>
            <w:left w:w="108" w:type="dxa"/>
            <w:bottom w:w="0" w:type="dxa"/>
            <w:right w:w="108" w:type="dxa"/>
          </w:tblCellMar>
        </w:tblPrEx>
        <w:trPr>
          <w:gridAfter w:val="1"/>
          <w:wAfter w:w="272"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4D7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A2BFE">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2B4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77C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A4E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EFC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162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3419">
            <w:pPr>
              <w:jc w:val="center"/>
            </w:pPr>
            <w:r>
              <w:rPr>
                <w:rFonts w:ascii="宋体" w:hAnsi="宋体" w:eastAsia="宋体"/>
                <w:sz w:val="16"/>
              </w:rPr>
              <w:t>得分</w:t>
            </w:r>
          </w:p>
        </w:tc>
      </w:tr>
      <w:tr w14:paraId="3917FFAB">
        <w:tblPrEx>
          <w:tblCellMar>
            <w:top w:w="0" w:type="dxa"/>
            <w:left w:w="108" w:type="dxa"/>
            <w:bottom w:w="0" w:type="dxa"/>
            <w:right w:w="108" w:type="dxa"/>
          </w:tblCellMar>
        </w:tblPrEx>
        <w:trPr>
          <w:gridAfter w:val="1"/>
          <w:wAfter w:w="27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205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A4D19">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61394">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2CB85">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EC15E">
            <w:pPr>
              <w:jc w:val="center"/>
            </w:pPr>
            <w:r>
              <w:rPr>
                <w:rFonts w:ascii="宋体" w:hAnsi="宋体" w:eastAsia="宋体"/>
                <w:sz w:val="16"/>
              </w:rPr>
              <w:t>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DC3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D4EB0">
            <w:pPr>
              <w:jc w:val="center"/>
            </w:pPr>
            <w:r>
              <w:rPr>
                <w:rFonts w:ascii="宋体" w:hAnsi="宋体" w:eastAsia="宋体"/>
                <w:sz w:val="16"/>
              </w:rPr>
              <w:t>79.50%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1971">
            <w:pPr>
              <w:jc w:val="center"/>
            </w:pPr>
            <w:r>
              <w:rPr>
                <w:rFonts w:ascii="宋体" w:hAnsi="宋体" w:eastAsia="宋体"/>
                <w:sz w:val="16"/>
              </w:rPr>
              <w:t>4.88分</w:t>
            </w:r>
          </w:p>
        </w:tc>
      </w:tr>
      <w:tr w14:paraId="61C7336D">
        <w:tblPrEx>
          <w:tblCellMar>
            <w:top w:w="0" w:type="dxa"/>
            <w:left w:w="108" w:type="dxa"/>
            <w:bottom w:w="0" w:type="dxa"/>
            <w:right w:w="108" w:type="dxa"/>
          </w:tblCellMar>
        </w:tblPrEx>
        <w:trPr>
          <w:gridAfter w:val="1"/>
          <w:wAfter w:w="27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6A4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F6444">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DAF4D">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F90FE">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F61A0">
            <w:pPr>
              <w:jc w:val="center"/>
            </w:pPr>
            <w:r>
              <w:rPr>
                <w:rFonts w:ascii="宋体" w:hAnsi="宋体" w:eastAsia="宋体"/>
                <w:sz w:val="16"/>
              </w:rPr>
              <w:t>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DFA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14CA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1348">
            <w:pPr>
              <w:jc w:val="center"/>
            </w:pPr>
            <w:r>
              <w:rPr>
                <w:rFonts w:ascii="宋体" w:hAnsi="宋体" w:eastAsia="宋体"/>
                <w:sz w:val="16"/>
              </w:rPr>
              <w:t>—</w:t>
            </w:r>
          </w:p>
        </w:tc>
      </w:tr>
      <w:tr w14:paraId="794CEA93">
        <w:tblPrEx>
          <w:tblCellMar>
            <w:top w:w="0" w:type="dxa"/>
            <w:left w:w="108" w:type="dxa"/>
            <w:bottom w:w="0" w:type="dxa"/>
            <w:right w:w="108" w:type="dxa"/>
          </w:tblCellMar>
        </w:tblPrEx>
        <w:trPr>
          <w:gridAfter w:val="1"/>
          <w:wAfter w:w="27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B90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8209">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B59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6F8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918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777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1313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8269">
            <w:pPr>
              <w:jc w:val="center"/>
            </w:pPr>
            <w:r>
              <w:rPr>
                <w:rFonts w:ascii="宋体" w:hAnsi="宋体" w:eastAsia="宋体"/>
                <w:sz w:val="16"/>
              </w:rPr>
              <w:t>—</w:t>
            </w:r>
          </w:p>
        </w:tc>
      </w:tr>
      <w:tr w14:paraId="16C8E7E1">
        <w:tblPrEx>
          <w:tblCellMar>
            <w:top w:w="0" w:type="dxa"/>
            <w:left w:w="108" w:type="dxa"/>
            <w:bottom w:w="0" w:type="dxa"/>
            <w:right w:w="108" w:type="dxa"/>
          </w:tblCellMar>
        </w:tblPrEx>
        <w:trPr>
          <w:gridAfter w:val="1"/>
          <w:wAfter w:w="272"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8AF12">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A4850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1EE5F9">
            <w:pPr>
              <w:jc w:val="center"/>
            </w:pPr>
            <w:r>
              <w:rPr>
                <w:rFonts w:ascii="宋体" w:hAnsi="宋体" w:eastAsia="宋体"/>
                <w:sz w:val="16"/>
              </w:rPr>
              <w:t>实际完成情况</w:t>
            </w:r>
          </w:p>
        </w:tc>
      </w:tr>
      <w:tr w14:paraId="4886DA31">
        <w:tblPrEx>
          <w:tblCellMar>
            <w:top w:w="0" w:type="dxa"/>
            <w:left w:w="108" w:type="dxa"/>
            <w:bottom w:w="0" w:type="dxa"/>
            <w:right w:w="108" w:type="dxa"/>
          </w:tblCellMar>
        </w:tblPrEx>
        <w:trPr>
          <w:gridAfter w:val="1"/>
          <w:wAfter w:w="27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A092B"/>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6B9FF0">
            <w:pPr>
              <w:jc w:val="both"/>
            </w:pPr>
            <w:r>
              <w:rPr>
                <w:rFonts w:ascii="宋体" w:hAnsi="宋体" w:eastAsia="宋体"/>
                <w:sz w:val="16"/>
              </w:rPr>
              <w:t>本项目预算金额为7.95万元。主要用于发放机关1名保安1名保洁工资及社会保障费用的缴纳。工资核算准确率达100%，工资发放及时率达100%。社会保障缴纳为0.45万元，工资发放为7.5万元。有效保障单位干净整洁。让其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1CAEAB">
            <w:pPr>
              <w:jc w:val="both"/>
            </w:pPr>
            <w:r>
              <w:rPr>
                <w:rFonts w:hint="eastAsia" w:ascii="宋体" w:hAnsi="宋体"/>
                <w:sz w:val="16"/>
                <w:lang w:eastAsia="zh-CN"/>
              </w:rPr>
              <w:t>截至2024</w:t>
            </w:r>
            <w:r>
              <w:rPr>
                <w:rFonts w:ascii="宋体" w:hAnsi="宋体" w:eastAsia="宋体"/>
                <w:sz w:val="16"/>
              </w:rPr>
              <w:t>年12月31日，本项目预算金额为7.95万元，全年执行数为6.32万元，全年执行率为79.5%，完成保障人员数2人，工资核算准确率达100%计划标准，工作人员社会保障缴纳0.42万元，工资缴纳5.9万元，资金发放及时率79%，有效保障单位干净整洁和安全，工作人员满意度达到95%。</w:t>
            </w:r>
          </w:p>
        </w:tc>
      </w:tr>
      <w:tr w14:paraId="6A63259F">
        <w:tblPrEx>
          <w:tblCellMar>
            <w:top w:w="0" w:type="dxa"/>
            <w:left w:w="108" w:type="dxa"/>
            <w:bottom w:w="0" w:type="dxa"/>
            <w:right w:w="108" w:type="dxa"/>
          </w:tblCellMar>
        </w:tblPrEx>
        <w:trPr>
          <w:gridAfter w:val="1"/>
          <w:wAfter w:w="272" w:type="dxa"/>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4DA51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C3A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3A40">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7CB9F4">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46C74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8C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AA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F7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43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26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3B1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315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41495">
            <w:pPr>
              <w:jc w:val="center"/>
            </w:pPr>
            <w:r>
              <w:rPr>
                <w:rFonts w:ascii="宋体" w:hAnsi="宋体" w:eastAsia="宋体"/>
                <w:sz w:val="16"/>
              </w:rPr>
              <w:t>偏差原因分析及改进措施</w:t>
            </w:r>
          </w:p>
        </w:tc>
      </w:tr>
      <w:tr w14:paraId="06F8B922">
        <w:tblPrEx>
          <w:tblCellMar>
            <w:top w:w="0" w:type="dxa"/>
            <w:left w:w="108" w:type="dxa"/>
            <w:bottom w:w="0" w:type="dxa"/>
            <w:right w:w="108" w:type="dxa"/>
          </w:tblCellMar>
        </w:tblPrEx>
        <w:trPr>
          <w:gridAfter w:val="1"/>
          <w:wAfter w:w="272"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AFD3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17D5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381C">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41DC08">
            <w:pPr>
              <w:jc w:val="center"/>
            </w:pPr>
            <w:r>
              <w:rPr>
                <w:rFonts w:ascii="宋体" w:hAnsi="宋体" w:eastAsia="宋体"/>
                <w:sz w:val="16"/>
              </w:rPr>
              <w:t>保障人员数（人）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4388B8">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9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06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865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45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DB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DCF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F7B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BF889">
            <w:pPr>
              <w:jc w:val="center"/>
            </w:pPr>
          </w:p>
        </w:tc>
      </w:tr>
      <w:tr w14:paraId="2C9A481B">
        <w:tblPrEx>
          <w:tblCellMar>
            <w:top w:w="0" w:type="dxa"/>
            <w:left w:w="108" w:type="dxa"/>
            <w:bottom w:w="0" w:type="dxa"/>
            <w:right w:w="108" w:type="dxa"/>
          </w:tblCellMar>
        </w:tblPrEx>
        <w:trPr>
          <w:gridAfter w:val="1"/>
          <w:wAfter w:w="27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60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51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A05F">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21983E">
            <w:pPr>
              <w:jc w:val="center"/>
            </w:pPr>
            <w:r>
              <w:rPr>
                <w:rFonts w:ascii="宋体" w:hAnsi="宋体" w:eastAsia="宋体"/>
                <w:sz w:val="16"/>
              </w:rPr>
              <w:t>工资核算准确率（%）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950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5E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76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03D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DE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37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14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233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63462">
            <w:pPr>
              <w:jc w:val="center"/>
            </w:pPr>
          </w:p>
        </w:tc>
      </w:tr>
      <w:tr w14:paraId="46207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B6D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C3D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12C4">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5A22ED">
            <w:pPr>
              <w:jc w:val="center"/>
            </w:pPr>
            <w:r>
              <w:rPr>
                <w:rFonts w:ascii="宋体" w:hAnsi="宋体" w:eastAsia="宋体"/>
                <w:sz w:val="16"/>
              </w:rPr>
              <w:t>资金发放及时率（%）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6557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D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0C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FF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E4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8F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C6CE">
            <w:pPr>
              <w:jc w:val="center"/>
            </w:pPr>
            <w:r>
              <w:rPr>
                <w:rFonts w:ascii="宋体" w:hAnsi="宋体" w:eastAsia="宋体"/>
                <w:sz w:val="16"/>
              </w:rPr>
              <w:t>=79%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B0BF">
            <w:pPr>
              <w:jc w:val="center"/>
            </w:pPr>
            <w:r>
              <w:rPr>
                <w:rFonts w:ascii="宋体" w:hAnsi="宋体" w:eastAsia="宋体"/>
                <w:sz w:val="16"/>
              </w:rPr>
              <w:t>4.75</w:t>
            </w:r>
          </w:p>
        </w:tc>
        <w:tc>
          <w:tcPr>
            <w:tcW w:w="153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FB6FD2">
            <w:pPr>
              <w:jc w:val="center"/>
            </w:pPr>
            <w:r>
              <w:rPr>
                <w:rFonts w:ascii="宋体" w:hAnsi="宋体" w:eastAsia="宋体"/>
                <w:sz w:val="16"/>
              </w:rPr>
              <w:t>偏差原因：保安、保洁12月工资及社会保障未发放。整改措施：按时发放工资，制定和完善基本支出、项目支出等各项支出标准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r>
              <w:rPr>
                <w:rFonts w:hint="eastAsia" w:ascii="宋体" w:hAnsi="宋体"/>
                <w:sz w:val="16"/>
                <w:lang w:eastAsia="zh-CN"/>
              </w:rPr>
              <w:t>，</w:t>
            </w:r>
            <w:r>
              <w:rPr>
                <w:rFonts w:ascii="宋体" w:hAnsi="宋体" w:eastAsia="宋体"/>
                <w:sz w:val="16"/>
              </w:rPr>
              <w:t>增强预算的约束力和严肃性。</w:t>
            </w:r>
          </w:p>
        </w:tc>
      </w:tr>
      <w:tr w14:paraId="0CF69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A46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9EEB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BD4A5">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31B09F">
            <w:pPr>
              <w:jc w:val="center"/>
            </w:pPr>
            <w:r>
              <w:rPr>
                <w:rFonts w:ascii="宋体" w:hAnsi="宋体" w:eastAsia="宋体"/>
                <w:sz w:val="16"/>
              </w:rPr>
              <w:t>社会保障缴纳（万元）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338D6B">
            <w:pPr>
              <w:jc w:val="center"/>
            </w:pPr>
            <w:r>
              <w:rPr>
                <w:rFonts w:ascii="宋体" w:hAnsi="宋体" w:eastAsia="宋体"/>
                <w:sz w:val="16"/>
              </w:rPr>
              <w:t>&lt;=0.45万元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E3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87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540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FF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8A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DC83">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D257">
            <w:pPr>
              <w:jc w:val="center"/>
            </w:pPr>
            <w:r>
              <w:rPr>
                <w:rFonts w:ascii="宋体" w:hAnsi="宋体" w:eastAsia="宋体"/>
                <w:sz w:val="16"/>
              </w:rPr>
              <w:t>0.82</w:t>
            </w:r>
          </w:p>
        </w:tc>
        <w:tc>
          <w:tcPr>
            <w:tcW w:w="153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A01E41">
            <w:pPr>
              <w:jc w:val="center"/>
            </w:pPr>
            <w:r>
              <w:rPr>
                <w:rFonts w:ascii="宋体" w:hAnsi="宋体" w:eastAsia="宋体"/>
                <w:sz w:val="16"/>
              </w:rPr>
              <w:t>偏差原因：保安、保洁12月工资及社会保障未发放。整改措施：按时发放工资，制定和完善基本支出、项目支出等各项支出标准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r>
              <w:rPr>
                <w:rFonts w:hint="eastAsia" w:ascii="宋体" w:hAnsi="宋体"/>
                <w:sz w:val="16"/>
                <w:lang w:eastAsia="zh-CN"/>
              </w:rPr>
              <w:t>，</w:t>
            </w:r>
            <w:r>
              <w:rPr>
                <w:rFonts w:ascii="宋体" w:hAnsi="宋体" w:eastAsia="宋体"/>
                <w:sz w:val="16"/>
              </w:rPr>
              <w:t>增强预算的约束力和严肃性。</w:t>
            </w:r>
          </w:p>
        </w:tc>
      </w:tr>
      <w:tr w14:paraId="3E7FD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97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0F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F745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551C0E">
            <w:pPr>
              <w:jc w:val="center"/>
            </w:pPr>
            <w:r>
              <w:rPr>
                <w:rFonts w:ascii="宋体" w:hAnsi="宋体" w:eastAsia="宋体"/>
                <w:sz w:val="16"/>
              </w:rPr>
              <w:t>工资缴纳（万元）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F0D639">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5E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59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0CF3">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97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B3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23E5">
            <w:pPr>
              <w:jc w:val="center"/>
            </w:pPr>
            <w:r>
              <w:rPr>
                <w:rFonts w:ascii="宋体" w:hAnsi="宋体" w:eastAsia="宋体"/>
                <w:sz w:val="16"/>
              </w:rPr>
              <w: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5C9A">
            <w:pPr>
              <w:jc w:val="center"/>
            </w:pPr>
            <w:r>
              <w:rPr>
                <w:rFonts w:ascii="宋体" w:hAnsi="宋体" w:eastAsia="宋体"/>
                <w:sz w:val="16"/>
              </w:rPr>
              <w:t>9.03</w:t>
            </w:r>
          </w:p>
        </w:tc>
        <w:tc>
          <w:tcPr>
            <w:tcW w:w="153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EA5315">
            <w:pPr>
              <w:jc w:val="center"/>
            </w:pPr>
            <w:r>
              <w:rPr>
                <w:rFonts w:ascii="宋体" w:hAnsi="宋体" w:eastAsia="宋体"/>
                <w:sz w:val="16"/>
              </w:rPr>
              <w:t>偏差原因：保安、保洁12月工资及社会保障未发放。整改措施：按时发放工资，制定和完善基本支出、项目支出等各项支出标准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r>
              <w:rPr>
                <w:rFonts w:hint="eastAsia" w:ascii="宋体" w:hAnsi="宋体"/>
                <w:sz w:val="16"/>
                <w:lang w:eastAsia="zh-CN"/>
              </w:rPr>
              <w:t>，</w:t>
            </w:r>
            <w:r>
              <w:rPr>
                <w:rFonts w:ascii="宋体" w:hAnsi="宋体" w:eastAsia="宋体"/>
                <w:sz w:val="16"/>
              </w:rPr>
              <w:t>增强预算的约束力和严肃性。</w:t>
            </w:r>
          </w:p>
        </w:tc>
      </w:tr>
      <w:tr w14:paraId="4ECA0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EDA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ED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E360">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A85C34">
            <w:pPr>
              <w:jc w:val="center"/>
            </w:pPr>
            <w:r>
              <w:rPr>
                <w:rFonts w:ascii="宋体" w:hAnsi="宋体" w:eastAsia="宋体"/>
                <w:sz w:val="16"/>
              </w:rPr>
              <w:t>保障单位干净整洁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5C46F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6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77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66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D8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7F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709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2ADD">
            <w:pPr>
              <w:jc w:val="center"/>
            </w:pPr>
            <w:r>
              <w:rPr>
                <w:rFonts w:ascii="宋体" w:hAnsi="宋体" w:eastAsia="宋体"/>
                <w:sz w:val="16"/>
              </w:rPr>
              <w:t>20</w:t>
            </w:r>
          </w:p>
        </w:tc>
        <w:tc>
          <w:tcPr>
            <w:tcW w:w="153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C8C510">
            <w:pPr>
              <w:jc w:val="center"/>
            </w:pPr>
          </w:p>
        </w:tc>
      </w:tr>
      <w:tr w14:paraId="08444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EE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6A3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2843">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1504C3">
            <w:pPr>
              <w:jc w:val="center"/>
            </w:pPr>
            <w:r>
              <w:rPr>
                <w:rFonts w:ascii="宋体" w:hAnsi="宋体" w:eastAsia="宋体"/>
                <w:sz w:val="16"/>
              </w:rPr>
              <w:t>服务对象满意度（%）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938F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B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86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35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A5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09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25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2138">
            <w:pPr>
              <w:jc w:val="center"/>
            </w:pPr>
            <w:r>
              <w:rPr>
                <w:rFonts w:ascii="宋体" w:hAnsi="宋体" w:eastAsia="宋体"/>
                <w:sz w:val="16"/>
              </w:rPr>
              <w:t>10</w:t>
            </w:r>
          </w:p>
        </w:tc>
        <w:tc>
          <w:tcPr>
            <w:tcW w:w="153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D237A8">
            <w:pPr>
              <w:jc w:val="center"/>
            </w:pPr>
          </w:p>
        </w:tc>
      </w:tr>
      <w:tr w14:paraId="70AFF97C">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8B0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F38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1BC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5DE3">
            <w:pPr>
              <w:jc w:val="center"/>
            </w:pPr>
            <w:r>
              <w:rPr>
                <w:rFonts w:ascii="宋体" w:hAnsi="宋体" w:eastAsia="宋体"/>
                <w:sz w:val="16"/>
              </w:rPr>
              <w:t>79.48分</w:t>
            </w:r>
          </w:p>
        </w:tc>
        <w:tc>
          <w:tcPr>
            <w:tcW w:w="1536" w:type="dxa"/>
            <w:gridSpan w:val="3"/>
            <w:tcBorders>
              <w:top w:val="single" w:color="auto" w:sz="10" w:space="0"/>
              <w:left w:val="single" w:color="auto" w:sz="10" w:space="0"/>
              <w:bottom w:val="single" w:color="auto" w:sz="10" w:space="0"/>
              <w:right w:val="single" w:color="auto" w:sz="10" w:space="0"/>
              <w:insideV w:val="single" w:sz="10" w:space="0"/>
            </w:tcBorders>
          </w:tcPr>
          <w:p w14:paraId="7EA12AD4"/>
        </w:tc>
      </w:tr>
    </w:tbl>
    <w:p w14:paraId="7DB15BC3">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415A1C44">
        <w:tblPrEx>
          <w:tblCellMar>
            <w:top w:w="0" w:type="dxa"/>
            <w:left w:w="108" w:type="dxa"/>
            <w:bottom w:w="0" w:type="dxa"/>
            <w:right w:w="108" w:type="dxa"/>
          </w:tblCellMar>
        </w:tblPrEx>
        <w:tc>
          <w:tcPr>
            <w:tcW w:w="8848" w:type="dxa"/>
            <w:gridSpan w:val="14"/>
            <w:vAlign w:val="center"/>
          </w:tcPr>
          <w:p w14:paraId="3682202F">
            <w:pPr>
              <w:jc w:val="center"/>
            </w:pPr>
            <w:r>
              <w:rPr>
                <w:rFonts w:ascii="宋体" w:hAnsi="宋体" w:eastAsia="宋体"/>
                <w:sz w:val="24"/>
              </w:rPr>
              <w:t>项目支出绩效自评表</w:t>
            </w:r>
          </w:p>
        </w:tc>
      </w:tr>
      <w:tr w14:paraId="4B5F6772">
        <w:tblPrEx>
          <w:tblCellMar>
            <w:top w:w="0" w:type="dxa"/>
            <w:left w:w="108" w:type="dxa"/>
            <w:bottom w:w="0" w:type="dxa"/>
            <w:right w:w="108" w:type="dxa"/>
          </w:tblCellMar>
        </w:tblPrEx>
        <w:tc>
          <w:tcPr>
            <w:tcW w:w="8848" w:type="dxa"/>
            <w:gridSpan w:val="14"/>
            <w:vAlign w:val="center"/>
          </w:tcPr>
          <w:p w14:paraId="526A626D">
            <w:pPr>
              <w:jc w:val="center"/>
            </w:pPr>
            <w:r>
              <w:rPr>
                <w:rFonts w:ascii="宋体" w:hAnsi="宋体" w:eastAsia="宋体"/>
                <w:sz w:val="24"/>
              </w:rPr>
              <w:t>(2024年度)</w:t>
            </w:r>
          </w:p>
        </w:tc>
      </w:tr>
      <w:tr w14:paraId="7A806E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0A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6D0FA3">
            <w:pPr>
              <w:jc w:val="center"/>
            </w:pPr>
            <w:r>
              <w:rPr>
                <w:rFonts w:ascii="宋体" w:hAnsi="宋体" w:eastAsia="宋体"/>
                <w:sz w:val="16"/>
              </w:rPr>
              <w:t>工作经费项目</w:t>
            </w:r>
          </w:p>
        </w:tc>
      </w:tr>
      <w:tr w14:paraId="147091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B7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F16FBE">
            <w:pPr>
              <w:jc w:val="center"/>
            </w:pPr>
            <w:r>
              <w:rPr>
                <w:rFonts w:ascii="宋体" w:hAnsi="宋体" w:eastAsia="宋体"/>
                <w:sz w:val="16"/>
              </w:rPr>
              <w:t>新疆维吾尔自治区人民代表大会常务委员会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32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D15EA4">
            <w:pPr>
              <w:jc w:val="center"/>
            </w:pPr>
            <w:r>
              <w:rPr>
                <w:rFonts w:ascii="宋体" w:hAnsi="宋体" w:eastAsia="宋体"/>
                <w:sz w:val="16"/>
              </w:rPr>
              <w:t>疏附县人民代表大会常务委员会</w:t>
            </w:r>
          </w:p>
        </w:tc>
      </w:tr>
      <w:tr w14:paraId="34ED4F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BC9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09FF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04A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2C8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CCE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455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77C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9B4B">
            <w:pPr>
              <w:jc w:val="center"/>
            </w:pPr>
            <w:r>
              <w:rPr>
                <w:rFonts w:ascii="宋体" w:hAnsi="宋体" w:eastAsia="宋体"/>
                <w:sz w:val="16"/>
              </w:rPr>
              <w:t>得分</w:t>
            </w:r>
          </w:p>
        </w:tc>
      </w:tr>
      <w:tr w14:paraId="0F0CF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269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E54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15DF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7453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FF53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DA8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EF53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625D">
            <w:pPr>
              <w:jc w:val="center"/>
            </w:pPr>
            <w:r>
              <w:rPr>
                <w:rFonts w:ascii="宋体" w:hAnsi="宋体" w:eastAsia="宋体"/>
                <w:sz w:val="16"/>
              </w:rPr>
              <w:t>10.00分</w:t>
            </w:r>
          </w:p>
        </w:tc>
      </w:tr>
      <w:tr w14:paraId="4B75D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BBB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6282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C51E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DE84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42BB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2D9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D3D9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B904">
            <w:pPr>
              <w:jc w:val="center"/>
            </w:pPr>
            <w:r>
              <w:rPr>
                <w:rFonts w:ascii="宋体" w:hAnsi="宋体" w:eastAsia="宋体"/>
                <w:sz w:val="16"/>
              </w:rPr>
              <w:t>—</w:t>
            </w:r>
          </w:p>
        </w:tc>
      </w:tr>
      <w:tr w14:paraId="47509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0A9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157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B41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673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F78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DDE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22D4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1FE5">
            <w:pPr>
              <w:jc w:val="center"/>
            </w:pPr>
            <w:r>
              <w:rPr>
                <w:rFonts w:ascii="宋体" w:hAnsi="宋体" w:eastAsia="宋体"/>
                <w:sz w:val="16"/>
              </w:rPr>
              <w:t>—</w:t>
            </w:r>
          </w:p>
        </w:tc>
      </w:tr>
      <w:tr w14:paraId="494147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D52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6ECA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612FF8">
            <w:pPr>
              <w:jc w:val="center"/>
            </w:pPr>
            <w:r>
              <w:rPr>
                <w:rFonts w:ascii="宋体" w:hAnsi="宋体" w:eastAsia="宋体"/>
                <w:sz w:val="16"/>
              </w:rPr>
              <w:t>实际完成情况</w:t>
            </w:r>
          </w:p>
        </w:tc>
      </w:tr>
      <w:tr w14:paraId="242B6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3D1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CADDBB">
            <w:pPr>
              <w:jc w:val="both"/>
            </w:pPr>
            <w:r>
              <w:rPr>
                <w:rFonts w:ascii="宋体" w:hAnsi="宋体" w:eastAsia="宋体"/>
                <w:sz w:val="16"/>
              </w:rPr>
              <w:t>本项目预算金额为5万元。主要用于：1.保障6辆公务车辆日常维修保养。2.维修验收合格率达到100%。3.维修完工及时率达到100%。4.项目完成时间为2024年12月25日。5.车辆维修费48075元。6.车辆保养费1925元。7.保障公务活动开展。使工作人员满意度达到95%保障工作需要和公务活动的正常开展，工作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E8BFD6">
            <w:pPr>
              <w:jc w:val="both"/>
            </w:pPr>
            <w:r>
              <w:rPr>
                <w:rFonts w:hint="eastAsia" w:ascii="宋体" w:hAnsi="宋体"/>
                <w:sz w:val="16"/>
                <w:lang w:eastAsia="zh-CN"/>
              </w:rPr>
              <w:t>截至</w:t>
            </w:r>
            <w:r>
              <w:rPr>
                <w:rFonts w:ascii="宋体" w:hAnsi="宋体" w:eastAsia="宋体"/>
                <w:sz w:val="16"/>
              </w:rPr>
              <w:t>2024年12月31日，全年执行数为5万元，全年执行率为100%，公务保障用车数量6辆，质量指标维修验收合格率100%，时效指标维修完工及时率100%，项目完成时间2024年12月25日，成本指标经济成本指标车辆维修费48075元，车辆保养费1925元，项目的实施有效保障公务活动开展，工作人员满意度达到95%。</w:t>
            </w:r>
          </w:p>
        </w:tc>
      </w:tr>
      <w:tr w14:paraId="79D98E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5A8D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8D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4C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CF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EBC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7D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4D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B6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2B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46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95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01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8CCA5">
            <w:pPr>
              <w:jc w:val="center"/>
            </w:pPr>
            <w:r>
              <w:rPr>
                <w:rFonts w:ascii="宋体" w:hAnsi="宋体" w:eastAsia="宋体"/>
                <w:sz w:val="16"/>
              </w:rPr>
              <w:t>偏差原因分析及改进措施</w:t>
            </w:r>
          </w:p>
        </w:tc>
      </w:tr>
      <w:tr w14:paraId="309B73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9D2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B42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E8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AADF">
            <w:pPr>
              <w:jc w:val="center"/>
            </w:pPr>
            <w:r>
              <w:rPr>
                <w:rFonts w:ascii="宋体" w:hAnsi="宋体" w:eastAsia="宋体"/>
                <w:sz w:val="16"/>
              </w:rPr>
              <w:t>公务保障用车数量（辆）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3F4A">
            <w:pPr>
              <w:jc w:val="center"/>
            </w:pPr>
            <w:r>
              <w:rPr>
                <w:rFonts w:ascii="宋体" w:hAnsi="宋体" w:eastAsia="宋体"/>
                <w:sz w:val="16"/>
              </w:rPr>
              <w:t>&gt;=6辆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0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89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C3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F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37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BD9E">
            <w:pPr>
              <w:jc w:val="center"/>
            </w:pPr>
            <w:r>
              <w:rPr>
                <w:rFonts w:ascii="宋体" w:hAnsi="宋体" w:eastAsia="宋体"/>
                <w:sz w:val="16"/>
              </w:rPr>
              <w:t>=6辆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B3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2BD71">
            <w:pPr>
              <w:jc w:val="center"/>
            </w:pPr>
          </w:p>
        </w:tc>
      </w:tr>
      <w:tr w14:paraId="6BAAC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34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1D1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E8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F9BA">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6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1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BC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5F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65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C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1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DA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6BA5C">
            <w:pPr>
              <w:jc w:val="center"/>
            </w:pPr>
          </w:p>
        </w:tc>
      </w:tr>
      <w:tr w14:paraId="3A638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EA5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108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4D8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7F24">
            <w:pPr>
              <w:jc w:val="center"/>
            </w:pPr>
            <w:r>
              <w:rPr>
                <w:rFonts w:ascii="宋体" w:hAnsi="宋体" w:eastAsia="宋体"/>
                <w:sz w:val="16"/>
              </w:rPr>
              <w:t>维修完工及时率（%）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D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38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9E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EA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C1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33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2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47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9F6A2">
            <w:pPr>
              <w:jc w:val="center"/>
            </w:pPr>
          </w:p>
        </w:tc>
      </w:tr>
      <w:tr w14:paraId="1459A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65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93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FB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261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6CC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8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DF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1B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E9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4D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3FE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7B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54063">
            <w:pPr>
              <w:jc w:val="center"/>
            </w:pPr>
          </w:p>
        </w:tc>
      </w:tr>
      <w:tr w14:paraId="1D534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8B0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18B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86F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14F2">
            <w:pPr>
              <w:jc w:val="center"/>
            </w:pPr>
            <w:r>
              <w:rPr>
                <w:rFonts w:ascii="宋体" w:hAnsi="宋体" w:eastAsia="宋体"/>
                <w:sz w:val="16"/>
              </w:rPr>
              <w:t>车辆维修费（元）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ACE6">
            <w:pPr>
              <w:jc w:val="center"/>
            </w:pPr>
            <w:r>
              <w:rPr>
                <w:rFonts w:ascii="宋体" w:hAnsi="宋体" w:eastAsia="宋体"/>
                <w:sz w:val="16"/>
              </w:rPr>
              <w:t>&lt;=48075元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A5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CA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995C">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64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63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1685">
            <w:pPr>
              <w:jc w:val="center"/>
            </w:pPr>
            <w:r>
              <w:rPr>
                <w:rFonts w:ascii="宋体" w:hAnsi="宋体" w:eastAsia="宋体"/>
                <w:sz w:val="16"/>
              </w:rPr>
              <w:t>=48075元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BB7D">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22CF7">
            <w:pPr>
              <w:jc w:val="center"/>
            </w:pPr>
          </w:p>
        </w:tc>
      </w:tr>
      <w:tr w14:paraId="66158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47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84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F16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1C6F">
            <w:pPr>
              <w:jc w:val="center"/>
            </w:pPr>
            <w:r>
              <w:rPr>
                <w:rFonts w:ascii="宋体" w:hAnsi="宋体" w:eastAsia="宋体"/>
                <w:sz w:val="16"/>
              </w:rPr>
              <w:t>车辆保养费（元）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E7D4">
            <w:pPr>
              <w:jc w:val="center"/>
            </w:pPr>
            <w:r>
              <w:rPr>
                <w:rFonts w:ascii="宋体" w:hAnsi="宋体" w:eastAsia="宋体"/>
                <w:sz w:val="16"/>
              </w:rPr>
              <w:t>&lt;=1925元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F4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87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F38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44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29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DFAF">
            <w:pPr>
              <w:jc w:val="center"/>
            </w:pPr>
            <w:r>
              <w:rPr>
                <w:rFonts w:ascii="宋体" w:hAnsi="宋体" w:eastAsia="宋体"/>
                <w:sz w:val="16"/>
              </w:rPr>
              <w:t>=1925元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D295">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5CE38">
            <w:pPr>
              <w:jc w:val="center"/>
            </w:pPr>
          </w:p>
        </w:tc>
      </w:tr>
      <w:tr w14:paraId="3D3B7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A3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C7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05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94DD">
            <w:pPr>
              <w:jc w:val="center"/>
            </w:pPr>
            <w:r>
              <w:rPr>
                <w:rFonts w:ascii="宋体" w:hAnsi="宋体" w:eastAsia="宋体"/>
                <w:sz w:val="16"/>
              </w:rPr>
              <w:t>保障公务活动开展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830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DA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6D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E9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C8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F0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C9C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4C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4807F">
            <w:pPr>
              <w:jc w:val="center"/>
            </w:pPr>
          </w:p>
        </w:tc>
      </w:tr>
      <w:tr w14:paraId="5B1760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DE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BC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C9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CAFF">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1B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1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07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79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24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08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426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11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13C73">
            <w:pPr>
              <w:jc w:val="center"/>
            </w:pPr>
          </w:p>
        </w:tc>
      </w:tr>
      <w:tr w14:paraId="7E80278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FC6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19C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AC4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F85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8B156AE"/>
        </w:tc>
      </w:tr>
    </w:tbl>
    <w:p w14:paraId="76C215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D4258CE">
        <w:tblPrEx>
          <w:tblCellMar>
            <w:top w:w="0" w:type="dxa"/>
            <w:left w:w="108" w:type="dxa"/>
            <w:bottom w:w="0" w:type="dxa"/>
            <w:right w:w="108" w:type="dxa"/>
          </w:tblCellMar>
        </w:tblPrEx>
        <w:tc>
          <w:tcPr>
            <w:tcW w:w="8848" w:type="dxa"/>
            <w:gridSpan w:val="14"/>
            <w:vAlign w:val="center"/>
          </w:tcPr>
          <w:p w14:paraId="181BDA50">
            <w:pPr>
              <w:jc w:val="center"/>
            </w:pPr>
            <w:r>
              <w:rPr>
                <w:rFonts w:ascii="宋体" w:hAnsi="宋体" w:eastAsia="宋体"/>
                <w:sz w:val="24"/>
              </w:rPr>
              <w:t>项目支出绩效自评表</w:t>
            </w:r>
          </w:p>
        </w:tc>
      </w:tr>
      <w:tr w14:paraId="3F5FBB39">
        <w:tblPrEx>
          <w:tblCellMar>
            <w:top w:w="0" w:type="dxa"/>
            <w:left w:w="108" w:type="dxa"/>
            <w:bottom w:w="0" w:type="dxa"/>
            <w:right w:w="108" w:type="dxa"/>
          </w:tblCellMar>
        </w:tblPrEx>
        <w:tc>
          <w:tcPr>
            <w:tcW w:w="8848" w:type="dxa"/>
            <w:gridSpan w:val="14"/>
            <w:vAlign w:val="center"/>
          </w:tcPr>
          <w:p w14:paraId="567580C5">
            <w:pPr>
              <w:jc w:val="center"/>
            </w:pPr>
            <w:r>
              <w:rPr>
                <w:rFonts w:ascii="宋体" w:hAnsi="宋体" w:eastAsia="宋体"/>
                <w:sz w:val="24"/>
              </w:rPr>
              <w:t>(2024年度)</w:t>
            </w:r>
          </w:p>
        </w:tc>
      </w:tr>
      <w:tr w14:paraId="0BB8C1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B6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0D9A45">
            <w:pPr>
              <w:jc w:val="center"/>
            </w:pPr>
            <w:r>
              <w:rPr>
                <w:rFonts w:ascii="宋体" w:hAnsi="宋体" w:eastAsia="宋体"/>
                <w:sz w:val="16"/>
              </w:rPr>
              <w:t>机关食堂就餐补助项目</w:t>
            </w:r>
          </w:p>
        </w:tc>
      </w:tr>
      <w:tr w14:paraId="0D9735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7A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CE240">
            <w:pPr>
              <w:jc w:val="center"/>
            </w:pPr>
            <w:r>
              <w:rPr>
                <w:rFonts w:ascii="宋体" w:hAnsi="宋体" w:eastAsia="宋体"/>
                <w:sz w:val="16"/>
              </w:rPr>
              <w:t>新疆维吾尔自治区人民代表大会常务委员会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AB0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8413EA">
            <w:pPr>
              <w:jc w:val="center"/>
            </w:pPr>
            <w:r>
              <w:rPr>
                <w:rFonts w:ascii="宋体" w:hAnsi="宋体" w:eastAsia="宋体"/>
                <w:sz w:val="16"/>
              </w:rPr>
              <w:t>疏附县人民代表大会常务委员会</w:t>
            </w:r>
          </w:p>
        </w:tc>
      </w:tr>
      <w:tr w14:paraId="627B39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7BB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01F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B5F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224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319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786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0C6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9910">
            <w:pPr>
              <w:jc w:val="center"/>
            </w:pPr>
            <w:r>
              <w:rPr>
                <w:rFonts w:ascii="宋体" w:hAnsi="宋体" w:eastAsia="宋体"/>
                <w:sz w:val="16"/>
              </w:rPr>
              <w:t>得分</w:t>
            </w:r>
          </w:p>
        </w:tc>
      </w:tr>
      <w:tr w14:paraId="3A213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49B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327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F58EB">
            <w:pPr>
              <w:jc w:val="center"/>
            </w:pPr>
            <w:r>
              <w:rPr>
                <w:rFonts w:ascii="宋体" w:hAnsi="宋体" w:eastAsia="宋体"/>
                <w:sz w:val="16"/>
              </w:rPr>
              <w:t>1.63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02088">
            <w:pPr>
              <w:jc w:val="center"/>
            </w:pPr>
            <w:r>
              <w:rPr>
                <w:rFonts w:ascii="宋体" w:hAnsi="宋体" w:eastAsia="宋体"/>
                <w:sz w:val="16"/>
              </w:rPr>
              <w:t>1.63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6334E">
            <w:pPr>
              <w:jc w:val="center"/>
            </w:pPr>
            <w:r>
              <w:rPr>
                <w:rFonts w:ascii="宋体" w:hAnsi="宋体" w:eastAsia="宋体"/>
                <w:sz w:val="16"/>
              </w:rPr>
              <w:t>1.63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EB0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B84C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BEFE">
            <w:pPr>
              <w:jc w:val="center"/>
            </w:pPr>
            <w:r>
              <w:rPr>
                <w:rFonts w:ascii="宋体" w:hAnsi="宋体" w:eastAsia="宋体"/>
                <w:sz w:val="16"/>
              </w:rPr>
              <w:t>10.00分</w:t>
            </w:r>
          </w:p>
        </w:tc>
      </w:tr>
      <w:tr w14:paraId="77D39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A38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3F1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E1CF7">
            <w:pPr>
              <w:jc w:val="center"/>
            </w:pPr>
            <w:r>
              <w:rPr>
                <w:rFonts w:ascii="宋体" w:hAnsi="宋体" w:eastAsia="宋体"/>
                <w:sz w:val="16"/>
              </w:rPr>
              <w:t>1.63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3639D">
            <w:pPr>
              <w:jc w:val="center"/>
            </w:pPr>
            <w:r>
              <w:rPr>
                <w:rFonts w:ascii="宋体" w:hAnsi="宋体" w:eastAsia="宋体"/>
                <w:sz w:val="16"/>
              </w:rPr>
              <w:t>1.63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DBDF3">
            <w:pPr>
              <w:jc w:val="center"/>
            </w:pPr>
            <w:r>
              <w:rPr>
                <w:rFonts w:ascii="宋体" w:hAnsi="宋体" w:eastAsia="宋体"/>
                <w:sz w:val="16"/>
              </w:rPr>
              <w:t>1.63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A80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E672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0629">
            <w:pPr>
              <w:jc w:val="center"/>
            </w:pPr>
            <w:r>
              <w:rPr>
                <w:rFonts w:ascii="宋体" w:hAnsi="宋体" w:eastAsia="宋体"/>
                <w:sz w:val="16"/>
              </w:rPr>
              <w:t>—</w:t>
            </w:r>
          </w:p>
        </w:tc>
      </w:tr>
      <w:tr w14:paraId="596BA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B37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833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56F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52A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CDF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CDA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0A82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7197">
            <w:pPr>
              <w:jc w:val="center"/>
            </w:pPr>
            <w:r>
              <w:rPr>
                <w:rFonts w:ascii="宋体" w:hAnsi="宋体" w:eastAsia="宋体"/>
                <w:sz w:val="16"/>
              </w:rPr>
              <w:t>—</w:t>
            </w:r>
          </w:p>
        </w:tc>
      </w:tr>
      <w:tr w14:paraId="468631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8F86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481D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45FD17">
            <w:pPr>
              <w:jc w:val="center"/>
            </w:pPr>
            <w:r>
              <w:rPr>
                <w:rFonts w:ascii="宋体" w:hAnsi="宋体" w:eastAsia="宋体"/>
                <w:sz w:val="16"/>
              </w:rPr>
              <w:t>实际完成情况</w:t>
            </w:r>
          </w:p>
        </w:tc>
      </w:tr>
      <w:tr w14:paraId="1508E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C13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320A4">
            <w:pPr>
              <w:jc w:val="both"/>
            </w:pPr>
            <w:r>
              <w:rPr>
                <w:rFonts w:ascii="宋体" w:hAnsi="宋体" w:eastAsia="宋体"/>
                <w:sz w:val="16"/>
              </w:rPr>
              <w:t>本项目预算金额为1.63万元。主要用于：保障机关25人就餐，资金使用规范率达到100%；资金拨付及时率达到100%。项目于2024年12月25日前完成。有效保障食堂人员就餐，使受益群众满意度达到95%。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88CAE3">
            <w:pPr>
              <w:jc w:val="both"/>
            </w:pPr>
            <w:r>
              <w:rPr>
                <w:rFonts w:hint="eastAsia" w:ascii="宋体" w:hAnsi="宋体"/>
                <w:sz w:val="16"/>
                <w:lang w:eastAsia="zh-CN"/>
              </w:rPr>
              <w:t>截至2024</w:t>
            </w:r>
            <w:r>
              <w:rPr>
                <w:rFonts w:ascii="宋体" w:hAnsi="宋体" w:eastAsia="宋体"/>
                <w:sz w:val="16"/>
              </w:rPr>
              <w:t>年12月31日，本项目预算金额为1.63万元，全年执行数为1.63万元，全年执行率为100%，有效保障机关25人的就餐工作，机关食堂就餐补助费用1.63万元，项目资金的实施有效保障了食堂的正常运转，工作人员的满意度达到95%。</w:t>
            </w:r>
          </w:p>
        </w:tc>
      </w:tr>
      <w:tr w14:paraId="4BF151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A730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C5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E4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FD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11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A9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980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F29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62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F5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27B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BE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DF400">
            <w:pPr>
              <w:jc w:val="center"/>
            </w:pPr>
            <w:r>
              <w:rPr>
                <w:rFonts w:ascii="宋体" w:hAnsi="宋体" w:eastAsia="宋体"/>
                <w:sz w:val="16"/>
              </w:rPr>
              <w:t>偏差原因分析及改进措施</w:t>
            </w:r>
          </w:p>
        </w:tc>
      </w:tr>
      <w:tr w14:paraId="25AE92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E27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5E9E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01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F07F">
            <w:pPr>
              <w:jc w:val="center"/>
            </w:pPr>
            <w:r>
              <w:rPr>
                <w:rFonts w:ascii="宋体" w:hAnsi="宋体" w:eastAsia="宋体"/>
                <w:sz w:val="16"/>
              </w:rPr>
              <w:t>餐饮伙食供应人数（人）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E0AA">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0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1F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B1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F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5B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D242">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5E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28E3C">
            <w:pPr>
              <w:jc w:val="center"/>
            </w:pPr>
          </w:p>
        </w:tc>
      </w:tr>
      <w:tr w14:paraId="1F016B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59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B7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7B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C3C8">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9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D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E1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11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C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89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0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B65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103C9">
            <w:pPr>
              <w:jc w:val="center"/>
            </w:pPr>
          </w:p>
        </w:tc>
      </w:tr>
      <w:tr w14:paraId="2DB59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4F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AAB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610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33A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A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9E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01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9B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1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8D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3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2C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685AA">
            <w:pPr>
              <w:jc w:val="center"/>
            </w:pPr>
          </w:p>
        </w:tc>
      </w:tr>
      <w:tr w14:paraId="0D632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9F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AE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99B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B17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7F4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96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EB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80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61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F5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20D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5A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9C3A2">
            <w:pPr>
              <w:jc w:val="center"/>
            </w:pPr>
          </w:p>
        </w:tc>
      </w:tr>
      <w:tr w14:paraId="24014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6BE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F365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FE3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0892">
            <w:pPr>
              <w:jc w:val="center"/>
            </w:pPr>
            <w:r>
              <w:rPr>
                <w:rFonts w:ascii="宋体" w:hAnsi="宋体" w:eastAsia="宋体"/>
                <w:sz w:val="16"/>
              </w:rPr>
              <w:t>支出总成本（万元）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2B8A">
            <w:pPr>
              <w:jc w:val="center"/>
            </w:pPr>
            <w:r>
              <w:rPr>
                <w:rFonts w:ascii="宋体" w:hAnsi="宋体" w:eastAsia="宋体"/>
                <w:sz w:val="16"/>
              </w:rPr>
              <w:t>&lt;=1.63万元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5B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22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CA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59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D0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704D">
            <w:pPr>
              <w:jc w:val="center"/>
            </w:pPr>
            <w:r>
              <w:rPr>
                <w:rFonts w:ascii="宋体" w:hAnsi="宋体" w:eastAsia="宋体"/>
                <w:sz w:val="16"/>
              </w:rPr>
              <w:t>=1.63万元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9D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96466">
            <w:pPr>
              <w:jc w:val="center"/>
            </w:pPr>
            <w:r>
              <w:rPr>
                <w:rFonts w:ascii="宋体" w:hAnsi="宋体" w:eastAsia="宋体"/>
                <w:sz w:val="16"/>
              </w:rPr>
              <w:t>偏差原因：由于年初预算不精准，故导致年度指标未达到目标值，整改措施：制定和完善基本支出、项目支出等各项支出标准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r>
              <w:rPr>
                <w:rFonts w:hint="eastAsia" w:ascii="宋体" w:hAnsi="宋体"/>
                <w:sz w:val="16"/>
                <w:lang w:eastAsia="zh-CN"/>
              </w:rPr>
              <w:t>，</w:t>
            </w:r>
            <w:r>
              <w:rPr>
                <w:rFonts w:ascii="宋体" w:hAnsi="宋体" w:eastAsia="宋体"/>
                <w:sz w:val="16"/>
              </w:rPr>
              <w:t>增强预算的约束力和严肃性。</w:t>
            </w:r>
          </w:p>
        </w:tc>
      </w:tr>
      <w:tr w14:paraId="6A352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41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67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D9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98A8">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A5D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02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1B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A1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3F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F8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A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B9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F884F">
            <w:pPr>
              <w:jc w:val="center"/>
            </w:pPr>
          </w:p>
        </w:tc>
      </w:tr>
      <w:tr w14:paraId="5DA33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109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7A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D1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7209">
            <w:pPr>
              <w:jc w:val="center"/>
            </w:pPr>
            <w:r>
              <w:rPr>
                <w:rFonts w:ascii="宋体" w:hAnsi="宋体" w:eastAsia="宋体"/>
                <w:sz w:val="16"/>
              </w:rPr>
              <w:t>保障食堂人员就餐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3DB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9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DB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1A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B5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C7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CA8B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49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BEC63">
            <w:pPr>
              <w:jc w:val="center"/>
            </w:pPr>
          </w:p>
        </w:tc>
      </w:tr>
      <w:tr w14:paraId="7AB2F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833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AB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86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71A4">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E5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20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AA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EA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B0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D1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AA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2F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72AB6">
            <w:pPr>
              <w:jc w:val="center"/>
            </w:pPr>
          </w:p>
        </w:tc>
      </w:tr>
      <w:tr w14:paraId="267EFC6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A1D3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32F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EBBB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1D5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DDCD4D"/>
        </w:tc>
      </w:tr>
    </w:tbl>
    <w:p w14:paraId="04D76F2E">
      <w:r>
        <w:br w:type="page"/>
      </w:r>
    </w:p>
    <w:p w14:paraId="2411B93A">
      <w:pPr>
        <w:spacing w:line="640" w:lineRule="exact"/>
        <w:ind w:firstLine="640"/>
        <w:jc w:val="both"/>
        <w:outlineLvl w:val="2"/>
      </w:pPr>
      <w:r>
        <w:rPr>
          <w:rFonts w:ascii="黑体" w:hAnsi="黑体" w:eastAsia="黑体"/>
          <w:sz w:val="32"/>
        </w:rPr>
        <w:t>十二、其他需说明的事项</w:t>
      </w:r>
    </w:p>
    <w:p w14:paraId="68744182">
      <w:pPr>
        <w:spacing w:line="580" w:lineRule="exact"/>
        <w:ind w:firstLine="640"/>
        <w:jc w:val="both"/>
      </w:pPr>
      <w:r>
        <w:rPr>
          <w:rFonts w:ascii="仿宋_GB2312" w:hAnsi="仿宋_GB2312" w:eastAsia="仿宋_GB2312"/>
          <w:b w:val="0"/>
          <w:sz w:val="32"/>
        </w:rPr>
        <w:t>本年本单位SM项目2个，全年预算数17.00万元，全年执行数0.00万元。</w:t>
      </w:r>
    </w:p>
    <w:p w14:paraId="3C0A66D0">
      <w:r>
        <w:br w:type="page"/>
      </w:r>
    </w:p>
    <w:p w14:paraId="1C027A14">
      <w:pPr>
        <w:spacing w:line="240" w:lineRule="auto"/>
        <w:jc w:val="center"/>
        <w:outlineLvl w:val="1"/>
      </w:pPr>
      <w:r>
        <w:rPr>
          <w:rFonts w:ascii="黑体" w:hAnsi="黑体" w:eastAsia="黑体"/>
          <w:sz w:val="32"/>
        </w:rPr>
        <w:t>第三部分 专业名词解释</w:t>
      </w:r>
    </w:p>
    <w:p w14:paraId="2F99010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F2346A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8A21AB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D534C8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81CC88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D67AC0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C8052B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564452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BAD82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6D4500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5D2628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53F1C5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AC39BD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B18103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7D6245A">
      <w:r>
        <w:br w:type="page"/>
      </w:r>
    </w:p>
    <w:p w14:paraId="05B4AFBA">
      <w:pPr>
        <w:spacing w:line="240" w:lineRule="auto"/>
        <w:jc w:val="center"/>
        <w:outlineLvl w:val="1"/>
      </w:pPr>
      <w:r>
        <w:rPr>
          <w:rFonts w:ascii="黑体" w:hAnsi="黑体" w:eastAsia="黑体"/>
          <w:sz w:val="32"/>
        </w:rPr>
        <w:t>第四部分 部门决算报表（见附表）</w:t>
      </w:r>
    </w:p>
    <w:p w14:paraId="45FE70B1">
      <w:pPr>
        <w:spacing w:line="240" w:lineRule="auto"/>
        <w:ind w:firstLine="640"/>
        <w:jc w:val="both"/>
      </w:pPr>
      <w:r>
        <w:rPr>
          <w:rFonts w:ascii="仿宋_GB2312" w:hAnsi="仿宋_GB2312" w:eastAsia="仿宋_GB2312"/>
          <w:b w:val="0"/>
          <w:sz w:val="32"/>
        </w:rPr>
        <w:t>一、《收入支出决算总表》</w:t>
      </w:r>
    </w:p>
    <w:p w14:paraId="172CE587">
      <w:pPr>
        <w:spacing w:line="240" w:lineRule="auto"/>
        <w:ind w:firstLine="640"/>
        <w:jc w:val="both"/>
      </w:pPr>
      <w:r>
        <w:rPr>
          <w:rFonts w:ascii="仿宋_GB2312" w:hAnsi="仿宋_GB2312" w:eastAsia="仿宋_GB2312"/>
          <w:b w:val="0"/>
          <w:sz w:val="32"/>
        </w:rPr>
        <w:t>二、《收入决算表》</w:t>
      </w:r>
    </w:p>
    <w:p w14:paraId="62F9F8E6">
      <w:pPr>
        <w:spacing w:line="240" w:lineRule="auto"/>
        <w:ind w:firstLine="640"/>
        <w:jc w:val="both"/>
      </w:pPr>
      <w:r>
        <w:rPr>
          <w:rFonts w:ascii="仿宋_GB2312" w:hAnsi="仿宋_GB2312" w:eastAsia="仿宋_GB2312"/>
          <w:b w:val="0"/>
          <w:sz w:val="32"/>
        </w:rPr>
        <w:t>三、《支出决算表》</w:t>
      </w:r>
    </w:p>
    <w:p w14:paraId="1DB519E9">
      <w:pPr>
        <w:spacing w:line="240" w:lineRule="auto"/>
        <w:ind w:firstLine="640"/>
        <w:jc w:val="both"/>
      </w:pPr>
      <w:r>
        <w:rPr>
          <w:rFonts w:ascii="仿宋_GB2312" w:hAnsi="仿宋_GB2312" w:eastAsia="仿宋_GB2312"/>
          <w:b w:val="0"/>
          <w:sz w:val="32"/>
        </w:rPr>
        <w:t>四、《财政拨款收入支出决算总表》</w:t>
      </w:r>
    </w:p>
    <w:p w14:paraId="69DF8A15">
      <w:pPr>
        <w:spacing w:line="240" w:lineRule="auto"/>
        <w:ind w:firstLine="640"/>
        <w:jc w:val="both"/>
      </w:pPr>
      <w:r>
        <w:rPr>
          <w:rFonts w:ascii="仿宋_GB2312" w:hAnsi="仿宋_GB2312" w:eastAsia="仿宋_GB2312"/>
          <w:b w:val="0"/>
          <w:sz w:val="32"/>
        </w:rPr>
        <w:t>五、《一般公共预算财政拨款支出决算表》</w:t>
      </w:r>
    </w:p>
    <w:p w14:paraId="55A83866">
      <w:pPr>
        <w:spacing w:line="240" w:lineRule="auto"/>
        <w:ind w:firstLine="640"/>
        <w:jc w:val="both"/>
      </w:pPr>
      <w:r>
        <w:rPr>
          <w:rFonts w:ascii="仿宋_GB2312" w:hAnsi="仿宋_GB2312" w:eastAsia="仿宋_GB2312"/>
          <w:b w:val="0"/>
          <w:sz w:val="32"/>
        </w:rPr>
        <w:t>六、《一般公共预算财政拨款基本支出决算表》</w:t>
      </w:r>
    </w:p>
    <w:p w14:paraId="519717F7">
      <w:pPr>
        <w:spacing w:line="240" w:lineRule="auto"/>
        <w:ind w:firstLine="640"/>
        <w:jc w:val="both"/>
      </w:pPr>
      <w:r>
        <w:rPr>
          <w:rFonts w:ascii="仿宋_GB2312" w:hAnsi="仿宋_GB2312" w:eastAsia="仿宋_GB2312"/>
          <w:b w:val="0"/>
          <w:sz w:val="32"/>
        </w:rPr>
        <w:t>七、《政府性基金预算财政拨款收入支出决算表》</w:t>
      </w:r>
    </w:p>
    <w:p w14:paraId="000D0725">
      <w:pPr>
        <w:spacing w:line="240" w:lineRule="auto"/>
        <w:ind w:firstLine="640"/>
        <w:jc w:val="both"/>
      </w:pPr>
      <w:r>
        <w:rPr>
          <w:rFonts w:ascii="仿宋_GB2312" w:hAnsi="仿宋_GB2312" w:eastAsia="仿宋_GB2312"/>
          <w:b w:val="0"/>
          <w:sz w:val="32"/>
        </w:rPr>
        <w:t>八、《国有资本经营预算财政拨款收入支出决算表》</w:t>
      </w:r>
    </w:p>
    <w:p w14:paraId="044ACFB9">
      <w:pPr>
        <w:spacing w:line="240" w:lineRule="auto"/>
        <w:ind w:firstLine="640"/>
        <w:jc w:val="both"/>
      </w:pPr>
      <w:r>
        <w:rPr>
          <w:rFonts w:ascii="仿宋_GB2312" w:hAnsi="仿宋_GB2312" w:eastAsia="仿宋_GB2312"/>
          <w:b w:val="0"/>
          <w:sz w:val="32"/>
        </w:rPr>
        <w:t>九、《财政拨款“三公”经费支出决算表》</w:t>
      </w:r>
    </w:p>
    <w:p w14:paraId="7DE7238F">
      <w:pPr>
        <w:spacing w:line="240" w:lineRule="auto"/>
        <w:ind w:firstLine="640"/>
        <w:jc w:val="both"/>
      </w:pPr>
    </w:p>
    <w:p w14:paraId="48CFB5D6">
      <w:pPr>
        <w:spacing w:line="240" w:lineRule="auto"/>
        <w:ind w:firstLine="640"/>
        <w:jc w:val="both"/>
      </w:pPr>
    </w:p>
    <w:p w14:paraId="4AC0F2FF">
      <w:pPr>
        <w:spacing w:line="240" w:lineRule="auto"/>
        <w:ind w:firstLine="640"/>
        <w:jc w:val="both"/>
      </w:pPr>
    </w:p>
    <w:p w14:paraId="660EEB8B">
      <w:pPr>
        <w:spacing w:line="240" w:lineRule="auto"/>
        <w:ind w:firstLine="640"/>
        <w:jc w:val="both"/>
      </w:pPr>
    </w:p>
    <w:p w14:paraId="124FF36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E142D5"/>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5E69D8"/>
    <w:rsid w:val="7D8C50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1723</Words>
  <Characters>1932</Characters>
  <Lines>0</Lines>
  <Paragraphs>0</Paragraphs>
  <TotalTime>13</TotalTime>
  <ScaleCrop>false</ScaleCrop>
  <LinksUpToDate>false</LinksUpToDate>
  <CharactersWithSpaces>1940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2025-09-16T07:56:07Z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