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新疆喀什地区疏附县消防救援大队2024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D602759">
      <w:r>
        <w:br w:type="page"/>
      </w:r>
    </w:p>
    <w:p w14:paraId="37378135">
      <w:pPr>
        <w:spacing w:line="640" w:lineRule="exact"/>
        <w:jc w:val="center"/>
        <w:outlineLvl w:val="1"/>
      </w:pPr>
      <w:r>
        <w:rPr>
          <w:rFonts w:ascii="黑体" w:hAnsi="黑体" w:eastAsia="黑体"/>
          <w:sz w:val="32"/>
        </w:rPr>
        <w:t>第一部分 单位概况</w:t>
      </w:r>
    </w:p>
    <w:p w14:paraId="45B6EA7E">
      <w:pPr>
        <w:spacing w:line="640" w:lineRule="exact"/>
        <w:ind w:firstLine="640"/>
        <w:jc w:val="both"/>
        <w:outlineLvl w:val="2"/>
      </w:pPr>
      <w:r>
        <w:rPr>
          <w:rFonts w:ascii="黑体" w:hAnsi="黑体" w:eastAsia="黑体"/>
          <w:sz w:val="32"/>
        </w:rPr>
        <w:t>一、主要职能</w:t>
      </w:r>
    </w:p>
    <w:p w14:paraId="5B5AB7BD">
      <w:pPr>
        <w:spacing w:line="580" w:lineRule="exact"/>
        <w:ind w:firstLine="640"/>
        <w:jc w:val="both"/>
      </w:pPr>
      <w:r>
        <w:rPr>
          <w:rFonts w:ascii="仿宋_GB2312" w:hAnsi="仿宋_GB2312" w:eastAsia="仿宋_GB2312"/>
          <w:sz w:val="32"/>
        </w:rPr>
        <w:t>（1）积极开展消防安全检查，督促整改火险隐患。</w:t>
      </w:r>
    </w:p>
    <w:p w14:paraId="296FBF27">
      <w:pPr>
        <w:spacing w:line="580" w:lineRule="exact"/>
        <w:ind w:firstLine="640"/>
        <w:jc w:val="both"/>
      </w:pPr>
      <w:r>
        <w:rPr>
          <w:rFonts w:ascii="仿宋_GB2312" w:hAnsi="仿宋_GB2312" w:eastAsia="仿宋_GB2312"/>
          <w:sz w:val="32"/>
        </w:rPr>
        <w:t>（2）联合部门、单位制定消防安全办法和技术标准。</w:t>
      </w:r>
    </w:p>
    <w:p w14:paraId="2A7996F7">
      <w:pPr>
        <w:spacing w:line="580" w:lineRule="exact"/>
        <w:ind w:firstLine="640"/>
        <w:jc w:val="both"/>
      </w:pPr>
      <w:r>
        <w:rPr>
          <w:rFonts w:ascii="仿宋_GB2312" w:hAnsi="仿宋_GB2312" w:eastAsia="仿宋_GB2312"/>
          <w:sz w:val="32"/>
        </w:rPr>
        <w:t>（3）协调城建、公用等部门建设、改善和维护公共消防设施。</w:t>
      </w:r>
    </w:p>
    <w:p w14:paraId="27C68DBD">
      <w:pPr>
        <w:spacing w:line="580" w:lineRule="exact"/>
        <w:ind w:firstLine="640"/>
        <w:jc w:val="both"/>
      </w:pPr>
      <w:r>
        <w:rPr>
          <w:rFonts w:ascii="仿宋_GB2312" w:hAnsi="仿宋_GB2312" w:eastAsia="仿宋_GB2312"/>
          <w:sz w:val="32"/>
        </w:rPr>
        <w:t>（4）进行火灾统计。</w:t>
      </w:r>
    </w:p>
    <w:p w14:paraId="0EE5D0C5">
      <w:pPr>
        <w:spacing w:line="580" w:lineRule="exact"/>
        <w:ind w:firstLine="640"/>
        <w:jc w:val="both"/>
      </w:pPr>
      <w:r>
        <w:rPr>
          <w:rFonts w:ascii="仿宋_GB2312" w:hAnsi="仿宋_GB2312" w:eastAsia="仿宋_GB2312"/>
          <w:sz w:val="32"/>
        </w:rPr>
        <w:t>（5）教育训练队伍，指导专职消防队和义务消防队开展工作。</w:t>
      </w:r>
    </w:p>
    <w:p w14:paraId="62570342">
      <w:pPr>
        <w:spacing w:line="580" w:lineRule="exact"/>
        <w:ind w:firstLine="640"/>
        <w:jc w:val="both"/>
      </w:pPr>
      <w:r>
        <w:rPr>
          <w:rFonts w:ascii="仿宋_GB2312" w:hAnsi="仿宋_GB2312" w:eastAsia="仿宋_GB2312"/>
          <w:sz w:val="32"/>
        </w:rPr>
        <w:t>（6）组织调查火灾原因，处理火灾事故。</w:t>
      </w:r>
    </w:p>
    <w:p w14:paraId="6BE93614">
      <w:pPr>
        <w:spacing w:line="580" w:lineRule="exact"/>
        <w:ind w:firstLine="640"/>
        <w:jc w:val="both"/>
      </w:pPr>
      <w:r>
        <w:rPr>
          <w:rFonts w:ascii="仿宋_GB2312" w:hAnsi="仿宋_GB2312" w:eastAsia="仿宋_GB2312"/>
          <w:sz w:val="32"/>
        </w:rPr>
        <w:t>（7）迅速接警出动，及时有效</w:t>
      </w:r>
      <w:r>
        <w:rPr>
          <w:rFonts w:hint="eastAsia" w:ascii="仿宋_GB2312" w:hAnsi="仿宋_GB2312" w:eastAsia="仿宋_GB2312"/>
          <w:sz w:val="32"/>
          <w:lang w:eastAsia="zh-CN"/>
        </w:rPr>
        <w:t>地</w:t>
      </w:r>
      <w:r>
        <w:rPr>
          <w:rFonts w:ascii="仿宋_GB2312" w:hAnsi="仿宋_GB2312" w:eastAsia="仿宋_GB2312"/>
          <w:sz w:val="32"/>
        </w:rPr>
        <w:t>扑灭各种火灾，努力减少火灾损失，全力参加灭火以外的各种抢险救灾。</w:t>
      </w:r>
    </w:p>
    <w:p w14:paraId="62400F5A">
      <w:pPr>
        <w:spacing w:line="640" w:lineRule="exact"/>
        <w:ind w:firstLine="640"/>
        <w:jc w:val="both"/>
        <w:outlineLvl w:val="2"/>
      </w:pPr>
      <w:r>
        <w:rPr>
          <w:rFonts w:ascii="黑体" w:hAnsi="黑体" w:eastAsia="黑体"/>
          <w:sz w:val="32"/>
        </w:rPr>
        <w:t>二、机构设置及人员情况</w:t>
      </w:r>
    </w:p>
    <w:p w14:paraId="72CA2966">
      <w:pPr>
        <w:spacing w:line="580" w:lineRule="exact"/>
        <w:ind w:firstLine="640"/>
        <w:jc w:val="both"/>
      </w:pPr>
      <w:r>
        <w:rPr>
          <w:rFonts w:ascii="仿宋_GB2312" w:hAnsi="仿宋_GB2312" w:eastAsia="仿宋_GB2312"/>
          <w:sz w:val="32"/>
        </w:rPr>
        <w:t>新疆喀什地区疏附县消防救援大队2024年度，实有人数0人，其中：在职人员0人，增加0人；离休人员0人，增加0人；退休人员0人,增加0人。</w:t>
      </w:r>
    </w:p>
    <w:p w14:paraId="0984477D">
      <w:pPr>
        <w:spacing w:line="580" w:lineRule="exact"/>
        <w:ind w:firstLine="640"/>
        <w:jc w:val="both"/>
      </w:pPr>
      <w:r>
        <w:rPr>
          <w:rFonts w:ascii="仿宋_GB2312" w:hAnsi="仿宋_GB2312" w:eastAsia="仿宋_GB2312"/>
          <w:sz w:val="32"/>
        </w:rPr>
        <w:t>新疆喀什地区疏附县消防救援大队无下属预算单位，下设4个科室，分别是：财务室、政工办公室、电话班、大队文员办公室。</w:t>
      </w:r>
    </w:p>
    <w:p w14:paraId="22EF56F3">
      <w:r>
        <w:br w:type="page"/>
      </w:r>
    </w:p>
    <w:p w14:paraId="7F9DF4DA">
      <w:pPr>
        <w:spacing w:line="240" w:lineRule="auto"/>
        <w:jc w:val="center"/>
        <w:outlineLvl w:val="1"/>
      </w:pPr>
      <w:r>
        <w:rPr>
          <w:rFonts w:ascii="黑体" w:hAnsi="黑体" w:eastAsia="黑体"/>
          <w:sz w:val="32"/>
        </w:rPr>
        <w:t>第二部分 部门决算情况说明</w:t>
      </w:r>
    </w:p>
    <w:p w14:paraId="2CB81B53">
      <w:pPr>
        <w:spacing w:line="640" w:lineRule="exact"/>
        <w:ind w:firstLine="640"/>
        <w:jc w:val="both"/>
        <w:outlineLvl w:val="2"/>
      </w:pPr>
      <w:r>
        <w:rPr>
          <w:rFonts w:ascii="黑体" w:hAnsi="黑体" w:eastAsia="黑体"/>
          <w:sz w:val="32"/>
        </w:rPr>
        <w:t>一、收入支出决算总体情况说明</w:t>
      </w:r>
    </w:p>
    <w:p w14:paraId="75FE24EE">
      <w:pPr>
        <w:spacing w:line="580" w:lineRule="exact"/>
        <w:ind w:firstLine="640"/>
        <w:jc w:val="both"/>
      </w:pPr>
      <w:r>
        <w:rPr>
          <w:rFonts w:ascii="仿宋_GB2312" w:hAnsi="仿宋_GB2312" w:eastAsia="仿宋_GB2312"/>
          <w:b/>
          <w:sz w:val="32"/>
        </w:rPr>
        <w:t>2024年度收入总计627.85万元，</w:t>
      </w:r>
      <w:r>
        <w:rPr>
          <w:rFonts w:ascii="仿宋_GB2312" w:hAnsi="仿宋_GB2312" w:eastAsia="仿宋_GB2312"/>
          <w:b w:val="0"/>
          <w:sz w:val="32"/>
        </w:rPr>
        <w:t>其中：本年收入合计627.85万元，使用非财政拨款结余（含专用结余）0.00万元，年初结转和结余0.00万元。</w:t>
      </w:r>
    </w:p>
    <w:p w14:paraId="13D665E8">
      <w:pPr>
        <w:spacing w:line="580" w:lineRule="exact"/>
        <w:ind w:firstLine="640"/>
        <w:jc w:val="both"/>
      </w:pPr>
      <w:r>
        <w:rPr>
          <w:rFonts w:ascii="仿宋_GB2312" w:hAnsi="仿宋_GB2312" w:eastAsia="仿宋_GB2312"/>
          <w:b/>
          <w:sz w:val="32"/>
        </w:rPr>
        <w:t>2024年度支出总计627.85万元，</w:t>
      </w:r>
      <w:r>
        <w:rPr>
          <w:rFonts w:ascii="仿宋_GB2312" w:hAnsi="仿宋_GB2312" w:eastAsia="仿宋_GB2312"/>
          <w:b w:val="0"/>
          <w:sz w:val="32"/>
        </w:rPr>
        <w:t>其中：本年支出合计627.85万元，结余分配0.00万元，年末结转和结余0.00万元。</w:t>
      </w:r>
    </w:p>
    <w:p w14:paraId="1764608B">
      <w:pPr>
        <w:spacing w:line="580" w:lineRule="exact"/>
        <w:ind w:firstLine="640"/>
        <w:jc w:val="both"/>
      </w:pPr>
      <w:r>
        <w:rPr>
          <w:rFonts w:ascii="仿宋_GB2312" w:hAnsi="仿宋_GB2312" w:eastAsia="仿宋_GB2312"/>
          <w:b w:val="0"/>
          <w:sz w:val="32"/>
        </w:rPr>
        <w:t>收入支出总体与上年相比，增加238.13万元，增长61.10%，主要原因是：本年增加疏附县消防救援大队防灾减灾教育展馆项目、化解2023年暂付款项目、2024年暖气费，导致经费较上年增加。</w:t>
      </w:r>
    </w:p>
    <w:p w14:paraId="1BA05C9A">
      <w:pPr>
        <w:spacing w:line="640" w:lineRule="exact"/>
        <w:ind w:firstLine="640"/>
        <w:jc w:val="both"/>
        <w:outlineLvl w:val="2"/>
      </w:pPr>
      <w:r>
        <w:rPr>
          <w:rFonts w:ascii="黑体" w:hAnsi="黑体" w:eastAsia="黑体"/>
          <w:sz w:val="32"/>
        </w:rPr>
        <w:t>二、收入决算情况说明</w:t>
      </w:r>
    </w:p>
    <w:p w14:paraId="7D896D85">
      <w:pPr>
        <w:spacing w:line="580" w:lineRule="exact"/>
        <w:ind w:firstLine="640"/>
        <w:jc w:val="both"/>
      </w:pPr>
      <w:r>
        <w:rPr>
          <w:rFonts w:ascii="仿宋_GB2312" w:hAnsi="仿宋_GB2312" w:eastAsia="仿宋_GB2312"/>
          <w:b/>
          <w:sz w:val="32"/>
        </w:rPr>
        <w:t>本年收入627.85万元，</w:t>
      </w:r>
      <w:r>
        <w:rPr>
          <w:rFonts w:ascii="仿宋_GB2312" w:hAnsi="仿宋_GB2312" w:eastAsia="仿宋_GB2312"/>
          <w:b w:val="0"/>
          <w:sz w:val="32"/>
        </w:rPr>
        <w:t>其中：财政拨款收入627.85万元，占100.00%；上级补助收入0.00万元，占0.00%；事业收入0.00万元，占0.00%；经营收入0.00万元，占0.00%；附属单位上缴收入0.00万元，占0.00%；其他收入0.00万元，占0.00%。</w:t>
      </w:r>
    </w:p>
    <w:p w14:paraId="7534D1F9">
      <w:pPr>
        <w:spacing w:line="640" w:lineRule="exact"/>
        <w:ind w:firstLine="640"/>
        <w:jc w:val="both"/>
        <w:outlineLvl w:val="2"/>
      </w:pPr>
      <w:r>
        <w:rPr>
          <w:rFonts w:ascii="黑体" w:hAnsi="黑体" w:eastAsia="黑体"/>
          <w:sz w:val="32"/>
        </w:rPr>
        <w:t>三、支出决算情况说明</w:t>
      </w:r>
    </w:p>
    <w:p w14:paraId="365B041B">
      <w:pPr>
        <w:spacing w:line="580" w:lineRule="exact"/>
        <w:ind w:firstLine="640"/>
        <w:jc w:val="both"/>
      </w:pPr>
      <w:r>
        <w:rPr>
          <w:rFonts w:ascii="仿宋_GB2312" w:hAnsi="仿宋_GB2312" w:eastAsia="仿宋_GB2312"/>
          <w:b/>
          <w:sz w:val="32"/>
        </w:rPr>
        <w:t>本年支出627.85万元，</w:t>
      </w:r>
      <w:r>
        <w:rPr>
          <w:rFonts w:ascii="仿宋_GB2312" w:hAnsi="仿宋_GB2312" w:eastAsia="仿宋_GB2312"/>
          <w:b w:val="0"/>
          <w:sz w:val="32"/>
        </w:rPr>
        <w:t>其中：基本支出293.56万元，占46.76%；项目支出334.30万元，占53.25%；上缴上级支出0.00万元，占0.00%；经营支出0.00万元，占0.00%；对附属单位补助支出0.00万元，占0.00%。</w:t>
      </w:r>
    </w:p>
    <w:p w14:paraId="1E7403B5">
      <w:pPr>
        <w:spacing w:line="640" w:lineRule="exact"/>
        <w:ind w:firstLine="640"/>
        <w:jc w:val="both"/>
        <w:outlineLvl w:val="2"/>
      </w:pPr>
      <w:r>
        <w:rPr>
          <w:rFonts w:ascii="黑体" w:hAnsi="黑体" w:eastAsia="黑体"/>
          <w:sz w:val="32"/>
        </w:rPr>
        <w:t>四、财政拨款收入支出决算总体情况说明</w:t>
      </w:r>
    </w:p>
    <w:p w14:paraId="65A1C9BE">
      <w:pPr>
        <w:spacing w:line="580" w:lineRule="exact"/>
        <w:ind w:firstLine="640"/>
        <w:jc w:val="both"/>
      </w:pPr>
      <w:r>
        <w:rPr>
          <w:rFonts w:ascii="仿宋_GB2312" w:hAnsi="仿宋_GB2312" w:eastAsia="仿宋_GB2312"/>
          <w:b/>
          <w:sz w:val="32"/>
        </w:rPr>
        <w:t>2024年度财政拨款收入总计627.85万元，</w:t>
      </w:r>
      <w:r>
        <w:rPr>
          <w:rFonts w:ascii="仿宋_GB2312" w:hAnsi="仿宋_GB2312" w:eastAsia="仿宋_GB2312"/>
          <w:b w:val="0"/>
          <w:sz w:val="32"/>
        </w:rPr>
        <w:t>其中：年初财政拨款结转和结余0.00万元，本年财政拨款收入627.85万元。</w:t>
      </w:r>
      <w:r>
        <w:rPr>
          <w:rFonts w:ascii="仿宋_GB2312" w:hAnsi="仿宋_GB2312" w:eastAsia="仿宋_GB2312"/>
          <w:b/>
          <w:sz w:val="32"/>
        </w:rPr>
        <w:t>财政拨款支出总计627.85万元，</w:t>
      </w:r>
      <w:r>
        <w:rPr>
          <w:rFonts w:ascii="仿宋_GB2312" w:hAnsi="仿宋_GB2312" w:eastAsia="仿宋_GB2312"/>
          <w:b w:val="0"/>
          <w:sz w:val="32"/>
        </w:rPr>
        <w:t>其中：年末财政拨款结转和结余0.00万元，本年财政拨款支出627.85万元。</w:t>
      </w:r>
    </w:p>
    <w:p w14:paraId="0E22105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增加238.13万元，增长61.10%，主要原因是：本年增加疏附县消防救援大队防灾减灾教育展馆项目、化解2023年暂付款项目、2024年暖气费，导致经费较上年增加。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303.47万元，决算数627.85万元，预决算差异率106.89%，主要原因是：年中追加疏附县消防救援大队防灾减灾教育展馆项目、化解2023年暂付款、2024年暖气费、抚恤金、职业年金、2024年长聘人员工资、2024年度消防业务经费，导致预决算存在差异。</w:t>
      </w:r>
    </w:p>
    <w:p w14:paraId="53DEB0E6">
      <w:pPr>
        <w:spacing w:line="640" w:lineRule="exact"/>
        <w:ind w:firstLine="640"/>
        <w:jc w:val="both"/>
        <w:outlineLvl w:val="2"/>
      </w:pPr>
      <w:r>
        <w:rPr>
          <w:rFonts w:ascii="黑体" w:hAnsi="黑体" w:eastAsia="黑体"/>
          <w:sz w:val="32"/>
        </w:rPr>
        <w:t>五、一般公共预算财政拨款支出决算情况说明</w:t>
      </w:r>
    </w:p>
    <w:p w14:paraId="6AB1ABA8">
      <w:pPr>
        <w:spacing w:line="640" w:lineRule="exact"/>
        <w:ind w:firstLine="640"/>
        <w:jc w:val="both"/>
        <w:outlineLvl w:val="3"/>
      </w:pPr>
      <w:r>
        <w:rPr>
          <w:rFonts w:ascii="楷体_GB2312" w:hAnsi="楷体_GB2312" w:eastAsia="楷体_GB2312"/>
          <w:b/>
          <w:sz w:val="32"/>
        </w:rPr>
        <w:t>（一）一般公共预算财政拨款支出决算总体情况</w:t>
      </w:r>
    </w:p>
    <w:p w14:paraId="2C655F20">
      <w:pPr>
        <w:spacing w:line="580" w:lineRule="exact"/>
        <w:ind w:firstLine="640"/>
        <w:jc w:val="both"/>
      </w:pPr>
      <w:r>
        <w:rPr>
          <w:rFonts w:ascii="仿宋_GB2312" w:hAnsi="仿宋_GB2312" w:eastAsia="仿宋_GB2312"/>
          <w:b/>
          <w:sz w:val="32"/>
        </w:rPr>
        <w:t>2024年度一般公共预算财政拨款支出627.85万元，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增加238.13万元，增长61.10%，主要原因是：本年增加疏附县消防救援大队防灾减灾教育展馆项目、化解2023年暂付款项目、2024年暖气费，导致经费较上年增加。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303.47万元，决算数627.85万元，预决算差异率106.89%，主要原因是：年中追加疏附县消防救援大队防灾减灾教育展馆项目、化解2023年暂付款、2024年暖气费、抚恤金、职业年金、2024年长聘人员工资、2024年度消防业务经费，导致预决算存在差异。</w:t>
      </w:r>
    </w:p>
    <w:p w14:paraId="622EBA3E">
      <w:pPr>
        <w:spacing w:line="640" w:lineRule="exact"/>
        <w:ind w:firstLine="640"/>
        <w:jc w:val="both"/>
        <w:outlineLvl w:val="3"/>
      </w:pPr>
      <w:r>
        <w:rPr>
          <w:rFonts w:ascii="楷体_GB2312" w:hAnsi="楷体_GB2312" w:eastAsia="楷体_GB2312"/>
          <w:b/>
          <w:sz w:val="32"/>
        </w:rPr>
        <w:t>（二）一般公共预算财政拨款支出决算结构情况</w:t>
      </w:r>
    </w:p>
    <w:p w14:paraId="34956B05">
      <w:pPr>
        <w:spacing w:line="580" w:lineRule="exact"/>
        <w:ind w:firstLine="640"/>
        <w:jc w:val="both"/>
      </w:pPr>
      <w:r>
        <w:rPr>
          <w:rFonts w:ascii="仿宋_GB2312" w:hAnsi="仿宋_GB2312" w:eastAsia="仿宋_GB2312"/>
          <w:b w:val="0"/>
          <w:sz w:val="32"/>
        </w:rPr>
        <w:t>1.灾害防治及应急管理支出(类)627.85万元,占100.00%。</w:t>
      </w:r>
    </w:p>
    <w:p w14:paraId="55B5A622">
      <w:pPr>
        <w:spacing w:line="640" w:lineRule="exact"/>
        <w:ind w:firstLine="640"/>
        <w:jc w:val="both"/>
        <w:outlineLvl w:val="3"/>
      </w:pPr>
      <w:r>
        <w:rPr>
          <w:rFonts w:ascii="楷体_GB2312" w:hAnsi="楷体_GB2312" w:eastAsia="楷体_GB2312"/>
          <w:b/>
          <w:sz w:val="32"/>
        </w:rPr>
        <w:t>（三）一般公共预算财政拨款支出决算具体情况</w:t>
      </w:r>
    </w:p>
    <w:p w14:paraId="71A19351">
      <w:pPr>
        <w:spacing w:line="580" w:lineRule="exact"/>
        <w:ind w:firstLine="640"/>
        <w:jc w:val="both"/>
      </w:pPr>
      <w:r>
        <w:rPr>
          <w:rFonts w:ascii="仿宋_GB2312" w:hAnsi="仿宋_GB2312" w:eastAsia="仿宋_GB2312"/>
          <w:b w:val="0"/>
          <w:sz w:val="32"/>
        </w:rPr>
        <w:t>1.灾害防治及应急管理支出(类)消防救援事务(款)行政运行(项):支出决算数为293.56万元，比上年决算减少96.16万元，下降24.67%,主要原因是：上年度部分长聘人员工资、人员取暖费、抚恤金、职业年金等在本科目基本支出列支，本年调整至一般行政管理事务科目项目支出列支，相应支出减少。</w:t>
      </w:r>
    </w:p>
    <w:p w14:paraId="5D5823C4">
      <w:pPr>
        <w:spacing w:line="580" w:lineRule="exact"/>
        <w:ind w:firstLine="640"/>
        <w:jc w:val="both"/>
      </w:pPr>
      <w:r>
        <w:rPr>
          <w:rFonts w:ascii="仿宋_GB2312" w:hAnsi="仿宋_GB2312" w:eastAsia="仿宋_GB2312"/>
          <w:b w:val="0"/>
          <w:sz w:val="32"/>
        </w:rPr>
        <w:t>2.灾害防治及应急管理支出(类)消防救援事务(款)一般行政管理事务(项):支出决算数为334.30万元，比上年决算增加334.30万元，增长100.00%,主要原因是：本年增加疏附县消防救援大队防灾减灾教育展馆项目、化解2023年暂付款项目、2024年追加暖气费项目等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w:t>
      </w:r>
      <w:r>
        <w:rPr>
          <w:rFonts w:ascii="仿宋_GB2312" w:hAnsi="仿宋_GB2312" w:eastAsia="仿宋_GB2312"/>
          <w:b w:val="0"/>
          <w:sz w:val="32"/>
        </w:rPr>
        <w:t>部分长聘人员工资、人员取暖费、抚恤金、职业年金</w:t>
      </w:r>
      <w:r>
        <w:rPr>
          <w:rFonts w:hint="eastAsia" w:ascii="仿宋_GB2312" w:hAnsi="仿宋_GB2312" w:eastAsia="仿宋_GB2312"/>
          <w:b w:val="0"/>
          <w:sz w:val="32"/>
          <w:lang w:val="en-US" w:eastAsia="zh-CN"/>
        </w:rPr>
        <w:t>从行政运行科目调整至本科目列支，</w:t>
      </w:r>
      <w:r>
        <w:rPr>
          <w:rFonts w:ascii="仿宋_GB2312" w:hAnsi="仿宋_GB2312" w:eastAsia="仿宋_GB2312"/>
          <w:b w:val="0"/>
          <w:sz w:val="32"/>
        </w:rPr>
        <w:t>相应支出增加。</w:t>
      </w:r>
    </w:p>
    <w:p w14:paraId="12046346">
      <w:pPr>
        <w:spacing w:line="640" w:lineRule="exact"/>
        <w:ind w:firstLine="640"/>
        <w:jc w:val="both"/>
        <w:outlineLvl w:val="2"/>
      </w:pPr>
      <w:r>
        <w:rPr>
          <w:rFonts w:ascii="黑体" w:hAnsi="黑体" w:eastAsia="黑体"/>
          <w:sz w:val="32"/>
        </w:rPr>
        <w:t>六、一般公共预算财政拨款基本支出决算情况说明</w:t>
      </w:r>
    </w:p>
    <w:p w14:paraId="4E56A801">
      <w:pPr>
        <w:spacing w:line="580" w:lineRule="exact"/>
        <w:ind w:firstLine="640"/>
        <w:jc w:val="both"/>
      </w:pPr>
      <w:r>
        <w:rPr>
          <w:rFonts w:ascii="仿宋_GB2312" w:hAnsi="仿宋_GB2312" w:eastAsia="仿宋_GB2312"/>
          <w:b w:val="0"/>
          <w:sz w:val="32"/>
        </w:rPr>
        <w:t>2024年度一般公共预算财政拨款基本支出293.56万元，其中：</w:t>
      </w:r>
      <w:r>
        <w:rPr>
          <w:rFonts w:ascii="仿宋_GB2312" w:hAnsi="仿宋_GB2312" w:eastAsia="仿宋_GB2312"/>
          <w:b/>
          <w:sz w:val="32"/>
        </w:rPr>
        <w:t>人员经费280.17万元，</w:t>
      </w:r>
      <w:r>
        <w:rPr>
          <w:rFonts w:ascii="仿宋_GB2312" w:hAnsi="仿宋_GB2312" w:eastAsia="仿宋_GB2312"/>
          <w:b w:val="0"/>
          <w:sz w:val="32"/>
        </w:rPr>
        <w:t>包括：其他工资福利支出。</w:t>
      </w:r>
    </w:p>
    <w:p w14:paraId="49ADEA88">
      <w:pPr>
        <w:spacing w:line="580" w:lineRule="exact"/>
        <w:ind w:firstLine="640"/>
        <w:jc w:val="both"/>
      </w:pPr>
      <w:r>
        <w:rPr>
          <w:rFonts w:ascii="仿宋_GB2312" w:hAnsi="仿宋_GB2312" w:eastAsia="仿宋_GB2312"/>
          <w:b/>
          <w:sz w:val="32"/>
        </w:rPr>
        <w:t>公用经费13.39万元，</w:t>
      </w:r>
      <w:r>
        <w:rPr>
          <w:rFonts w:ascii="仿宋_GB2312" w:hAnsi="仿宋_GB2312" w:eastAsia="仿宋_GB2312"/>
          <w:b w:val="0"/>
          <w:sz w:val="32"/>
        </w:rPr>
        <w:t>包括：取暖费。</w:t>
      </w:r>
    </w:p>
    <w:p w14:paraId="6AC1E2EE">
      <w:pPr>
        <w:spacing w:line="640" w:lineRule="exact"/>
        <w:ind w:firstLine="640"/>
        <w:jc w:val="both"/>
        <w:outlineLvl w:val="2"/>
      </w:pPr>
      <w:r>
        <w:rPr>
          <w:rFonts w:ascii="黑体" w:hAnsi="黑体" w:eastAsia="黑体"/>
          <w:sz w:val="32"/>
        </w:rPr>
        <w:t>七、政府性基金预算财政拨款收入支出决算情况说明</w:t>
      </w:r>
    </w:p>
    <w:p w14:paraId="15DFDCE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A5A1AAE">
      <w:pPr>
        <w:spacing w:line="640" w:lineRule="exact"/>
        <w:ind w:firstLine="640"/>
        <w:jc w:val="both"/>
        <w:outlineLvl w:val="2"/>
      </w:pPr>
      <w:r>
        <w:rPr>
          <w:rFonts w:ascii="黑体" w:hAnsi="黑体" w:eastAsia="黑体"/>
          <w:sz w:val="32"/>
        </w:rPr>
        <w:t>八、国有资本经营预算财政拨款收入支出决算情况说明</w:t>
      </w:r>
    </w:p>
    <w:p w14:paraId="2A98375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7BA64CE">
      <w:pPr>
        <w:spacing w:line="640" w:lineRule="exact"/>
        <w:ind w:firstLine="640"/>
        <w:jc w:val="both"/>
        <w:outlineLvl w:val="2"/>
      </w:pPr>
      <w:r>
        <w:rPr>
          <w:rFonts w:ascii="黑体" w:hAnsi="黑体" w:eastAsia="黑体"/>
          <w:sz w:val="32"/>
        </w:rPr>
        <w:t>九、财政拨款“三公”经费支出决算情况说明</w:t>
      </w:r>
    </w:p>
    <w:p w14:paraId="69783B7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F068631">
      <w:pPr>
        <w:spacing w:line="580" w:lineRule="exact"/>
        <w:ind w:firstLine="640"/>
        <w:jc w:val="both"/>
      </w:pPr>
      <w:r>
        <w:rPr>
          <w:rFonts w:ascii="仿宋_GB2312" w:hAnsi="仿宋_GB2312" w:eastAsia="仿宋_GB2312"/>
          <w:b/>
          <w:sz w:val="32"/>
        </w:rPr>
        <w:t>具体情况如下：</w:t>
      </w:r>
    </w:p>
    <w:p w14:paraId="6C9E51F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331E8A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ED9A5F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B893B0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3350E7B">
      <w:pPr>
        <w:spacing w:line="640" w:lineRule="exact"/>
        <w:ind w:firstLine="640"/>
        <w:jc w:val="both"/>
        <w:outlineLvl w:val="2"/>
      </w:pPr>
      <w:r>
        <w:rPr>
          <w:rFonts w:ascii="黑体" w:hAnsi="黑体" w:eastAsia="黑体"/>
          <w:sz w:val="32"/>
        </w:rPr>
        <w:t>十、其他重要事项的情况说明</w:t>
      </w:r>
    </w:p>
    <w:p w14:paraId="6FED6CF2">
      <w:pPr>
        <w:spacing w:line="640" w:lineRule="exact"/>
        <w:ind w:firstLine="640"/>
        <w:jc w:val="both"/>
        <w:outlineLvl w:val="3"/>
      </w:pPr>
      <w:r>
        <w:rPr>
          <w:rFonts w:ascii="楷体_GB2312" w:hAnsi="楷体_GB2312" w:eastAsia="楷体_GB2312"/>
          <w:b/>
          <w:sz w:val="32"/>
        </w:rPr>
        <w:t>（一）机关运行经费及公用经费支出情况</w:t>
      </w:r>
    </w:p>
    <w:p w14:paraId="4D06498C">
      <w:pPr>
        <w:spacing w:line="580" w:lineRule="exact"/>
        <w:ind w:firstLine="640"/>
        <w:jc w:val="both"/>
      </w:pPr>
      <w:r>
        <w:rPr>
          <w:rFonts w:ascii="仿宋_GB2312" w:hAnsi="仿宋_GB2312" w:eastAsia="仿宋_GB2312"/>
          <w:b w:val="0"/>
          <w:sz w:val="32"/>
        </w:rPr>
        <w:t>2024年度新疆喀什地区疏附县消防救援大队（行政单位和参照公务员法管理事业单位）机关运行经费支出13.39万元，比上年增加13.39万元，增长100.00%，主要原因是：本年增加取暖费经费，导致公用经费增加。</w:t>
      </w:r>
    </w:p>
    <w:p w14:paraId="57ADBE1B">
      <w:pPr>
        <w:spacing w:line="640" w:lineRule="exact"/>
        <w:ind w:firstLine="640"/>
        <w:jc w:val="both"/>
        <w:outlineLvl w:val="3"/>
      </w:pPr>
      <w:r>
        <w:rPr>
          <w:rFonts w:ascii="楷体_GB2312" w:hAnsi="楷体_GB2312" w:eastAsia="楷体_GB2312"/>
          <w:b/>
          <w:sz w:val="32"/>
        </w:rPr>
        <w:t>（二）政府采购情况</w:t>
      </w:r>
    </w:p>
    <w:p w14:paraId="4E06CFA2">
      <w:pPr>
        <w:spacing w:line="580" w:lineRule="exact"/>
        <w:ind w:firstLine="640"/>
        <w:jc w:val="both"/>
      </w:pPr>
      <w:r>
        <w:rPr>
          <w:rFonts w:ascii="仿宋_GB2312" w:hAnsi="仿宋_GB2312" w:eastAsia="仿宋_GB2312"/>
          <w:b w:val="0"/>
          <w:sz w:val="32"/>
        </w:rPr>
        <w:t>2024年度政府采购支出总额6.24万元，其中：政府采购货物支出0.69万元、政府采购工程支出0.00万元、政府采购服务支出5.55万元。</w:t>
      </w:r>
    </w:p>
    <w:p w14:paraId="312B4B3E">
      <w:pPr>
        <w:spacing w:line="580" w:lineRule="exact"/>
        <w:ind w:firstLine="640"/>
        <w:jc w:val="both"/>
      </w:pPr>
      <w:r>
        <w:rPr>
          <w:rFonts w:ascii="仿宋_GB2312" w:hAnsi="仿宋_GB2312" w:eastAsia="仿宋_GB2312"/>
          <w:b w:val="0"/>
          <w:sz w:val="32"/>
        </w:rPr>
        <w:t>授予中小企业合同金额6.24万元，占政府采购支出总额的100.00%，其中：授予小微企业合同金额1.67万元，占政府采购支出总额的26.76%。</w:t>
      </w:r>
    </w:p>
    <w:p w14:paraId="7C6F648F">
      <w:pPr>
        <w:spacing w:line="640" w:lineRule="exact"/>
        <w:ind w:firstLine="640"/>
        <w:jc w:val="both"/>
        <w:outlineLvl w:val="3"/>
      </w:pPr>
      <w:r>
        <w:rPr>
          <w:rFonts w:ascii="楷体_GB2312" w:hAnsi="楷体_GB2312" w:eastAsia="楷体_GB2312"/>
          <w:b/>
          <w:sz w:val="32"/>
        </w:rPr>
        <w:t>（三）国有资产占用情况说明</w:t>
      </w:r>
    </w:p>
    <w:p w14:paraId="75CCD92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25C16D2">
      <w:pPr>
        <w:spacing w:line="640" w:lineRule="exact"/>
        <w:ind w:firstLine="640"/>
        <w:jc w:val="both"/>
        <w:outlineLvl w:val="2"/>
      </w:pPr>
      <w:r>
        <w:rPr>
          <w:rFonts w:ascii="黑体" w:hAnsi="黑体" w:eastAsia="黑体"/>
          <w:sz w:val="32"/>
        </w:rPr>
        <w:t>十一、预算绩效的情况说明</w:t>
      </w:r>
    </w:p>
    <w:p w14:paraId="5A516D0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758.07万元，实际执行总额627.86万元；预算绩效评价项目1个，全年预算数279.10万元，全年执行数166.68万元。预算绩效管理取得的成效：一是领导重视，加强项目管理，是项目如期按质完成的重要保证；二是加强财务计划管理，确保经费及时足额供给，为项目完成提供有力经费保障；三是加强与项目管理部门的沟通协调及时解决项目实施过程中存在问题，确保项目顺利推进；四是加强项目建设管理和资金管理，逐步提升项目绩效管理的精细化水平，对项目进行全过程监督管理。发现的问题及原因：一是项目管理制度健全性不足；二是项目组织管理不够规范，绩效管理意识不强。下一步改进措施：一是进一步加强项目建设管理和资金管理；二是进一步强化绩效管理意识，通过服务对象满意度调查等方式收集绩效信息，及时分析绩效管理过程中存在的问题并提出解决措施，逐步提升项目绩效管理的精细化水平；三是强化对管理人</w:t>
      </w:r>
      <w:r>
        <w:rPr>
          <w:rFonts w:hint="eastAsia" w:ascii="仿宋_GB2312" w:hAnsi="仿宋_GB2312" w:eastAsia="仿宋_GB2312"/>
          <w:b w:val="0"/>
          <w:sz w:val="32"/>
          <w:lang w:eastAsia="zh-CN"/>
        </w:rPr>
        <w:t>员的</w:t>
      </w:r>
      <w:r>
        <w:rPr>
          <w:rFonts w:ascii="仿宋_GB2312" w:hAnsi="仿宋_GB2312" w:eastAsia="仿宋_GB2312"/>
          <w:b w:val="0"/>
          <w:sz w:val="32"/>
        </w:rPr>
        <w:t>职责，对项目进行全过程监督管理，提高制度执行情况；四是强化资金额度和考核项目的匹配性。具体附整体支出绩效自评表，项目支出绩效自评表。</w:t>
      </w:r>
    </w:p>
    <w:p w14:paraId="4743D9A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4443E0C">
        <w:tblPrEx>
          <w:tblCellMar>
            <w:top w:w="0" w:type="dxa"/>
            <w:left w:w="108" w:type="dxa"/>
            <w:bottom w:w="0" w:type="dxa"/>
            <w:right w:w="108" w:type="dxa"/>
          </w:tblCellMar>
        </w:tblPrEx>
        <w:tc>
          <w:tcPr>
            <w:tcW w:w="8847" w:type="dxa"/>
            <w:gridSpan w:val="9"/>
            <w:vAlign w:val="center"/>
          </w:tcPr>
          <w:p w14:paraId="4C3EF5F1">
            <w:pPr>
              <w:jc w:val="center"/>
            </w:pPr>
            <w:r>
              <w:rPr>
                <w:rFonts w:ascii="宋体" w:hAnsi="宋体" w:eastAsia="宋体"/>
                <w:sz w:val="24"/>
              </w:rPr>
              <w:t>单位整体支出绩效自评表</w:t>
            </w:r>
          </w:p>
        </w:tc>
      </w:tr>
      <w:tr w14:paraId="2119C83F">
        <w:tblPrEx>
          <w:tblCellMar>
            <w:top w:w="0" w:type="dxa"/>
            <w:left w:w="108" w:type="dxa"/>
            <w:bottom w:w="0" w:type="dxa"/>
            <w:right w:w="108" w:type="dxa"/>
          </w:tblCellMar>
        </w:tblPrEx>
        <w:tc>
          <w:tcPr>
            <w:tcW w:w="8847" w:type="dxa"/>
            <w:gridSpan w:val="9"/>
            <w:vAlign w:val="center"/>
          </w:tcPr>
          <w:p w14:paraId="580ED116">
            <w:pPr>
              <w:jc w:val="center"/>
            </w:pPr>
            <w:r>
              <w:rPr>
                <w:rFonts w:ascii="宋体" w:hAnsi="宋体" w:eastAsia="宋体"/>
                <w:sz w:val="24"/>
              </w:rPr>
              <w:t>（2024年度）</w:t>
            </w:r>
          </w:p>
        </w:tc>
      </w:tr>
      <w:tr w14:paraId="016AB8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D329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90E4C1">
            <w:pPr>
              <w:jc w:val="center"/>
            </w:pPr>
            <w:r>
              <w:rPr>
                <w:rFonts w:ascii="宋体" w:hAnsi="宋体" w:eastAsia="宋体"/>
                <w:sz w:val="16"/>
              </w:rPr>
              <w:t>新疆喀什地区疏附县消防救援大队</w:t>
            </w:r>
          </w:p>
        </w:tc>
      </w:tr>
      <w:tr w14:paraId="265BBA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E312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E1D4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C3EE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364B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3A14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48BE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F6B7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64EC">
            <w:pPr>
              <w:jc w:val="center"/>
            </w:pPr>
            <w:r>
              <w:rPr>
                <w:rFonts w:ascii="宋体" w:hAnsi="宋体" w:eastAsia="宋体"/>
                <w:sz w:val="16"/>
              </w:rPr>
              <w:t>得分</w:t>
            </w:r>
          </w:p>
        </w:tc>
      </w:tr>
      <w:tr w14:paraId="49E7EE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578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011A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299FD">
            <w:pPr>
              <w:jc w:val="center"/>
            </w:pPr>
            <w:r>
              <w:rPr>
                <w:rFonts w:ascii="宋体" w:hAnsi="宋体" w:eastAsia="宋体"/>
                <w:sz w:val="16"/>
              </w:rPr>
              <w:t>303.47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CAD45">
            <w:pPr>
              <w:jc w:val="center"/>
            </w:pPr>
            <w:r>
              <w:rPr>
                <w:rFonts w:ascii="宋体" w:hAnsi="宋体" w:eastAsia="宋体"/>
                <w:sz w:val="16"/>
              </w:rPr>
              <w:t>758.07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DAD61">
            <w:pPr>
              <w:jc w:val="center"/>
            </w:pPr>
            <w:r>
              <w:rPr>
                <w:rFonts w:ascii="宋体" w:hAnsi="宋体" w:eastAsia="宋体"/>
                <w:sz w:val="16"/>
              </w:rPr>
              <w:t>627.86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B93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B2FC3">
            <w:pPr>
              <w:jc w:val="center"/>
            </w:pPr>
            <w:r>
              <w:rPr>
                <w:rFonts w:ascii="宋体" w:hAnsi="宋体" w:eastAsia="宋体"/>
                <w:sz w:val="16"/>
              </w:rPr>
              <w:t>82.82%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5908E">
            <w:pPr>
              <w:jc w:val="center"/>
            </w:pPr>
            <w:r>
              <w:rPr>
                <w:rFonts w:ascii="宋体" w:hAnsi="宋体" w:eastAsia="宋体"/>
                <w:sz w:val="16"/>
              </w:rPr>
              <w:t>8.28</w:t>
            </w:r>
          </w:p>
        </w:tc>
      </w:tr>
      <w:tr w14:paraId="4FCAFF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6DA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8985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EB8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A96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385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F87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9251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1CFA3">
            <w:pPr>
              <w:jc w:val="center"/>
            </w:pPr>
            <w:r>
              <w:rPr>
                <w:rFonts w:ascii="宋体" w:hAnsi="宋体" w:eastAsia="宋体"/>
                <w:sz w:val="16"/>
              </w:rPr>
              <w:t>—</w:t>
            </w:r>
          </w:p>
        </w:tc>
      </w:tr>
      <w:tr w14:paraId="33BC1C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E49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74A2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2557F">
            <w:pPr>
              <w:jc w:val="center"/>
            </w:pPr>
            <w:r>
              <w:rPr>
                <w:rFonts w:ascii="宋体" w:hAnsi="宋体" w:eastAsia="宋体"/>
                <w:sz w:val="16"/>
              </w:rPr>
              <w:t>303.47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D0BE0">
            <w:pPr>
              <w:jc w:val="center"/>
            </w:pPr>
            <w:r>
              <w:rPr>
                <w:rFonts w:ascii="宋体" w:hAnsi="宋体" w:eastAsia="宋体"/>
                <w:sz w:val="16"/>
              </w:rPr>
              <w:t>758.07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386D9">
            <w:pPr>
              <w:jc w:val="center"/>
            </w:pPr>
            <w:r>
              <w:rPr>
                <w:rFonts w:ascii="宋体" w:hAnsi="宋体" w:eastAsia="宋体"/>
                <w:sz w:val="16"/>
              </w:rPr>
              <w:t>627.86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CB0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FBD7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8EE64">
            <w:pPr>
              <w:jc w:val="center"/>
            </w:pPr>
            <w:r>
              <w:rPr>
                <w:rFonts w:ascii="宋体" w:hAnsi="宋体" w:eastAsia="宋体"/>
                <w:sz w:val="16"/>
              </w:rPr>
              <w:t>—</w:t>
            </w:r>
          </w:p>
        </w:tc>
      </w:tr>
      <w:tr w14:paraId="4ABFD6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2DC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8EF1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F9D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529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8E8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5BE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7AD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59B00">
            <w:pPr>
              <w:jc w:val="center"/>
            </w:pPr>
            <w:r>
              <w:rPr>
                <w:rFonts w:ascii="宋体" w:hAnsi="宋体" w:eastAsia="宋体"/>
                <w:sz w:val="16"/>
              </w:rPr>
              <w:t>—</w:t>
            </w:r>
          </w:p>
        </w:tc>
      </w:tr>
      <w:tr w14:paraId="50AD4B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6307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B42CD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11A0C1">
            <w:pPr>
              <w:jc w:val="center"/>
            </w:pPr>
            <w:r>
              <w:rPr>
                <w:rFonts w:ascii="宋体" w:hAnsi="宋体" w:eastAsia="宋体"/>
                <w:sz w:val="16"/>
              </w:rPr>
              <w:t>实际完成情况</w:t>
            </w:r>
          </w:p>
        </w:tc>
      </w:tr>
      <w:tr w14:paraId="537BC0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2E5D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6F222C">
            <w:pPr>
              <w:jc w:val="both"/>
            </w:pPr>
            <w:r>
              <w:rPr>
                <w:rFonts w:ascii="宋体" w:hAnsi="宋体" w:eastAsia="宋体"/>
                <w:sz w:val="16"/>
              </w:rPr>
              <w:t>"在2023年疏附10个乡镇成立基层消防工作站的基础上，进一步规范乡镇消防站职能作用，定期开展联勤联训联合演练，加大业务指导和督导考核，不断夯实乡镇消防站灭火救援能力；在2023年提请疏附县人民政府颁布的政府令规定“每月15日为全县</w:t>
            </w:r>
            <w:r>
              <w:rPr>
                <w:rFonts w:hint="eastAsia" w:ascii="宋体" w:hAnsi="宋体"/>
                <w:sz w:val="16"/>
                <w:lang w:eastAsia="zh-CN"/>
              </w:rPr>
              <w:t>〈</w:t>
            </w:r>
            <w:r>
              <w:rPr>
                <w:rFonts w:ascii="宋体" w:hAnsi="宋体" w:eastAsia="宋体"/>
                <w:sz w:val="16"/>
              </w:rPr>
              <w:t>安全生产宣传日&gt;”基础上，进一步加大消防宣传力度，充分发挥消防科普教育基地的作用，定期组织党政领导、企事业单位、社会群众来队接受宣传；结合“3·15”消防产品打假宣传、119消防宣传月、安全生产月、防灾减灾周、农村升国旗“三结合”、学国语、文化夜校等时机开展消防安全知识送教活动。""</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r>
              <w:rPr>
                <w:rFonts w:ascii="宋体" w:hAnsi="宋体" w:eastAsia="宋体"/>
                <w:sz w:val="16"/>
              </w:rPr>
              <w:br w:type="textWrapping"/>
            </w:r>
            <w:r>
              <w:rPr>
                <w:rFonts w:ascii="宋体" w:hAnsi="宋体" w:eastAsia="宋体"/>
                <w:sz w:val="16"/>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839FCD">
            <w:pPr>
              <w:jc w:val="both"/>
            </w:pPr>
            <w:r>
              <w:rPr>
                <w:rFonts w:ascii="宋体" w:hAnsi="宋体" w:eastAsia="宋体"/>
                <w:sz w:val="16"/>
              </w:rPr>
              <w:t>我单位在2024年进一步规范乡镇消防站职能作用，完成年度设定目标工作：大队全年接警情任务122起，联合乡镇政府专职队开展辖区重点单位实战化演练次数63次，制作3D灭火救援数字化预案80份，安全隐患排查次数15次，开展大震巨灾应急通信拉动13次，开展地震救援集结4次，定期开展联勤联训联合演练，加大业务指导和督导考核，不断夯实乡镇消防站灭火救援能力；在2023年提请疏附县人民政府颁布的政府令规定“每月15日为全县</w:t>
            </w:r>
            <w:r>
              <w:rPr>
                <w:rFonts w:hint="eastAsia" w:ascii="宋体" w:hAnsi="宋体"/>
                <w:sz w:val="16"/>
                <w:lang w:eastAsia="zh-CN"/>
              </w:rPr>
              <w:t>〈</w:t>
            </w:r>
            <w:r>
              <w:rPr>
                <w:rFonts w:ascii="宋体" w:hAnsi="宋体" w:eastAsia="宋体"/>
                <w:sz w:val="16"/>
              </w:rPr>
              <w:t>安全生产宣传日&gt;”基础上，进一步加大消防宣传力度，充分发挥消防科普教育基地的作用，定期组织党政领导、企事业单位、社会群众来队接受宣传；结合“3·15”消防产品打假宣传、119消防宣传月、安全生产月、防灾减灾周、农村升国旗“三结合”、学国语、文化夜校等时机开展消防安全知识送教活动。</w:t>
            </w:r>
          </w:p>
        </w:tc>
      </w:tr>
      <w:tr w14:paraId="61A800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0FE7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87AE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1F9D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C9CF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F672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9C0C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B17C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87B1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EF429">
            <w:pPr>
              <w:jc w:val="center"/>
            </w:pPr>
            <w:r>
              <w:rPr>
                <w:rFonts w:ascii="宋体" w:hAnsi="宋体" w:eastAsia="宋体"/>
                <w:sz w:val="16"/>
              </w:rPr>
              <w:t>得分</w:t>
            </w:r>
          </w:p>
        </w:tc>
      </w:tr>
      <w:tr w14:paraId="2B8955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87C4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CE39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D244C">
            <w:pPr>
              <w:jc w:val="center"/>
            </w:pPr>
            <w:r>
              <w:rPr>
                <w:rFonts w:ascii="宋体" w:hAnsi="宋体" w:eastAsia="宋体"/>
                <w:sz w:val="16"/>
              </w:rPr>
              <w:t>大队全年接警情任务（起）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BB6E6">
            <w:pPr>
              <w:jc w:val="center"/>
            </w:pPr>
            <w:r>
              <w:rPr>
                <w:rFonts w:ascii="宋体" w:hAnsi="宋体" w:eastAsia="宋体"/>
                <w:sz w:val="16"/>
              </w:rPr>
              <w:t>&gt;=122起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AA406">
            <w:pPr>
              <w:jc w:val="center"/>
            </w:pPr>
            <w:r>
              <w:rPr>
                <w:rFonts w:ascii="宋体" w:hAnsi="宋体" w:eastAsia="宋体"/>
                <w:sz w:val="16"/>
              </w:rPr>
              <w:t>疏附县消防救援大队2023年度工作总结及2024年度工作计划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062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FCBC3">
            <w:pPr>
              <w:jc w:val="center"/>
            </w:pPr>
            <w:r>
              <w:rPr>
                <w:rFonts w:ascii="宋体" w:hAnsi="宋体" w:eastAsia="宋体"/>
                <w:sz w:val="16"/>
              </w:rPr>
              <w:t>122起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2C6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D2B13">
            <w:pPr>
              <w:jc w:val="center"/>
            </w:pPr>
            <w:r>
              <w:rPr>
                <w:rFonts w:ascii="宋体" w:hAnsi="宋体" w:eastAsia="宋体"/>
                <w:sz w:val="16"/>
              </w:rPr>
              <w:t>15</w:t>
            </w:r>
          </w:p>
        </w:tc>
      </w:tr>
      <w:tr w14:paraId="63F8A3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5EB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E9E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90060">
            <w:pPr>
              <w:jc w:val="center"/>
            </w:pPr>
            <w:r>
              <w:rPr>
                <w:rFonts w:ascii="宋体" w:hAnsi="宋体" w:eastAsia="宋体"/>
                <w:sz w:val="16"/>
              </w:rPr>
              <w:t>联合乡镇政府专职队开展辖区重点单位实战化演练次数（次）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214D3">
            <w:pPr>
              <w:jc w:val="center"/>
            </w:pPr>
            <w:r>
              <w:rPr>
                <w:rFonts w:ascii="宋体" w:hAnsi="宋体" w:eastAsia="宋体"/>
                <w:sz w:val="16"/>
              </w:rPr>
              <w:t>&gt;=63次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47092">
            <w:pPr>
              <w:jc w:val="center"/>
            </w:pPr>
            <w:r>
              <w:rPr>
                <w:rFonts w:ascii="宋体" w:hAnsi="宋体" w:eastAsia="宋体"/>
                <w:sz w:val="16"/>
              </w:rPr>
              <w:t>疏附县消防救援大队2023年度工作总结及2024年度工作计划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DD6F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1BBE0">
            <w:pPr>
              <w:jc w:val="center"/>
            </w:pPr>
            <w:r>
              <w:rPr>
                <w:rFonts w:ascii="宋体" w:hAnsi="宋体" w:eastAsia="宋体"/>
                <w:sz w:val="16"/>
              </w:rPr>
              <w:t>63次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A69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C7ADB">
            <w:pPr>
              <w:jc w:val="center"/>
            </w:pPr>
            <w:r>
              <w:rPr>
                <w:rFonts w:ascii="宋体" w:hAnsi="宋体" w:eastAsia="宋体"/>
                <w:sz w:val="16"/>
              </w:rPr>
              <w:t>15</w:t>
            </w:r>
          </w:p>
        </w:tc>
      </w:tr>
      <w:tr w14:paraId="58F44B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F4D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7B2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3EABE">
            <w:pPr>
              <w:jc w:val="center"/>
            </w:pPr>
            <w:r>
              <w:rPr>
                <w:rFonts w:ascii="宋体" w:hAnsi="宋体" w:eastAsia="宋体"/>
                <w:sz w:val="16"/>
              </w:rPr>
              <w:t>制作3D灭火救援数字化预案（份）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B18D2">
            <w:pPr>
              <w:jc w:val="center"/>
            </w:pPr>
            <w:r>
              <w:rPr>
                <w:rFonts w:ascii="宋体" w:hAnsi="宋体" w:eastAsia="宋体"/>
                <w:sz w:val="16"/>
              </w:rPr>
              <w:t>&gt;=80份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D3C99">
            <w:pPr>
              <w:jc w:val="center"/>
            </w:pPr>
            <w:r>
              <w:rPr>
                <w:rFonts w:ascii="宋体" w:hAnsi="宋体" w:eastAsia="宋体"/>
                <w:sz w:val="16"/>
              </w:rPr>
              <w:t>疏附县消防救援大队2023年度工作总结及2024年度工作计划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B2A8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02DA1">
            <w:pPr>
              <w:jc w:val="center"/>
            </w:pPr>
            <w:r>
              <w:rPr>
                <w:rFonts w:ascii="宋体" w:hAnsi="宋体" w:eastAsia="宋体"/>
                <w:sz w:val="16"/>
              </w:rPr>
              <w:t>80份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C58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AC88C">
            <w:pPr>
              <w:jc w:val="center"/>
            </w:pPr>
            <w:r>
              <w:rPr>
                <w:rFonts w:ascii="宋体" w:hAnsi="宋体" w:eastAsia="宋体"/>
                <w:sz w:val="16"/>
              </w:rPr>
              <w:t>15</w:t>
            </w:r>
          </w:p>
        </w:tc>
      </w:tr>
      <w:tr w14:paraId="01852D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1E1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40C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F196F">
            <w:pPr>
              <w:jc w:val="center"/>
            </w:pPr>
            <w:r>
              <w:rPr>
                <w:rFonts w:ascii="宋体" w:hAnsi="宋体" w:eastAsia="宋体"/>
                <w:sz w:val="16"/>
              </w:rPr>
              <w:t>安全隐患排查次数（次）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9A48">
            <w:pPr>
              <w:jc w:val="center"/>
            </w:pPr>
            <w:r>
              <w:rPr>
                <w:rFonts w:ascii="宋体" w:hAnsi="宋体" w:eastAsia="宋体"/>
                <w:sz w:val="16"/>
              </w:rPr>
              <w:t>&gt;=15次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A8561">
            <w:pPr>
              <w:jc w:val="center"/>
            </w:pPr>
            <w:r>
              <w:rPr>
                <w:rFonts w:ascii="宋体" w:hAnsi="宋体" w:eastAsia="宋体"/>
                <w:sz w:val="16"/>
              </w:rPr>
              <w:t>疏附县消防救援大队2023年度工作总结及2024年度工作计划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36FC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6735C">
            <w:pPr>
              <w:jc w:val="center"/>
            </w:pPr>
            <w:r>
              <w:rPr>
                <w:rFonts w:ascii="宋体" w:hAnsi="宋体" w:eastAsia="宋体"/>
                <w:sz w:val="16"/>
              </w:rPr>
              <w:t>14次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8DBED">
            <w:pPr>
              <w:jc w:val="center"/>
            </w:pPr>
            <w:r>
              <w:rPr>
                <w:rFonts w:ascii="宋体" w:hAnsi="宋体" w:eastAsia="宋体"/>
                <w:sz w:val="16"/>
              </w:rPr>
              <w:t>93.33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13C7A">
            <w:pPr>
              <w:jc w:val="center"/>
            </w:pPr>
            <w:r>
              <w:rPr>
                <w:rFonts w:ascii="宋体" w:hAnsi="宋体" w:eastAsia="宋体"/>
                <w:sz w:val="16"/>
              </w:rPr>
              <w:t>13.95</w:t>
            </w:r>
          </w:p>
        </w:tc>
      </w:tr>
      <w:tr w14:paraId="0DF007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AC9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ED4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21666">
            <w:pPr>
              <w:jc w:val="center"/>
            </w:pPr>
            <w:r>
              <w:rPr>
                <w:rFonts w:ascii="宋体" w:hAnsi="宋体" w:eastAsia="宋体"/>
                <w:sz w:val="16"/>
              </w:rPr>
              <w:t>开展大震巨灾应急通信拉动（次）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0096F">
            <w:pPr>
              <w:jc w:val="center"/>
            </w:pPr>
            <w:r>
              <w:rPr>
                <w:rFonts w:ascii="宋体" w:hAnsi="宋体" w:eastAsia="宋体"/>
                <w:sz w:val="16"/>
              </w:rPr>
              <w:t>&gt;=13次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62880">
            <w:pPr>
              <w:jc w:val="center"/>
            </w:pPr>
            <w:r>
              <w:rPr>
                <w:rFonts w:ascii="宋体" w:hAnsi="宋体" w:eastAsia="宋体"/>
                <w:sz w:val="16"/>
              </w:rPr>
              <w:t>疏附县消防救援大队2023年度工作总结及2024年度工作计划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6069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8857F">
            <w:pPr>
              <w:jc w:val="center"/>
            </w:pPr>
            <w:r>
              <w:rPr>
                <w:rFonts w:ascii="宋体" w:hAnsi="宋体" w:eastAsia="宋体"/>
                <w:sz w:val="16"/>
              </w:rPr>
              <w: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AE5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D5700">
            <w:pPr>
              <w:jc w:val="center"/>
            </w:pPr>
            <w:r>
              <w:rPr>
                <w:rFonts w:ascii="宋体" w:hAnsi="宋体" w:eastAsia="宋体"/>
                <w:sz w:val="16"/>
              </w:rPr>
              <w:t>15</w:t>
            </w:r>
          </w:p>
        </w:tc>
      </w:tr>
      <w:tr w14:paraId="2B595E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696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6EE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79D21">
            <w:pPr>
              <w:jc w:val="center"/>
            </w:pPr>
            <w:r>
              <w:rPr>
                <w:rFonts w:ascii="宋体" w:hAnsi="宋体" w:eastAsia="宋体"/>
                <w:sz w:val="16"/>
              </w:rPr>
              <w:t>开展地震救援集结（次）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2105F">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2ED3B">
            <w:pPr>
              <w:jc w:val="center"/>
            </w:pPr>
            <w:r>
              <w:rPr>
                <w:rFonts w:ascii="宋体" w:hAnsi="宋体" w:eastAsia="宋体"/>
                <w:sz w:val="16"/>
              </w:rPr>
              <w:t>疏附县消防救援大队2023年度工作总结及2024年度工作计划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1B8C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9B9D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2A8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D058A">
            <w:pPr>
              <w:jc w:val="center"/>
            </w:pPr>
            <w:r>
              <w:rPr>
                <w:rFonts w:ascii="宋体" w:hAnsi="宋体" w:eastAsia="宋体"/>
                <w:sz w:val="16"/>
              </w:rPr>
              <w:t>15</w:t>
            </w:r>
          </w:p>
        </w:tc>
      </w:tr>
    </w:tbl>
    <w:p w14:paraId="4E849DBB">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776"/>
        <w:gridCol w:w="616"/>
        <w:gridCol w:w="626"/>
        <w:gridCol w:w="621"/>
        <w:gridCol w:w="616"/>
        <w:gridCol w:w="616"/>
        <w:gridCol w:w="776"/>
        <w:gridCol w:w="633"/>
        <w:gridCol w:w="599"/>
        <w:gridCol w:w="627"/>
      </w:tblGrid>
      <w:tr w14:paraId="27C8C887">
        <w:tblPrEx>
          <w:tblCellMar>
            <w:top w:w="0" w:type="dxa"/>
            <w:left w:w="108" w:type="dxa"/>
            <w:bottom w:w="0" w:type="dxa"/>
            <w:right w:w="108" w:type="dxa"/>
          </w:tblCellMar>
        </w:tblPrEx>
        <w:tc>
          <w:tcPr>
            <w:tcW w:w="8848" w:type="dxa"/>
            <w:gridSpan w:val="14"/>
            <w:vAlign w:val="center"/>
          </w:tcPr>
          <w:p w14:paraId="6408BC7E">
            <w:pPr>
              <w:jc w:val="center"/>
            </w:pPr>
            <w:r>
              <w:rPr>
                <w:rFonts w:ascii="宋体" w:hAnsi="宋体" w:eastAsia="宋体"/>
                <w:sz w:val="24"/>
              </w:rPr>
              <w:t>项目支出绩效自评表</w:t>
            </w:r>
          </w:p>
        </w:tc>
      </w:tr>
      <w:tr w14:paraId="4511591B">
        <w:tblPrEx>
          <w:tblCellMar>
            <w:top w:w="0" w:type="dxa"/>
            <w:left w:w="108" w:type="dxa"/>
            <w:bottom w:w="0" w:type="dxa"/>
            <w:right w:w="108" w:type="dxa"/>
          </w:tblCellMar>
        </w:tblPrEx>
        <w:tc>
          <w:tcPr>
            <w:tcW w:w="8848" w:type="dxa"/>
            <w:gridSpan w:val="14"/>
            <w:vAlign w:val="center"/>
          </w:tcPr>
          <w:p w14:paraId="44566352">
            <w:pPr>
              <w:jc w:val="center"/>
            </w:pPr>
            <w:r>
              <w:rPr>
                <w:rFonts w:ascii="宋体" w:hAnsi="宋体" w:eastAsia="宋体"/>
                <w:sz w:val="24"/>
              </w:rPr>
              <w:t>(2024年度)</w:t>
            </w:r>
          </w:p>
        </w:tc>
      </w:tr>
      <w:tr w14:paraId="2EAE21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83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A98AE2">
            <w:pPr>
              <w:jc w:val="center"/>
            </w:pPr>
            <w:r>
              <w:rPr>
                <w:rFonts w:ascii="宋体" w:hAnsi="宋体" w:eastAsia="宋体"/>
                <w:sz w:val="16"/>
              </w:rPr>
              <w:t>2024年度消防业务经费项目</w:t>
            </w:r>
          </w:p>
        </w:tc>
      </w:tr>
      <w:tr w14:paraId="5DD868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00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CE53BC">
            <w:pPr>
              <w:jc w:val="center"/>
            </w:pPr>
            <w:r>
              <w:rPr>
                <w:rFonts w:ascii="宋体" w:hAnsi="宋体" w:eastAsia="宋体"/>
                <w:sz w:val="16"/>
              </w:rPr>
              <w:t>新疆维吾尔自治区消防救援总队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58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0549FD">
            <w:pPr>
              <w:jc w:val="center"/>
            </w:pPr>
            <w:r>
              <w:rPr>
                <w:rFonts w:ascii="宋体" w:hAnsi="宋体" w:eastAsia="宋体"/>
                <w:sz w:val="16"/>
              </w:rPr>
              <w:t>新疆喀什地区疏附县消防救援大队</w:t>
            </w:r>
          </w:p>
        </w:tc>
      </w:tr>
      <w:tr w14:paraId="5D35EB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EF8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088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941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6CB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38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496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7CD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DA87">
            <w:pPr>
              <w:jc w:val="center"/>
            </w:pPr>
            <w:r>
              <w:rPr>
                <w:rFonts w:ascii="宋体" w:hAnsi="宋体" w:eastAsia="宋体"/>
                <w:sz w:val="16"/>
              </w:rPr>
              <w:t>得分</w:t>
            </w:r>
          </w:p>
        </w:tc>
      </w:tr>
      <w:tr w14:paraId="364A22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F34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D6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D8569">
            <w:pPr>
              <w:jc w:val="center"/>
            </w:pPr>
            <w:r>
              <w:rPr>
                <w:rFonts w:ascii="宋体" w:hAnsi="宋体" w:eastAsia="宋体"/>
                <w:sz w:val="16"/>
              </w:rPr>
              <w:t>284.48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30BF0">
            <w:pPr>
              <w:jc w:val="center"/>
            </w:pPr>
            <w:r>
              <w:rPr>
                <w:rFonts w:ascii="宋体" w:hAnsi="宋体" w:eastAsia="宋体"/>
                <w:sz w:val="16"/>
              </w:rPr>
              <w:t>279.10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AB34">
            <w:pPr>
              <w:jc w:val="center"/>
            </w:pPr>
            <w:r>
              <w:rPr>
                <w:rFonts w:ascii="宋体" w:hAnsi="宋体" w:eastAsia="宋体"/>
                <w:sz w:val="16"/>
              </w:rPr>
              <w:t>166.68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FA6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F2273">
            <w:pPr>
              <w:jc w:val="center"/>
            </w:pPr>
            <w:r>
              <w:rPr>
                <w:rFonts w:ascii="宋体" w:hAnsi="宋体" w:eastAsia="宋体"/>
                <w:sz w:val="16"/>
              </w:rPr>
              <w:t>59.72%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EAF4">
            <w:pPr>
              <w:jc w:val="center"/>
            </w:pPr>
            <w:r>
              <w:rPr>
                <w:rFonts w:ascii="宋体" w:hAnsi="宋体" w:eastAsia="宋体"/>
                <w:sz w:val="16"/>
              </w:rPr>
              <w:t>0.00分</w:t>
            </w:r>
          </w:p>
        </w:tc>
      </w:tr>
      <w:tr w14:paraId="5B34E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A92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205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75E88">
            <w:pPr>
              <w:jc w:val="center"/>
            </w:pPr>
            <w:r>
              <w:rPr>
                <w:rFonts w:ascii="宋体" w:hAnsi="宋体" w:eastAsia="宋体"/>
                <w:sz w:val="16"/>
              </w:rPr>
              <w:t>284.48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FBA7">
            <w:pPr>
              <w:jc w:val="center"/>
            </w:pPr>
            <w:r>
              <w:rPr>
                <w:rFonts w:ascii="宋体" w:hAnsi="宋体" w:eastAsia="宋体"/>
                <w:sz w:val="16"/>
              </w:rPr>
              <w:t>279.10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B88F2">
            <w:pPr>
              <w:jc w:val="center"/>
            </w:pPr>
            <w:r>
              <w:rPr>
                <w:rFonts w:ascii="宋体" w:hAnsi="宋体" w:eastAsia="宋体"/>
                <w:sz w:val="16"/>
              </w:rPr>
              <w:t>166.68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EBC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4B7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C38C">
            <w:pPr>
              <w:jc w:val="center"/>
            </w:pPr>
            <w:r>
              <w:rPr>
                <w:rFonts w:ascii="宋体" w:hAnsi="宋体" w:eastAsia="宋体"/>
                <w:sz w:val="16"/>
              </w:rPr>
              <w:t>—</w:t>
            </w:r>
          </w:p>
        </w:tc>
      </w:tr>
      <w:tr w14:paraId="3251F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466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42F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006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188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7A1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31B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BBE0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8AF0">
            <w:pPr>
              <w:jc w:val="center"/>
            </w:pPr>
            <w:r>
              <w:rPr>
                <w:rFonts w:ascii="宋体" w:hAnsi="宋体" w:eastAsia="宋体"/>
                <w:sz w:val="16"/>
              </w:rPr>
              <w:t>—</w:t>
            </w:r>
          </w:p>
        </w:tc>
      </w:tr>
      <w:tr w14:paraId="359BD4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9FB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4CFA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165202">
            <w:pPr>
              <w:jc w:val="center"/>
            </w:pPr>
            <w:r>
              <w:rPr>
                <w:rFonts w:ascii="宋体" w:hAnsi="宋体" w:eastAsia="宋体"/>
                <w:sz w:val="16"/>
              </w:rPr>
              <w:t>实际完成情况</w:t>
            </w:r>
          </w:p>
        </w:tc>
      </w:tr>
      <w:tr w14:paraId="14B9D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5E7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E61DA2">
            <w:pPr>
              <w:jc w:val="both"/>
            </w:pPr>
            <w:r>
              <w:rPr>
                <w:rFonts w:ascii="宋体" w:hAnsi="宋体" w:eastAsia="宋体"/>
                <w:sz w:val="16"/>
              </w:rPr>
              <w:t>我单位2024年消防业务经费项目，保障我单位53名消防救援人员的日常业务经费180.12万元</w:t>
            </w:r>
            <w:bookmarkStart w:id="0" w:name="_GoBack"/>
            <w:r>
              <w:rPr>
                <w:rFonts w:ascii="宋体" w:hAnsi="宋体" w:eastAsia="宋体"/>
                <w:sz w:val="16"/>
              </w:rPr>
              <w:t>,</w:t>
            </w:r>
            <w:bookmarkEnd w:id="0"/>
            <w:r>
              <w:rPr>
                <w:rFonts w:ascii="宋体" w:hAnsi="宋体" w:eastAsia="宋体"/>
                <w:sz w:val="16"/>
              </w:rPr>
              <w:t>29名政府专职人员的伙食经费75.58万元，29名政府专职消防员及文员的高危补助23.4万元，保障我单位</w:t>
            </w:r>
            <w:r>
              <w:rPr>
                <w:rFonts w:hint="eastAsia" w:ascii="宋体" w:hAnsi="宋体"/>
                <w:sz w:val="16"/>
                <w:lang w:eastAsia="zh-CN"/>
              </w:rPr>
              <w:t>人员</w:t>
            </w:r>
            <w:r>
              <w:rPr>
                <w:rFonts w:ascii="宋体" w:hAnsi="宋体" w:eastAsia="宋体"/>
                <w:sz w:val="16"/>
              </w:rPr>
              <w:t>日常灭火救援，防火监督检查，后勤保障等工作的有序进行，以此提升我大队消防救援人员的专业水平，保障我单位日常工作的正常运转。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DF5DE0">
            <w:pPr>
              <w:jc w:val="both"/>
            </w:pPr>
            <w:r>
              <w:rPr>
                <w:rFonts w:hint="eastAsia" w:ascii="宋体" w:hAnsi="宋体"/>
                <w:sz w:val="16"/>
                <w:lang w:eastAsia="zh-CN"/>
              </w:rPr>
              <w:t>截至</w:t>
            </w:r>
            <w:r>
              <w:rPr>
                <w:rFonts w:ascii="宋体" w:hAnsi="宋体" w:eastAsia="宋体"/>
                <w:sz w:val="16"/>
              </w:rPr>
              <w:t>2024年12月31日，本项目预算数为279.1万元，执行数为166.68万元，预算执行率为59.7%。已完成保障我单位53名消防救援人员的日常业务经费137.87万元,28名政府专职人员的伙食经费28.81万元，28名政府专职消防员及文员的高危补助23.4万元暂未拨付。</w:t>
            </w:r>
          </w:p>
        </w:tc>
      </w:tr>
      <w:tr w14:paraId="61F98E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729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63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29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6D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DD7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19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29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62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79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1C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B5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87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7C463">
            <w:pPr>
              <w:jc w:val="center"/>
            </w:pPr>
            <w:r>
              <w:rPr>
                <w:rFonts w:ascii="宋体" w:hAnsi="宋体" w:eastAsia="宋体"/>
                <w:sz w:val="16"/>
              </w:rPr>
              <w:t>偏差原因分析及改进措施</w:t>
            </w:r>
          </w:p>
        </w:tc>
      </w:tr>
      <w:tr w14:paraId="559CDC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C48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8CA2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E3D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28EC">
            <w:pPr>
              <w:jc w:val="center"/>
            </w:pPr>
            <w:r>
              <w:rPr>
                <w:rFonts w:ascii="宋体" w:hAnsi="宋体" w:eastAsia="宋体"/>
                <w:sz w:val="16"/>
              </w:rPr>
              <w:t>保障消防救援人员人数（人）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AD34">
            <w:pPr>
              <w:jc w:val="center"/>
            </w:pPr>
            <w:r>
              <w:rPr>
                <w:rFonts w:ascii="宋体" w:hAnsi="宋体" w:eastAsia="宋体"/>
                <w:sz w:val="16"/>
              </w:rPr>
              <w:t>&gt;=53人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0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FEF6">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FE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8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1A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86D9">
            <w:pPr>
              <w:jc w:val="center"/>
            </w:pPr>
            <w:r>
              <w:rPr>
                <w:rFonts w:ascii="宋体" w:hAnsi="宋体" w:eastAsia="宋体"/>
                <w:sz w:val="16"/>
              </w:rPr>
              <w: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587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F12C2">
            <w:pPr>
              <w:jc w:val="center"/>
            </w:pPr>
          </w:p>
        </w:tc>
      </w:tr>
      <w:tr w14:paraId="5EB10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050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10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6A0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5554">
            <w:pPr>
              <w:jc w:val="center"/>
            </w:pPr>
            <w:r>
              <w:rPr>
                <w:rFonts w:ascii="宋体" w:hAnsi="宋体" w:eastAsia="宋体"/>
                <w:sz w:val="16"/>
              </w:rPr>
              <w:t>人员伙食补助人数（人）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D042">
            <w:pPr>
              <w:jc w:val="center"/>
            </w:pPr>
            <w:r>
              <w:rPr>
                <w:rFonts w:ascii="宋体" w:hAnsi="宋体" w:eastAsia="宋体"/>
                <w:sz w:val="16"/>
              </w:rPr>
              <w:t>&gt;=29人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4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92A5">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FF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D35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6D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40F8">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584A">
            <w:pPr>
              <w:jc w:val="center"/>
            </w:pPr>
            <w:r>
              <w:rPr>
                <w:rFonts w:ascii="宋体" w:hAnsi="宋体" w:eastAsia="宋体"/>
                <w:sz w:val="16"/>
              </w:rPr>
              <w:t>7.31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EF80A">
            <w:pPr>
              <w:jc w:val="center"/>
            </w:pPr>
            <w:r>
              <w:rPr>
                <w:rFonts w:ascii="宋体" w:hAnsi="宋体" w:eastAsia="宋体"/>
                <w:sz w:val="16"/>
              </w:rPr>
              <w:t>偏差原因：因保障人数减少1人，出现偏差。整改措施：后期加强预算的精准性。</w:t>
            </w:r>
          </w:p>
        </w:tc>
      </w:tr>
      <w:tr w14:paraId="75680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4B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54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AB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E38A">
            <w:pPr>
              <w:jc w:val="center"/>
            </w:pPr>
            <w:r>
              <w:rPr>
                <w:rFonts w:ascii="宋体" w:hAnsi="宋体" w:eastAsia="宋体"/>
                <w:sz w:val="16"/>
              </w:rPr>
              <w:t>政府专职高危补助人数（人）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7095">
            <w:pPr>
              <w:jc w:val="center"/>
            </w:pPr>
            <w:r>
              <w:rPr>
                <w:rFonts w:ascii="宋体" w:hAnsi="宋体" w:eastAsia="宋体"/>
                <w:sz w:val="16"/>
              </w:rPr>
              <w:t>&gt;=29人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0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616F">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40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7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A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098A">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6C18">
            <w:pPr>
              <w:jc w:val="center"/>
            </w:pPr>
            <w:r>
              <w:rPr>
                <w:rFonts w:ascii="宋体" w:hAnsi="宋体" w:eastAsia="宋体"/>
                <w:sz w:val="16"/>
              </w:rPr>
              <w:t>7.31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62360">
            <w:pPr>
              <w:jc w:val="center"/>
            </w:pPr>
            <w:r>
              <w:rPr>
                <w:rFonts w:ascii="宋体" w:hAnsi="宋体" w:eastAsia="宋体"/>
                <w:sz w:val="16"/>
              </w:rPr>
              <w:t>偏差原因：因保障人数减少1人，出现偏差。整改措施：后期加强预算的精准性</w:t>
            </w:r>
          </w:p>
        </w:tc>
      </w:tr>
      <w:tr w14:paraId="345FF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DF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99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2E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7C31">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3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9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5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B5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EB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C5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7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06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5B341">
            <w:pPr>
              <w:jc w:val="center"/>
            </w:pPr>
          </w:p>
        </w:tc>
      </w:tr>
      <w:tr w14:paraId="141E4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31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8D7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2D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F68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B21F">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D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8949">
            <w:pPr>
              <w:jc w:val="center"/>
            </w:pPr>
            <w:r>
              <w:rPr>
                <w:rFonts w:ascii="宋体" w:hAnsi="宋体" w:eastAsia="宋体"/>
                <w:sz w:val="16"/>
              </w:rPr>
              <w:t>2023年12月23日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71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9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9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5A9C">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2A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75F83">
            <w:pPr>
              <w:jc w:val="center"/>
            </w:pPr>
          </w:p>
        </w:tc>
      </w:tr>
      <w:tr w14:paraId="5648A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D8E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737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1C7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44AF">
            <w:pPr>
              <w:jc w:val="center"/>
            </w:pPr>
            <w:r>
              <w:rPr>
                <w:rFonts w:ascii="宋体" w:hAnsi="宋体" w:eastAsia="宋体"/>
                <w:sz w:val="16"/>
              </w:rPr>
              <w:t>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0B17">
            <w:pPr>
              <w:jc w:val="center"/>
            </w:pPr>
            <w:r>
              <w:rPr>
                <w:rFonts w:ascii="宋体" w:hAnsi="宋体" w:eastAsia="宋体"/>
                <w:sz w:val="16"/>
              </w:rPr>
              <w:t>&lt;=185.5万元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BD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B5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28C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AD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A8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C088">
            <w:pPr>
              <w:jc w:val="center"/>
            </w:pPr>
            <w:r>
              <w:rPr>
                <w:rFonts w:ascii="宋体" w:hAnsi="宋体" w:eastAsia="宋体"/>
                <w:sz w:val="16"/>
              </w:rPr>
              <w:t>=137.87万元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0F93">
            <w:pPr>
              <w:jc w:val="center"/>
            </w:pPr>
            <w:r>
              <w:rPr>
                <w:rFonts w:ascii="宋体" w:hAnsi="宋体" w:eastAsia="宋体"/>
                <w:sz w:val="16"/>
              </w:rPr>
              <w:t>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10DBB">
            <w:pPr>
              <w:jc w:val="center"/>
            </w:pPr>
            <w:r>
              <w:rPr>
                <w:rFonts w:ascii="宋体" w:hAnsi="宋体" w:eastAsia="宋体"/>
                <w:sz w:val="16"/>
              </w:rPr>
              <w:t>偏差原因：部分政策进度较慢，资金拨付进度滞后，部门资金整体执行率缓慢，导致出现负偏差。整改措施：按照实际情况积极推进项目实施。</w:t>
            </w:r>
          </w:p>
        </w:tc>
      </w:tr>
      <w:tr w14:paraId="4A021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22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D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27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FB73">
            <w:pPr>
              <w:jc w:val="center"/>
            </w:pPr>
            <w:r>
              <w:rPr>
                <w:rFonts w:ascii="宋体" w:hAnsi="宋体" w:eastAsia="宋体"/>
                <w:sz w:val="16"/>
              </w:rPr>
              <w:t>人员伙食补助（万元）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C7F8">
            <w:pPr>
              <w:jc w:val="center"/>
            </w:pPr>
            <w:r>
              <w:rPr>
                <w:rFonts w:ascii="宋体" w:hAnsi="宋体" w:eastAsia="宋体"/>
                <w:sz w:val="16"/>
              </w:rPr>
              <w:t>&lt;=75.58万元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DA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20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A0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8D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D9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7EC4">
            <w:pPr>
              <w:jc w:val="center"/>
            </w:pPr>
            <w:r>
              <w:rPr>
                <w:rFonts w:ascii="宋体" w:hAnsi="宋体" w:eastAsia="宋体"/>
                <w:sz w:val="16"/>
              </w:rPr>
              <w:t>=28.81万元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DFB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EA029">
            <w:pPr>
              <w:jc w:val="center"/>
            </w:pPr>
            <w:r>
              <w:rPr>
                <w:rFonts w:ascii="宋体" w:hAnsi="宋体" w:eastAsia="宋体"/>
                <w:sz w:val="16"/>
              </w:rPr>
              <w:t>偏差原因：部分政策进度较慢，资金拨付进度滞后，部门资金整体执行率缓慢，导致出现负偏差。整改措施：按照实际情况积极推进项目实施。</w:t>
            </w:r>
          </w:p>
        </w:tc>
      </w:tr>
      <w:tr w14:paraId="250B9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D3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27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0D7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8D0B">
            <w:pPr>
              <w:jc w:val="center"/>
            </w:pPr>
            <w:r>
              <w:rPr>
                <w:rFonts w:ascii="宋体" w:hAnsi="宋体" w:eastAsia="宋体"/>
                <w:sz w:val="16"/>
              </w:rPr>
              <w:t>政府专职人员高危补助（万元）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B3EB">
            <w:pPr>
              <w:jc w:val="center"/>
            </w:pPr>
            <w:r>
              <w:rPr>
                <w:rFonts w:ascii="宋体" w:hAnsi="宋体" w:eastAsia="宋体"/>
                <w:sz w:val="16"/>
              </w:rPr>
              <w:t>&lt;=23.4万元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AB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89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34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BF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E6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210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372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6D864">
            <w:pPr>
              <w:jc w:val="center"/>
            </w:pPr>
            <w:r>
              <w:rPr>
                <w:rFonts w:ascii="宋体" w:hAnsi="宋体" w:eastAsia="宋体"/>
                <w:sz w:val="16"/>
              </w:rPr>
              <w:t>偏差原因：部分政策进度较慢，资金拨付进度滞后，部门资金整体执行率缓慢，导致出现负偏差。整改措施：按照实际情况积极推进项目实施。</w:t>
            </w:r>
          </w:p>
        </w:tc>
      </w:tr>
      <w:tr w14:paraId="1B0FA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02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62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24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6989">
            <w:pPr>
              <w:jc w:val="center"/>
            </w:pPr>
            <w:r>
              <w:rPr>
                <w:rFonts w:ascii="宋体" w:hAnsi="宋体" w:eastAsia="宋体"/>
                <w:sz w:val="16"/>
              </w:rPr>
              <w:t>提升消防救援人员专技水平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0A7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10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038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29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76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3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C8A8">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465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ABC88">
            <w:pPr>
              <w:jc w:val="center"/>
            </w:pPr>
            <w:r>
              <w:rPr>
                <w:rFonts w:ascii="宋体" w:hAnsi="宋体" w:eastAsia="宋体"/>
                <w:sz w:val="16"/>
              </w:rPr>
              <w:t>偏差原因：因项目未完成，提升消防救援人员技术水平未提高。整改措施：后期加强人员培训力度，提升消防救援人员专业技术水平。</w:t>
            </w:r>
          </w:p>
        </w:tc>
      </w:tr>
      <w:tr w14:paraId="32363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C9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41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FD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7ACE">
            <w:pPr>
              <w:jc w:val="center"/>
            </w:pPr>
            <w:r>
              <w:rPr>
                <w:rFonts w:ascii="宋体" w:hAnsi="宋体" w:eastAsia="宋体"/>
                <w:sz w:val="16"/>
              </w:rPr>
              <w:t>消防救援人员满意度（%）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67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9E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AC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9B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F8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D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E7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76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A78FB">
            <w:pPr>
              <w:jc w:val="center"/>
            </w:pPr>
            <w:r>
              <w:rPr>
                <w:rFonts w:ascii="宋体" w:hAnsi="宋体" w:eastAsia="宋体"/>
                <w:sz w:val="16"/>
              </w:rPr>
              <w:t>偏差原因：部分政策进度较慢，资金拨付进度滞后，部门资金整体执行率缓慢，导致出现负偏差。整改措施：按照实际情况积极推进项目实施。</w:t>
            </w:r>
          </w:p>
        </w:tc>
      </w:tr>
      <w:tr w14:paraId="13AA131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A2A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BF3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461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404F">
            <w:pPr>
              <w:jc w:val="center"/>
            </w:pPr>
            <w:r>
              <w:rPr>
                <w:rFonts w:ascii="宋体" w:hAnsi="宋体" w:eastAsia="宋体"/>
                <w:sz w:val="16"/>
              </w:rPr>
              <w:t>47.39分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FC8DEAE"/>
        </w:tc>
      </w:tr>
    </w:tbl>
    <w:p w14:paraId="0D5E826D">
      <w:r>
        <w:br w:type="page"/>
      </w:r>
    </w:p>
    <w:p w14:paraId="2B3DBCDD">
      <w:pPr>
        <w:spacing w:line="640" w:lineRule="exact"/>
        <w:ind w:firstLine="640"/>
        <w:jc w:val="both"/>
        <w:outlineLvl w:val="2"/>
      </w:pPr>
      <w:r>
        <w:rPr>
          <w:rFonts w:ascii="黑体" w:hAnsi="黑体" w:eastAsia="黑体"/>
          <w:sz w:val="32"/>
        </w:rPr>
        <w:t>十二、其他需说明的事项</w:t>
      </w:r>
    </w:p>
    <w:p w14:paraId="00864349">
      <w:pPr>
        <w:spacing w:line="580" w:lineRule="exact"/>
        <w:ind w:firstLine="640"/>
        <w:jc w:val="both"/>
      </w:pPr>
      <w:r>
        <w:rPr>
          <w:rFonts w:hint="eastAsia" w:ascii="仿宋_GB2312" w:hAnsi="仿宋_GB2312" w:eastAsia="仿宋_GB2312"/>
          <w:b w:val="0"/>
          <w:sz w:val="32"/>
          <w:lang w:val="en-US" w:eastAsia="zh-CN"/>
        </w:rPr>
        <w:t>本</w:t>
      </w:r>
      <w:r>
        <w:rPr>
          <w:rFonts w:ascii="仿宋_GB2312" w:hAnsi="仿宋_GB2312" w:eastAsia="仿宋_GB2312"/>
          <w:b w:val="0"/>
          <w:sz w:val="32"/>
        </w:rPr>
        <w:t>单位无其他需说明的事项。</w:t>
      </w:r>
    </w:p>
    <w:p w14:paraId="0FD3E0B7">
      <w:r>
        <w:br w:type="page"/>
      </w:r>
    </w:p>
    <w:p w14:paraId="11E3B9E0">
      <w:pPr>
        <w:spacing w:line="240" w:lineRule="auto"/>
        <w:jc w:val="center"/>
        <w:outlineLvl w:val="1"/>
      </w:pPr>
      <w:r>
        <w:rPr>
          <w:rFonts w:ascii="黑体" w:hAnsi="黑体" w:eastAsia="黑体"/>
          <w:sz w:val="32"/>
        </w:rPr>
        <w:t>第三部分 专业名词解释</w:t>
      </w:r>
    </w:p>
    <w:p w14:paraId="6C26484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B311BC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7F6D68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1072AB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D7F99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0A0300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149FEF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962D01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5FBB6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6AF72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DB62EC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C6815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7D7C61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FDEB9F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EDEAC3">
      <w:r>
        <w:br w:type="page"/>
      </w:r>
    </w:p>
    <w:p w14:paraId="6444F1E0">
      <w:pPr>
        <w:spacing w:line="240" w:lineRule="auto"/>
        <w:jc w:val="center"/>
        <w:outlineLvl w:val="1"/>
      </w:pPr>
      <w:r>
        <w:rPr>
          <w:rFonts w:ascii="黑体" w:hAnsi="黑体" w:eastAsia="黑体"/>
          <w:sz w:val="32"/>
        </w:rPr>
        <w:t>第四部分 部门决算报表（见附表）</w:t>
      </w:r>
    </w:p>
    <w:p w14:paraId="4E17A2EC">
      <w:pPr>
        <w:spacing w:line="240" w:lineRule="auto"/>
        <w:ind w:firstLine="640"/>
        <w:jc w:val="both"/>
      </w:pPr>
      <w:r>
        <w:rPr>
          <w:rFonts w:ascii="仿宋_GB2312" w:hAnsi="仿宋_GB2312" w:eastAsia="仿宋_GB2312"/>
          <w:b w:val="0"/>
          <w:sz w:val="32"/>
        </w:rPr>
        <w:t>一、《收入支出决算总表》</w:t>
      </w:r>
    </w:p>
    <w:p w14:paraId="40D3DD22">
      <w:pPr>
        <w:spacing w:line="240" w:lineRule="auto"/>
        <w:ind w:firstLine="640"/>
        <w:jc w:val="both"/>
      </w:pPr>
      <w:r>
        <w:rPr>
          <w:rFonts w:ascii="仿宋_GB2312" w:hAnsi="仿宋_GB2312" w:eastAsia="仿宋_GB2312"/>
          <w:b w:val="0"/>
          <w:sz w:val="32"/>
        </w:rPr>
        <w:t>二、《收入决算表》</w:t>
      </w:r>
    </w:p>
    <w:p w14:paraId="734A0C41">
      <w:pPr>
        <w:spacing w:line="240" w:lineRule="auto"/>
        <w:ind w:firstLine="640"/>
        <w:jc w:val="both"/>
      </w:pPr>
      <w:r>
        <w:rPr>
          <w:rFonts w:ascii="仿宋_GB2312" w:hAnsi="仿宋_GB2312" w:eastAsia="仿宋_GB2312"/>
          <w:b w:val="0"/>
          <w:sz w:val="32"/>
        </w:rPr>
        <w:t>三、《支出决算表》</w:t>
      </w:r>
    </w:p>
    <w:p w14:paraId="143E0880">
      <w:pPr>
        <w:spacing w:line="240" w:lineRule="auto"/>
        <w:ind w:firstLine="640"/>
        <w:jc w:val="both"/>
      </w:pPr>
      <w:r>
        <w:rPr>
          <w:rFonts w:ascii="仿宋_GB2312" w:hAnsi="仿宋_GB2312" w:eastAsia="仿宋_GB2312"/>
          <w:b w:val="0"/>
          <w:sz w:val="32"/>
        </w:rPr>
        <w:t>四、《财政拨款收入支出决算总表》</w:t>
      </w:r>
    </w:p>
    <w:p w14:paraId="47258247">
      <w:pPr>
        <w:spacing w:line="240" w:lineRule="auto"/>
        <w:ind w:firstLine="640"/>
        <w:jc w:val="both"/>
      </w:pPr>
      <w:r>
        <w:rPr>
          <w:rFonts w:ascii="仿宋_GB2312" w:hAnsi="仿宋_GB2312" w:eastAsia="仿宋_GB2312"/>
          <w:b w:val="0"/>
          <w:sz w:val="32"/>
        </w:rPr>
        <w:t>五、《一般公共预算财政拨款支出决算表》</w:t>
      </w:r>
    </w:p>
    <w:p w14:paraId="2319F598">
      <w:pPr>
        <w:spacing w:line="240" w:lineRule="auto"/>
        <w:ind w:firstLine="640"/>
        <w:jc w:val="both"/>
      </w:pPr>
      <w:r>
        <w:rPr>
          <w:rFonts w:ascii="仿宋_GB2312" w:hAnsi="仿宋_GB2312" w:eastAsia="仿宋_GB2312"/>
          <w:b w:val="0"/>
          <w:sz w:val="32"/>
        </w:rPr>
        <w:t>六、《一般公共预算财政拨款基本支出决算表》</w:t>
      </w:r>
    </w:p>
    <w:p w14:paraId="5EAAB25C">
      <w:pPr>
        <w:spacing w:line="240" w:lineRule="auto"/>
        <w:ind w:firstLine="640"/>
        <w:jc w:val="both"/>
      </w:pPr>
      <w:r>
        <w:rPr>
          <w:rFonts w:ascii="仿宋_GB2312" w:hAnsi="仿宋_GB2312" w:eastAsia="仿宋_GB2312"/>
          <w:b w:val="0"/>
          <w:sz w:val="32"/>
        </w:rPr>
        <w:t>七、《政府性基金预算财政拨款收入支出决算表》</w:t>
      </w:r>
    </w:p>
    <w:p w14:paraId="5D5EE6A2">
      <w:pPr>
        <w:spacing w:line="240" w:lineRule="auto"/>
        <w:ind w:firstLine="640"/>
        <w:jc w:val="both"/>
      </w:pPr>
      <w:r>
        <w:rPr>
          <w:rFonts w:ascii="仿宋_GB2312" w:hAnsi="仿宋_GB2312" w:eastAsia="仿宋_GB2312"/>
          <w:b w:val="0"/>
          <w:sz w:val="32"/>
        </w:rPr>
        <w:t>八、《国有资本经营预算财政拨款收入支出决算表》</w:t>
      </w:r>
    </w:p>
    <w:p w14:paraId="24122B37">
      <w:pPr>
        <w:spacing w:line="240" w:lineRule="auto"/>
        <w:ind w:firstLine="640"/>
        <w:jc w:val="both"/>
      </w:pPr>
      <w:r>
        <w:rPr>
          <w:rFonts w:ascii="仿宋_GB2312" w:hAnsi="仿宋_GB2312" w:eastAsia="仿宋_GB2312"/>
          <w:b w:val="0"/>
          <w:sz w:val="32"/>
        </w:rPr>
        <w:t>九、《财政拨款“三公”经费支出决算表》</w:t>
      </w:r>
    </w:p>
    <w:p w14:paraId="224AAA9F">
      <w:pPr>
        <w:spacing w:line="240" w:lineRule="auto"/>
        <w:ind w:firstLine="640"/>
        <w:jc w:val="both"/>
      </w:pPr>
    </w:p>
    <w:p w14:paraId="273F5CE7">
      <w:pPr>
        <w:spacing w:line="240" w:lineRule="auto"/>
        <w:ind w:firstLine="640"/>
        <w:jc w:val="both"/>
      </w:pPr>
    </w:p>
    <w:p w14:paraId="7EE9B6B1">
      <w:pPr>
        <w:spacing w:line="240" w:lineRule="auto"/>
        <w:ind w:firstLine="640"/>
        <w:jc w:val="both"/>
      </w:pPr>
    </w:p>
    <w:p w14:paraId="436DC0E3">
      <w:pPr>
        <w:spacing w:line="240" w:lineRule="auto"/>
        <w:ind w:firstLine="640"/>
        <w:jc w:val="both"/>
      </w:pPr>
    </w:p>
    <w:p w14:paraId="0636411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977E80"/>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016BE1"/>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1802</Words>
  <Characters>2090</Characters>
  <Lines>0</Lines>
  <Paragraphs>0</Paragraphs>
  <TotalTime>5</TotalTime>
  <ScaleCrop>false</ScaleCrop>
  <LinksUpToDate>false</LinksUpToDate>
  <CharactersWithSpaces>2100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2025-09-16T08:22:53Z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