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喀什经济开发区疏附产业园2024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BDE64B">
      <w:r>
        <w:br w:type="page"/>
      </w:r>
    </w:p>
    <w:p w14:paraId="60B22A85">
      <w:pPr>
        <w:spacing w:line="640" w:lineRule="exact"/>
        <w:jc w:val="center"/>
        <w:outlineLvl w:val="1"/>
      </w:pPr>
      <w:r>
        <w:rPr>
          <w:rFonts w:ascii="黑体" w:hAnsi="黑体" w:eastAsia="黑体"/>
          <w:sz w:val="32"/>
        </w:rPr>
        <w:t>第一部分 单位概况</w:t>
      </w:r>
    </w:p>
    <w:p w14:paraId="1E157CC9">
      <w:pPr>
        <w:spacing w:line="640" w:lineRule="exact"/>
        <w:ind w:firstLine="640"/>
        <w:jc w:val="both"/>
        <w:outlineLvl w:val="2"/>
      </w:pPr>
      <w:r>
        <w:rPr>
          <w:rFonts w:ascii="黑体" w:hAnsi="黑体" w:eastAsia="黑体"/>
          <w:sz w:val="32"/>
        </w:rPr>
        <w:t>一、主要职能</w:t>
      </w:r>
    </w:p>
    <w:p w14:paraId="3DD02B24">
      <w:pPr>
        <w:spacing w:line="580" w:lineRule="exact"/>
        <w:ind w:firstLine="640"/>
        <w:jc w:val="both"/>
      </w:pPr>
      <w:r>
        <w:rPr>
          <w:rFonts w:ascii="仿宋_GB2312" w:hAnsi="仿宋_GB2312" w:eastAsia="仿宋_GB2312"/>
          <w:sz w:val="32"/>
        </w:rPr>
        <w:t>（1）宣传贯彻执行喀什经济开发区及援疆省市产业扶持政策。</w:t>
      </w:r>
    </w:p>
    <w:p w14:paraId="0490BEC9">
      <w:pPr>
        <w:spacing w:line="580" w:lineRule="exact"/>
        <w:ind w:firstLine="640"/>
        <w:jc w:val="both"/>
      </w:pPr>
      <w:r>
        <w:rPr>
          <w:rFonts w:ascii="仿宋_GB2312" w:hAnsi="仿宋_GB2312" w:eastAsia="仿宋_GB2312"/>
          <w:sz w:val="32"/>
        </w:rPr>
        <w:t>（2）制定园区规划。</w:t>
      </w:r>
    </w:p>
    <w:p w14:paraId="4B7E47BD">
      <w:pPr>
        <w:spacing w:line="580" w:lineRule="exact"/>
        <w:ind w:firstLine="640"/>
        <w:jc w:val="both"/>
      </w:pPr>
      <w:r>
        <w:rPr>
          <w:rFonts w:ascii="仿宋_GB2312" w:hAnsi="仿宋_GB2312" w:eastAsia="仿宋_GB2312"/>
          <w:sz w:val="32"/>
        </w:rPr>
        <w:t>（3）统筹协调园区企业服务相关措施的制定和实施。</w:t>
      </w:r>
    </w:p>
    <w:p w14:paraId="16C77822">
      <w:pPr>
        <w:spacing w:line="580" w:lineRule="exact"/>
        <w:ind w:firstLine="640"/>
        <w:jc w:val="both"/>
      </w:pPr>
      <w:r>
        <w:rPr>
          <w:rFonts w:ascii="仿宋_GB2312" w:hAnsi="仿宋_GB2312" w:eastAsia="仿宋_GB2312"/>
          <w:sz w:val="32"/>
        </w:rPr>
        <w:t>（4）协调企业与政府、职能部门、行业协会之间的双向沟通联系。</w:t>
      </w:r>
    </w:p>
    <w:p w14:paraId="46D78079">
      <w:pPr>
        <w:spacing w:line="580" w:lineRule="exact"/>
        <w:ind w:firstLine="640"/>
        <w:jc w:val="both"/>
      </w:pPr>
      <w:r>
        <w:rPr>
          <w:rFonts w:ascii="仿宋_GB2312" w:hAnsi="仿宋_GB2312" w:eastAsia="仿宋_GB2312"/>
          <w:sz w:val="32"/>
        </w:rPr>
        <w:t>（5）做好招</w:t>
      </w:r>
      <w:r>
        <w:rPr>
          <w:rFonts w:hint="eastAsia" w:ascii="仿宋_GB2312" w:hAnsi="仿宋_GB2312" w:eastAsia="仿宋_GB2312"/>
          <w:sz w:val="32"/>
          <w:lang w:eastAsia="zh-CN"/>
        </w:rPr>
        <w:t>商引资</w:t>
      </w:r>
      <w:r>
        <w:rPr>
          <w:rFonts w:ascii="仿宋_GB2312" w:hAnsi="仿宋_GB2312" w:eastAsia="仿宋_GB2312"/>
          <w:sz w:val="32"/>
        </w:rPr>
        <w:t>前置服务，营造一流营商环境，搭建企业交流合作平台。</w:t>
      </w:r>
    </w:p>
    <w:p w14:paraId="3D17BD9C">
      <w:pPr>
        <w:spacing w:line="580" w:lineRule="exact"/>
        <w:ind w:firstLine="640"/>
        <w:jc w:val="both"/>
      </w:pPr>
      <w:r>
        <w:rPr>
          <w:rFonts w:ascii="仿宋_GB2312" w:hAnsi="仿宋_GB2312" w:eastAsia="仿宋_GB2312"/>
          <w:sz w:val="32"/>
        </w:rPr>
        <w:t>（6）做好项目建设服务工作。</w:t>
      </w:r>
    </w:p>
    <w:p w14:paraId="2EBE956C">
      <w:pPr>
        <w:spacing w:line="640" w:lineRule="exact"/>
        <w:ind w:firstLine="640"/>
        <w:jc w:val="both"/>
        <w:outlineLvl w:val="2"/>
      </w:pPr>
      <w:r>
        <w:rPr>
          <w:rFonts w:ascii="黑体" w:hAnsi="黑体" w:eastAsia="黑体"/>
          <w:sz w:val="32"/>
        </w:rPr>
        <w:t>二、机构设置及人员情况</w:t>
      </w:r>
    </w:p>
    <w:p w14:paraId="6C86CA08">
      <w:pPr>
        <w:spacing w:line="580" w:lineRule="exact"/>
        <w:ind w:firstLine="640"/>
        <w:jc w:val="both"/>
      </w:pPr>
      <w:r>
        <w:rPr>
          <w:rFonts w:ascii="仿宋_GB2312" w:hAnsi="仿宋_GB2312" w:eastAsia="仿宋_GB2312"/>
          <w:sz w:val="32"/>
        </w:rPr>
        <w:t>喀什经济开发区疏附产业园2024年度，实有人数6人，其中：在职人员5人，减少1人；离休人员0人，增加0人；退休人员1人</w:t>
      </w:r>
      <w:r>
        <w:rPr>
          <w:rFonts w:hint="eastAsia" w:ascii="仿宋_GB2312" w:hAnsi="仿宋_GB2312" w:eastAsia="仿宋_GB2312"/>
          <w:sz w:val="32"/>
          <w:lang w:eastAsia="zh-CN"/>
        </w:rPr>
        <w:t>，</w:t>
      </w:r>
      <w:r>
        <w:rPr>
          <w:rFonts w:ascii="仿宋_GB2312" w:hAnsi="仿宋_GB2312" w:eastAsia="仿宋_GB2312"/>
          <w:sz w:val="32"/>
        </w:rPr>
        <w:t>增加1人。</w:t>
      </w:r>
    </w:p>
    <w:p w14:paraId="45010B32">
      <w:pPr>
        <w:spacing w:line="580" w:lineRule="exact"/>
        <w:ind w:firstLine="640"/>
        <w:jc w:val="both"/>
      </w:pPr>
      <w:r>
        <w:rPr>
          <w:rFonts w:ascii="仿宋_GB2312" w:hAnsi="仿宋_GB2312" w:eastAsia="仿宋_GB2312"/>
          <w:sz w:val="32"/>
        </w:rPr>
        <w:t>喀什经济开发区疏附产业园无下属预算单位，下设1个科室，分别是：党建办。</w:t>
      </w:r>
    </w:p>
    <w:p w14:paraId="2C1E78EE">
      <w:r>
        <w:br w:type="page"/>
      </w:r>
    </w:p>
    <w:p w14:paraId="22BB367A">
      <w:pPr>
        <w:spacing w:line="240" w:lineRule="auto"/>
        <w:jc w:val="center"/>
        <w:outlineLvl w:val="1"/>
      </w:pPr>
      <w:r>
        <w:rPr>
          <w:rFonts w:ascii="黑体" w:hAnsi="黑体" w:eastAsia="黑体"/>
          <w:sz w:val="32"/>
        </w:rPr>
        <w:t>第二部分 部门决算情况说明</w:t>
      </w:r>
    </w:p>
    <w:p w14:paraId="0DDECCBE">
      <w:pPr>
        <w:spacing w:line="640" w:lineRule="exact"/>
        <w:ind w:firstLine="640"/>
        <w:jc w:val="both"/>
        <w:outlineLvl w:val="2"/>
      </w:pPr>
      <w:r>
        <w:rPr>
          <w:rFonts w:ascii="黑体" w:hAnsi="黑体" w:eastAsia="黑体"/>
          <w:sz w:val="32"/>
        </w:rPr>
        <w:t>一、收入支出决算总体情况说明</w:t>
      </w:r>
    </w:p>
    <w:p w14:paraId="1D74C2EA">
      <w:pPr>
        <w:spacing w:line="580" w:lineRule="exact"/>
        <w:ind w:firstLine="640"/>
        <w:jc w:val="both"/>
      </w:pPr>
      <w:r>
        <w:rPr>
          <w:rFonts w:ascii="仿宋_GB2312" w:hAnsi="仿宋_GB2312" w:eastAsia="仿宋_GB2312"/>
          <w:b/>
          <w:sz w:val="32"/>
        </w:rPr>
        <w:t>2024年度收入总计102.02万元，</w:t>
      </w:r>
      <w:r>
        <w:rPr>
          <w:rFonts w:ascii="仿宋_GB2312" w:hAnsi="仿宋_GB2312" w:eastAsia="仿宋_GB2312"/>
          <w:b w:val="0"/>
          <w:sz w:val="32"/>
        </w:rPr>
        <w:t>其中：本年收入合计102.02万元，使用非财政拨款结余（含专用结余）0.00万元，年初结转和结余0.00万元。</w:t>
      </w:r>
    </w:p>
    <w:p w14:paraId="5ED63C7C">
      <w:pPr>
        <w:spacing w:line="580" w:lineRule="exact"/>
        <w:ind w:firstLine="640"/>
        <w:jc w:val="both"/>
      </w:pPr>
      <w:r>
        <w:rPr>
          <w:rFonts w:ascii="仿宋_GB2312" w:hAnsi="仿宋_GB2312" w:eastAsia="仿宋_GB2312"/>
          <w:b/>
          <w:sz w:val="32"/>
        </w:rPr>
        <w:t>2024年度支出总计102.02万元，</w:t>
      </w:r>
      <w:r>
        <w:rPr>
          <w:rFonts w:ascii="仿宋_GB2312" w:hAnsi="仿宋_GB2312" w:eastAsia="仿宋_GB2312"/>
          <w:b w:val="0"/>
          <w:sz w:val="32"/>
        </w:rPr>
        <w:t>其中：本年支出合计102.02万元，结余分配0.00万元，年末结转和结余0.00万元。</w:t>
      </w:r>
    </w:p>
    <w:p w14:paraId="133F4FA8">
      <w:pPr>
        <w:spacing w:line="580" w:lineRule="exact"/>
        <w:ind w:firstLine="640"/>
        <w:jc w:val="both"/>
      </w:pPr>
      <w:r>
        <w:rPr>
          <w:rFonts w:ascii="仿宋_GB2312" w:hAnsi="仿宋_GB2312" w:eastAsia="仿宋_GB2312"/>
          <w:b w:val="0"/>
          <w:sz w:val="32"/>
        </w:rPr>
        <w:t>收入支出总体与上年相比，减少3,947.85万元，下降97.48%，主要原因是：本年减少喀什经济开发区疏附产业园厂建设项目(二期)项目，因厂房建设已全部完工，园区厂房建设项目资金较上年减少，导致经费较上年减少。</w:t>
      </w:r>
    </w:p>
    <w:p w14:paraId="0AEB98BF">
      <w:pPr>
        <w:spacing w:line="640" w:lineRule="exact"/>
        <w:ind w:firstLine="640"/>
        <w:jc w:val="both"/>
        <w:outlineLvl w:val="2"/>
      </w:pPr>
      <w:r>
        <w:rPr>
          <w:rFonts w:ascii="黑体" w:hAnsi="黑体" w:eastAsia="黑体"/>
          <w:sz w:val="32"/>
        </w:rPr>
        <w:t>二、收入决算情况说明</w:t>
      </w:r>
    </w:p>
    <w:p w14:paraId="019B6C45">
      <w:pPr>
        <w:spacing w:line="580" w:lineRule="exact"/>
        <w:ind w:firstLine="640"/>
        <w:jc w:val="both"/>
      </w:pPr>
      <w:r>
        <w:rPr>
          <w:rFonts w:ascii="仿宋_GB2312" w:hAnsi="仿宋_GB2312" w:eastAsia="仿宋_GB2312"/>
          <w:b/>
          <w:sz w:val="32"/>
        </w:rPr>
        <w:t>本年收入102.02万元，</w:t>
      </w:r>
      <w:r>
        <w:rPr>
          <w:rFonts w:ascii="仿宋_GB2312" w:hAnsi="仿宋_GB2312" w:eastAsia="仿宋_GB2312"/>
          <w:b w:val="0"/>
          <w:sz w:val="32"/>
        </w:rPr>
        <w:t>其中：财政拨款收入102.02万元，占100.00%；上级补助收入0.00万元，占0.00%；事业收入0.00万元，占0.00%；经营收入0.00万元，占0.00%；附属单位上缴收入0.00万元，占0.00%；其他收入0.00万元，占0.00%。</w:t>
      </w:r>
    </w:p>
    <w:p w14:paraId="0C054233">
      <w:pPr>
        <w:spacing w:line="640" w:lineRule="exact"/>
        <w:ind w:firstLine="640"/>
        <w:jc w:val="both"/>
        <w:outlineLvl w:val="2"/>
      </w:pPr>
      <w:r>
        <w:rPr>
          <w:rFonts w:ascii="黑体" w:hAnsi="黑体" w:eastAsia="黑体"/>
          <w:sz w:val="32"/>
        </w:rPr>
        <w:t>三、支出决算情况说明</w:t>
      </w:r>
    </w:p>
    <w:p w14:paraId="71706777">
      <w:pPr>
        <w:spacing w:line="580" w:lineRule="exact"/>
        <w:ind w:firstLine="640"/>
        <w:jc w:val="both"/>
      </w:pPr>
      <w:r>
        <w:rPr>
          <w:rFonts w:ascii="仿宋_GB2312" w:hAnsi="仿宋_GB2312" w:eastAsia="仿宋_GB2312"/>
          <w:b/>
          <w:sz w:val="32"/>
        </w:rPr>
        <w:t>本年支出102.02万元，</w:t>
      </w:r>
      <w:r>
        <w:rPr>
          <w:rFonts w:ascii="仿宋_GB2312" w:hAnsi="仿宋_GB2312" w:eastAsia="仿宋_GB2312"/>
          <w:b w:val="0"/>
          <w:sz w:val="32"/>
        </w:rPr>
        <w:t>其中：基本支出102.02万元，占100.00%；项目支出0.00万元，占0.00%；上缴上级支出0.00万元，占0.00%；经营支出0.00万元，占0.00%；对附属单位补助支出0.00万元，占0.00%。</w:t>
      </w:r>
    </w:p>
    <w:p w14:paraId="018C19FF">
      <w:pPr>
        <w:spacing w:line="640" w:lineRule="exact"/>
        <w:ind w:firstLine="640"/>
        <w:jc w:val="both"/>
        <w:outlineLvl w:val="2"/>
      </w:pPr>
      <w:r>
        <w:rPr>
          <w:rFonts w:ascii="黑体" w:hAnsi="黑体" w:eastAsia="黑体"/>
          <w:sz w:val="32"/>
        </w:rPr>
        <w:t>四、财政拨款收入支出决算总体情况说明</w:t>
      </w:r>
    </w:p>
    <w:p w14:paraId="7899DC44">
      <w:pPr>
        <w:spacing w:line="580" w:lineRule="exact"/>
        <w:ind w:firstLine="640"/>
        <w:jc w:val="both"/>
      </w:pPr>
      <w:r>
        <w:rPr>
          <w:rFonts w:ascii="仿宋_GB2312" w:hAnsi="仿宋_GB2312" w:eastAsia="仿宋_GB2312"/>
          <w:b/>
          <w:sz w:val="32"/>
        </w:rPr>
        <w:t>2024年度财政拨款收入总计102.02万元，</w:t>
      </w:r>
      <w:r>
        <w:rPr>
          <w:rFonts w:ascii="仿宋_GB2312" w:hAnsi="仿宋_GB2312" w:eastAsia="仿宋_GB2312"/>
          <w:b w:val="0"/>
          <w:sz w:val="32"/>
        </w:rPr>
        <w:t>其中：年初财政拨款结转和结余0.00万元，本年财政拨款收入102.02万元。</w:t>
      </w:r>
      <w:r>
        <w:rPr>
          <w:rFonts w:ascii="仿宋_GB2312" w:hAnsi="仿宋_GB2312" w:eastAsia="仿宋_GB2312"/>
          <w:b/>
          <w:sz w:val="32"/>
        </w:rPr>
        <w:t>财政拨款支出总计102.02万元，</w:t>
      </w:r>
      <w:r>
        <w:rPr>
          <w:rFonts w:ascii="仿宋_GB2312" w:hAnsi="仿宋_GB2312" w:eastAsia="仿宋_GB2312"/>
          <w:b w:val="0"/>
          <w:sz w:val="32"/>
        </w:rPr>
        <w:t>其中：年末财政拨款结转和结余0.00万元，本年财政拨款支出102.02万元。</w:t>
      </w:r>
    </w:p>
    <w:p w14:paraId="668869A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减少3,947.85万元，下降97.48%，主要原因是：本年减少喀什经济开发区疏附产业园厂建设项目(二期)项目，因厂房建设已全部完工，园区厂房建设项目资金较上年减少，导致经费较上年减少。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年初预算数52.28万元，决算数102.02万元，预决算差异率95.14%，主要原因是：年中追加人员工资、社保、公积金基数调增部分资金，导致预决算存在差异。</w:t>
      </w:r>
    </w:p>
    <w:p w14:paraId="58ED8673">
      <w:pPr>
        <w:spacing w:line="640" w:lineRule="exact"/>
        <w:ind w:firstLine="640"/>
        <w:jc w:val="both"/>
        <w:outlineLvl w:val="2"/>
      </w:pPr>
      <w:r>
        <w:rPr>
          <w:rFonts w:ascii="黑体" w:hAnsi="黑体" w:eastAsia="黑体"/>
          <w:sz w:val="32"/>
        </w:rPr>
        <w:t>五、一般公共预算财政拨款支出决算情况说明</w:t>
      </w:r>
    </w:p>
    <w:p w14:paraId="5BCB6D2D">
      <w:pPr>
        <w:spacing w:line="640" w:lineRule="exact"/>
        <w:ind w:firstLine="640"/>
        <w:jc w:val="both"/>
        <w:outlineLvl w:val="3"/>
      </w:pPr>
      <w:r>
        <w:rPr>
          <w:rFonts w:ascii="楷体_GB2312" w:hAnsi="楷体_GB2312" w:eastAsia="楷体_GB2312"/>
          <w:b/>
          <w:sz w:val="32"/>
        </w:rPr>
        <w:t>（一）一般公共预算财政拨款支出决算总体情况</w:t>
      </w:r>
    </w:p>
    <w:p w14:paraId="1D37C8B6">
      <w:pPr>
        <w:spacing w:line="580" w:lineRule="exact"/>
        <w:ind w:firstLine="640"/>
        <w:jc w:val="both"/>
      </w:pPr>
      <w:r>
        <w:rPr>
          <w:rFonts w:ascii="仿宋_GB2312" w:hAnsi="仿宋_GB2312" w:eastAsia="仿宋_GB2312"/>
          <w:b/>
          <w:sz w:val="32"/>
        </w:rPr>
        <w:t>2024年度一般公共预算财政拨款支出102.02万元，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增加52.15万元，增长104.57%，主要原因是：本年在职人员工资调增，社保、公积金基数调增，人员经费增加。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年初预算数52.28万元，决算数102.02万元，预决算差异率95.14%，主要原因是：年中追加人员工资、社保、公积金基数调增部分资金，导致预决算存在差异。</w:t>
      </w:r>
    </w:p>
    <w:p w14:paraId="34AEBC69">
      <w:pPr>
        <w:spacing w:line="640" w:lineRule="exact"/>
        <w:ind w:firstLine="640"/>
        <w:jc w:val="both"/>
        <w:outlineLvl w:val="3"/>
      </w:pPr>
      <w:r>
        <w:rPr>
          <w:rFonts w:ascii="楷体_GB2312" w:hAnsi="楷体_GB2312" w:eastAsia="楷体_GB2312"/>
          <w:b/>
          <w:sz w:val="32"/>
        </w:rPr>
        <w:t>（二）一般公共预算财政拨款支出决算结构情况</w:t>
      </w:r>
    </w:p>
    <w:p w14:paraId="1D218235">
      <w:pPr>
        <w:spacing w:line="580" w:lineRule="exact"/>
        <w:ind w:firstLine="640"/>
        <w:jc w:val="both"/>
      </w:pPr>
      <w:r>
        <w:rPr>
          <w:rFonts w:ascii="仿宋_GB2312" w:hAnsi="仿宋_GB2312" w:eastAsia="仿宋_GB2312"/>
          <w:b w:val="0"/>
          <w:sz w:val="32"/>
        </w:rPr>
        <w:t>1.一般公共服务支出(类)77.29万元</w:t>
      </w:r>
      <w:r>
        <w:rPr>
          <w:rFonts w:hint="eastAsia" w:ascii="仿宋_GB2312" w:hAnsi="仿宋_GB2312" w:eastAsia="仿宋_GB2312"/>
          <w:b w:val="0"/>
          <w:sz w:val="32"/>
          <w:lang w:eastAsia="zh-CN"/>
        </w:rPr>
        <w:t>，</w:t>
      </w:r>
      <w:r>
        <w:rPr>
          <w:rFonts w:ascii="仿宋_GB2312" w:hAnsi="仿宋_GB2312" w:eastAsia="仿宋_GB2312"/>
          <w:b w:val="0"/>
          <w:sz w:val="32"/>
        </w:rPr>
        <w:t>占75.76%。</w:t>
      </w:r>
    </w:p>
    <w:p w14:paraId="13EDDFEE">
      <w:pPr>
        <w:spacing w:line="580" w:lineRule="exact"/>
        <w:ind w:firstLine="640"/>
        <w:jc w:val="both"/>
      </w:pPr>
      <w:r>
        <w:rPr>
          <w:rFonts w:ascii="仿宋_GB2312" w:hAnsi="仿宋_GB2312" w:eastAsia="仿宋_GB2312"/>
          <w:b w:val="0"/>
          <w:sz w:val="32"/>
        </w:rPr>
        <w:t>2.社会保障和就业支出(类)12.52万元</w:t>
      </w:r>
      <w:r>
        <w:rPr>
          <w:rFonts w:hint="eastAsia" w:ascii="仿宋_GB2312" w:hAnsi="仿宋_GB2312" w:eastAsia="仿宋_GB2312"/>
          <w:b w:val="0"/>
          <w:sz w:val="32"/>
          <w:lang w:eastAsia="zh-CN"/>
        </w:rPr>
        <w:t>，</w:t>
      </w:r>
      <w:r>
        <w:rPr>
          <w:rFonts w:ascii="仿宋_GB2312" w:hAnsi="仿宋_GB2312" w:eastAsia="仿宋_GB2312"/>
          <w:b w:val="0"/>
          <w:sz w:val="32"/>
        </w:rPr>
        <w:t>占12.27%。</w:t>
      </w:r>
    </w:p>
    <w:p w14:paraId="070BA9FE">
      <w:pPr>
        <w:spacing w:line="580" w:lineRule="exact"/>
        <w:ind w:firstLine="640"/>
        <w:jc w:val="both"/>
      </w:pPr>
      <w:r>
        <w:rPr>
          <w:rFonts w:ascii="仿宋_GB2312" w:hAnsi="仿宋_GB2312" w:eastAsia="仿宋_GB2312"/>
          <w:b w:val="0"/>
          <w:sz w:val="32"/>
        </w:rPr>
        <w:t>3.卫生健康支出(类)4.18万元</w:t>
      </w:r>
      <w:r>
        <w:rPr>
          <w:rFonts w:hint="eastAsia" w:ascii="仿宋_GB2312" w:hAnsi="仿宋_GB2312" w:eastAsia="仿宋_GB2312"/>
          <w:b w:val="0"/>
          <w:sz w:val="32"/>
          <w:lang w:eastAsia="zh-CN"/>
        </w:rPr>
        <w:t>，</w:t>
      </w:r>
      <w:r>
        <w:rPr>
          <w:rFonts w:ascii="仿宋_GB2312" w:hAnsi="仿宋_GB2312" w:eastAsia="仿宋_GB2312"/>
          <w:b w:val="0"/>
          <w:sz w:val="32"/>
        </w:rPr>
        <w:t>占4.10%。</w:t>
      </w:r>
    </w:p>
    <w:p w14:paraId="438389D4">
      <w:pPr>
        <w:spacing w:line="580" w:lineRule="exact"/>
        <w:ind w:firstLine="640"/>
        <w:jc w:val="both"/>
      </w:pPr>
      <w:r>
        <w:rPr>
          <w:rFonts w:ascii="仿宋_GB2312" w:hAnsi="仿宋_GB2312" w:eastAsia="仿宋_GB2312"/>
          <w:b w:val="0"/>
          <w:sz w:val="32"/>
        </w:rPr>
        <w:t>4.住房保障支出(类)8.02万元</w:t>
      </w:r>
      <w:r>
        <w:rPr>
          <w:rFonts w:hint="eastAsia" w:ascii="仿宋_GB2312" w:hAnsi="仿宋_GB2312" w:eastAsia="仿宋_GB2312"/>
          <w:b w:val="0"/>
          <w:sz w:val="32"/>
          <w:lang w:eastAsia="zh-CN"/>
        </w:rPr>
        <w:t>，</w:t>
      </w:r>
      <w:r>
        <w:rPr>
          <w:rFonts w:ascii="仿宋_GB2312" w:hAnsi="仿宋_GB2312" w:eastAsia="仿宋_GB2312"/>
          <w:b w:val="0"/>
          <w:sz w:val="32"/>
        </w:rPr>
        <w:t>占7.86%。</w:t>
      </w:r>
    </w:p>
    <w:p w14:paraId="095818E6">
      <w:pPr>
        <w:spacing w:line="640" w:lineRule="exact"/>
        <w:ind w:firstLine="640"/>
        <w:jc w:val="both"/>
        <w:outlineLvl w:val="3"/>
      </w:pPr>
      <w:r>
        <w:rPr>
          <w:rFonts w:ascii="楷体_GB2312" w:hAnsi="楷体_GB2312" w:eastAsia="楷体_GB2312"/>
          <w:b/>
          <w:sz w:val="32"/>
        </w:rPr>
        <w:t>（三）一般公共预算财政拨款支出决算具体情况</w:t>
      </w:r>
    </w:p>
    <w:p w14:paraId="6B608F15">
      <w:pPr>
        <w:spacing w:line="580" w:lineRule="exact"/>
        <w:ind w:firstLine="640"/>
        <w:jc w:val="both"/>
      </w:pPr>
      <w:r>
        <w:rPr>
          <w:rFonts w:ascii="仿宋_GB2312" w:hAnsi="仿宋_GB2312" w:eastAsia="仿宋_GB2312"/>
          <w:b w:val="0"/>
          <w:sz w:val="32"/>
        </w:rPr>
        <w:t>1.一般公共服务支出(类)政府办公厅（室）及相关机构事务(款)事业运行(项)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支出决算数为77.29万元，比上年决算增加35.57万元，增长85.26%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主要原因是：本年在职人员工资调增，导致相关人员经费较上年有所增加。</w:t>
      </w:r>
    </w:p>
    <w:p w14:paraId="2362CA6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支出决算数为9.87万元，比上年决算增加6.27万元，增长174.17%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5943F4D6">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支出决算数为2.66万元，比上年决算增加2.66万元，增长100.00%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主要原因是：本年新增退休人员，职业年金缴费支出增加。</w:t>
      </w:r>
    </w:p>
    <w:p w14:paraId="13BCF5D8">
      <w:pPr>
        <w:spacing w:line="580" w:lineRule="exact"/>
        <w:ind w:firstLine="640"/>
        <w:jc w:val="both"/>
      </w:pPr>
      <w:r>
        <w:rPr>
          <w:rFonts w:ascii="仿宋_GB2312" w:hAnsi="仿宋_GB2312" w:eastAsia="仿宋_GB2312"/>
          <w:b w:val="0"/>
          <w:sz w:val="32"/>
        </w:rPr>
        <w:t>4.卫生健康支出(类)行政事业单位医疗(款)事业单位医疗(项)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支出决算数为4.18万元，比上年决算增加2.66万元，增长175.00%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2302E05C">
      <w:pPr>
        <w:spacing w:line="580" w:lineRule="exact"/>
        <w:ind w:firstLine="640"/>
        <w:jc w:val="both"/>
      </w:pPr>
      <w:r>
        <w:rPr>
          <w:rFonts w:ascii="仿宋_GB2312" w:hAnsi="仿宋_GB2312" w:eastAsia="仿宋_GB2312"/>
          <w:b w:val="0"/>
          <w:sz w:val="32"/>
        </w:rPr>
        <w:t>5.住房保障支出(类)住房改革支出(款)住房公积金(项)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支出决算数为8.02万元，比上年决算增加4.99万元，增长164.69%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主要原因是：本年在职人员工资基数调增，公积金缴费基数上涨，相应支出增加。</w:t>
      </w:r>
    </w:p>
    <w:p w14:paraId="241C0FC0">
      <w:pPr>
        <w:spacing w:line="640" w:lineRule="exact"/>
        <w:ind w:firstLine="640"/>
        <w:jc w:val="both"/>
        <w:outlineLvl w:val="2"/>
      </w:pPr>
      <w:r>
        <w:rPr>
          <w:rFonts w:ascii="黑体" w:hAnsi="黑体" w:eastAsia="黑体"/>
          <w:sz w:val="32"/>
        </w:rPr>
        <w:t>六、一般公共预算财政拨款基本支出决算情况说明</w:t>
      </w:r>
    </w:p>
    <w:p w14:paraId="086AF39C">
      <w:pPr>
        <w:spacing w:line="580" w:lineRule="exact"/>
        <w:ind w:firstLine="640"/>
        <w:jc w:val="both"/>
      </w:pPr>
      <w:r>
        <w:rPr>
          <w:rFonts w:ascii="仿宋_GB2312" w:hAnsi="仿宋_GB2312" w:eastAsia="仿宋_GB2312"/>
          <w:b w:val="0"/>
          <w:sz w:val="32"/>
        </w:rPr>
        <w:t>2024年度一般公共预算财政拨款基本支出102.02万元，其中：</w:t>
      </w:r>
      <w:r>
        <w:rPr>
          <w:rFonts w:ascii="仿宋_GB2312" w:hAnsi="仿宋_GB2312" w:eastAsia="仿宋_GB2312"/>
          <w:b/>
          <w:sz w:val="32"/>
        </w:rPr>
        <w:t>人员经费101.72万元，</w:t>
      </w:r>
      <w:r>
        <w:rPr>
          <w:rFonts w:ascii="仿宋_GB2312" w:hAnsi="仿宋_GB2312" w:eastAsia="仿宋_GB2312"/>
          <w:b w:val="0"/>
          <w:sz w:val="32"/>
        </w:rPr>
        <w:t>包括：基本工资、津贴补贴、奖金、绩效工资、机关事业单位基本养老保险缴费、职业年金缴费、其他社会保障缴费、住房公积金、医疗费、退休费。</w:t>
      </w:r>
    </w:p>
    <w:p w14:paraId="02C6A193">
      <w:pPr>
        <w:spacing w:line="580" w:lineRule="exact"/>
        <w:ind w:firstLine="640"/>
        <w:jc w:val="both"/>
      </w:pPr>
      <w:r>
        <w:rPr>
          <w:rFonts w:ascii="仿宋_GB2312" w:hAnsi="仿宋_GB2312" w:eastAsia="仿宋_GB2312"/>
          <w:b/>
          <w:sz w:val="32"/>
        </w:rPr>
        <w:t>公用经费0.30万元，</w:t>
      </w:r>
      <w:r>
        <w:rPr>
          <w:rFonts w:ascii="仿宋_GB2312" w:hAnsi="仿宋_GB2312" w:eastAsia="仿宋_GB2312"/>
          <w:b w:val="0"/>
          <w:sz w:val="32"/>
        </w:rPr>
        <w:t>包括：办公费。</w:t>
      </w:r>
    </w:p>
    <w:p w14:paraId="03FA2F53">
      <w:pPr>
        <w:spacing w:line="640" w:lineRule="exact"/>
        <w:ind w:firstLine="640"/>
        <w:jc w:val="both"/>
        <w:outlineLvl w:val="2"/>
      </w:pPr>
      <w:r>
        <w:rPr>
          <w:rFonts w:ascii="黑体" w:hAnsi="黑体" w:eastAsia="黑体"/>
          <w:sz w:val="32"/>
        </w:rPr>
        <w:t>七、政府性基金预算财政拨款收入支出决算情况说明</w:t>
      </w:r>
    </w:p>
    <w:p w14:paraId="401E9283">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775AEA8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减少4,000.00万元，下降100.00%，主要原因是：本年减少喀什经济开发区疏附产业园厂建设项目(二期)项目，因厂房建设已全部完工，园区厂房建设项目资金较上年减少，导致经费较上年减少。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年初预算数0.00万元，决算数0.00万元，预决算差异率0.00%，主要原因是：本单位无政府性基金预算财政拨款支出。</w:t>
      </w:r>
    </w:p>
    <w:p w14:paraId="3B66D3A1">
      <w:pPr>
        <w:spacing w:line="580" w:lineRule="exact"/>
        <w:ind w:firstLine="640"/>
        <w:jc w:val="both"/>
      </w:pPr>
      <w:r>
        <w:rPr>
          <w:rFonts w:ascii="仿宋_GB2312" w:hAnsi="仿宋_GB2312" w:eastAsia="仿宋_GB2312"/>
          <w:b w:val="0"/>
          <w:sz w:val="32"/>
        </w:rPr>
        <w:t>政府性基金预算财政拨款支出0.00万元。</w:t>
      </w:r>
    </w:p>
    <w:p w14:paraId="1E6A046F">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支出决算数为0.00万元，比上年决算减少4,000.00万元，下降100.00%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主要原因是：本年减少喀什经济开发区疏附产业园厂建设项目(二期)项目，因厂房建设已全部完工，园区厂房建设项目资金较上年减少，导致经费较上年减少。</w:t>
      </w:r>
    </w:p>
    <w:p w14:paraId="42B02948">
      <w:pPr>
        <w:spacing w:line="640" w:lineRule="exact"/>
        <w:ind w:firstLine="640"/>
        <w:jc w:val="both"/>
        <w:outlineLvl w:val="2"/>
      </w:pPr>
      <w:r>
        <w:rPr>
          <w:rFonts w:ascii="黑体" w:hAnsi="黑体" w:eastAsia="黑体"/>
          <w:sz w:val="32"/>
        </w:rPr>
        <w:t>八、国有资本经营预算财政拨款收入支出决算情况说明</w:t>
      </w:r>
    </w:p>
    <w:p w14:paraId="5068884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86D931">
      <w:pPr>
        <w:spacing w:line="640" w:lineRule="exact"/>
        <w:ind w:firstLine="640"/>
        <w:jc w:val="both"/>
        <w:outlineLvl w:val="2"/>
      </w:pPr>
      <w:r>
        <w:rPr>
          <w:rFonts w:ascii="黑体" w:hAnsi="黑体" w:eastAsia="黑体"/>
          <w:sz w:val="32"/>
        </w:rPr>
        <w:t>九、财政拨款“三公”经费支出决算情况说明</w:t>
      </w:r>
    </w:p>
    <w:p w14:paraId="3723942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4BAAAA0">
      <w:pPr>
        <w:spacing w:line="580" w:lineRule="exact"/>
        <w:ind w:firstLine="640"/>
        <w:jc w:val="both"/>
      </w:pPr>
      <w:r>
        <w:rPr>
          <w:rFonts w:ascii="仿宋_GB2312" w:hAnsi="仿宋_GB2312" w:eastAsia="仿宋_GB2312"/>
          <w:b/>
          <w:sz w:val="32"/>
        </w:rPr>
        <w:t>具体情况如下：</w:t>
      </w:r>
    </w:p>
    <w:p w14:paraId="2D2FBD1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2B35FA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24E63C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90D5FD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A65D320">
      <w:pPr>
        <w:spacing w:line="640" w:lineRule="exact"/>
        <w:ind w:firstLine="640"/>
        <w:jc w:val="both"/>
        <w:outlineLvl w:val="2"/>
      </w:pPr>
      <w:r>
        <w:rPr>
          <w:rFonts w:ascii="黑体" w:hAnsi="黑体" w:eastAsia="黑体"/>
          <w:sz w:val="32"/>
        </w:rPr>
        <w:t>十、其他重要事项的情况说明</w:t>
      </w:r>
    </w:p>
    <w:p w14:paraId="56B28233">
      <w:pPr>
        <w:spacing w:line="640" w:lineRule="exact"/>
        <w:ind w:firstLine="640"/>
        <w:jc w:val="both"/>
        <w:outlineLvl w:val="3"/>
      </w:pPr>
      <w:r>
        <w:rPr>
          <w:rFonts w:ascii="楷体_GB2312" w:hAnsi="楷体_GB2312" w:eastAsia="楷体_GB2312"/>
          <w:b/>
          <w:sz w:val="32"/>
        </w:rPr>
        <w:t>（一）机关运行经费及公用经费支出情况</w:t>
      </w:r>
    </w:p>
    <w:p w14:paraId="570371A7">
      <w:pPr>
        <w:spacing w:line="580" w:lineRule="exact"/>
        <w:ind w:firstLine="640"/>
        <w:jc w:val="both"/>
      </w:pPr>
      <w:r>
        <w:rPr>
          <w:rFonts w:ascii="仿宋_GB2312" w:hAnsi="仿宋_GB2312" w:eastAsia="仿宋_GB2312"/>
          <w:b w:val="0"/>
          <w:sz w:val="32"/>
        </w:rPr>
        <w:t>2024年度喀什经济开发区疏附产业园（事业单位）公用经费支出0.30万元，比上年减少3.73万元，下降92.56%，主要原因是：本年在职人员减少，办公费减少，导致公用经费减少。</w:t>
      </w:r>
    </w:p>
    <w:p w14:paraId="2D2CFACE">
      <w:pPr>
        <w:spacing w:line="640" w:lineRule="exact"/>
        <w:ind w:firstLine="640"/>
        <w:jc w:val="both"/>
        <w:outlineLvl w:val="3"/>
      </w:pPr>
      <w:r>
        <w:rPr>
          <w:rFonts w:ascii="楷体_GB2312" w:hAnsi="楷体_GB2312" w:eastAsia="楷体_GB2312"/>
          <w:b/>
          <w:sz w:val="32"/>
        </w:rPr>
        <w:t>（二）政府采购情况</w:t>
      </w:r>
    </w:p>
    <w:p w14:paraId="1E6A1653">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3DB3BDF">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EB4053F">
      <w:pPr>
        <w:spacing w:line="640" w:lineRule="exact"/>
        <w:ind w:firstLine="640"/>
        <w:jc w:val="both"/>
        <w:outlineLvl w:val="3"/>
      </w:pPr>
      <w:r>
        <w:rPr>
          <w:rFonts w:ascii="楷体_GB2312" w:hAnsi="楷体_GB2312" w:eastAsia="楷体_GB2312"/>
          <w:b/>
          <w:sz w:val="32"/>
        </w:rPr>
        <w:t>（三）国有资产占用情况说明</w:t>
      </w:r>
    </w:p>
    <w:p w14:paraId="0F3756D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783264B">
      <w:pPr>
        <w:spacing w:line="640" w:lineRule="exact"/>
        <w:ind w:firstLine="640"/>
        <w:jc w:val="both"/>
        <w:outlineLvl w:val="2"/>
      </w:pPr>
      <w:r>
        <w:rPr>
          <w:rFonts w:ascii="黑体" w:hAnsi="黑体" w:eastAsia="黑体"/>
          <w:sz w:val="32"/>
        </w:rPr>
        <w:t>十一、预算绩效的情况说明</w:t>
      </w:r>
    </w:p>
    <w:p w14:paraId="0931C83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2,291.61万元，实际执行总额2,291.61万元；预算绩效评价项目4个，全年预算数2,189.60万元，全年执行数2,189.60万元。预算绩效管理取得的成效：一是对绩效执行进行时存在的偏差，进一步对绩效目标的设定细化和准确化，以保证绩效目标分步、分段、按进度推进，从而实现绩效目标；二是</w:t>
      </w:r>
      <w:r>
        <w:rPr>
          <w:rFonts w:hint="eastAsia" w:ascii="仿宋_GB2312" w:hAnsi="仿宋_GB2312" w:eastAsia="仿宋_GB2312"/>
          <w:b w:val="0"/>
          <w:sz w:val="32"/>
          <w:lang w:eastAsia="zh-CN"/>
        </w:rPr>
        <w:t>对</w:t>
      </w:r>
      <w:r>
        <w:rPr>
          <w:rFonts w:ascii="仿宋_GB2312" w:hAnsi="仿宋_GB2312" w:eastAsia="仿宋_GB2312"/>
          <w:b w:val="0"/>
          <w:sz w:val="32"/>
        </w:rPr>
        <w:t>绩效管理认识及理解，要进一步加强对系统全面的理论认识及培训，</w:t>
      </w:r>
      <w:r>
        <w:rPr>
          <w:rFonts w:hint="eastAsia" w:ascii="仿宋_GB2312" w:hAnsi="仿宋_GB2312" w:eastAsia="仿宋_GB2312"/>
          <w:b w:val="0"/>
          <w:sz w:val="32"/>
          <w:lang w:eastAsia="zh-CN"/>
        </w:rPr>
        <w:t>本单位</w:t>
      </w:r>
      <w:r>
        <w:rPr>
          <w:rFonts w:ascii="仿宋_GB2312" w:hAnsi="仿宋_GB2312" w:eastAsia="仿宋_GB2312"/>
          <w:b w:val="0"/>
          <w:sz w:val="32"/>
        </w:rPr>
        <w:t>将进一步加强绩效管理及学习及培训，加强绩效管理；三是</w:t>
      </w:r>
      <w:r>
        <w:rPr>
          <w:rFonts w:hint="eastAsia" w:ascii="仿宋_GB2312" w:hAnsi="仿宋_GB2312" w:eastAsia="仿宋_GB2312"/>
          <w:b w:val="0"/>
          <w:sz w:val="32"/>
          <w:lang w:eastAsia="zh-CN"/>
        </w:rPr>
        <w:t>本单位</w:t>
      </w:r>
      <w:r>
        <w:rPr>
          <w:rFonts w:ascii="仿宋_GB2312" w:hAnsi="仿宋_GB2312" w:eastAsia="仿宋_GB2312"/>
          <w:b w:val="0"/>
          <w:sz w:val="32"/>
        </w:rPr>
        <w:t>还将对绩效目标进行分解及监督，对绩效可能存在的问题及时纠偏、调整，同时建立健全内部控制制度，以保证绩效目标的完整执行、全面实施四是单位要综合考虑对绩效小组进行人员合理化配置、细化岗位职责、全面科学制定年度计划，确保绩效工作能够及时纠偏、全面覆盖。发现的问题及原因：本年</w:t>
      </w:r>
      <w:r>
        <w:rPr>
          <w:rFonts w:hint="eastAsia" w:ascii="仿宋_GB2312" w:hAnsi="仿宋_GB2312" w:eastAsia="仿宋_GB2312"/>
          <w:b w:val="0"/>
          <w:sz w:val="32"/>
          <w:lang w:eastAsia="zh-CN"/>
        </w:rPr>
        <w:t>本单位</w:t>
      </w:r>
      <w:r>
        <w:rPr>
          <w:rFonts w:ascii="仿宋_GB2312" w:hAnsi="仿宋_GB2312" w:eastAsia="仿宋_GB2312"/>
          <w:b w:val="0"/>
          <w:sz w:val="32"/>
        </w:rPr>
        <w:t>在绩效监督中，存在</w:t>
      </w:r>
      <w:r>
        <w:rPr>
          <w:rFonts w:hint="eastAsia" w:ascii="仿宋_GB2312" w:hAnsi="仿宋_GB2312" w:eastAsia="仿宋_GB2312"/>
          <w:b w:val="0"/>
          <w:sz w:val="32"/>
          <w:lang w:eastAsia="zh-CN"/>
        </w:rPr>
        <w:t>没有</w:t>
      </w:r>
      <w:r>
        <w:rPr>
          <w:rFonts w:ascii="仿宋_GB2312" w:hAnsi="仿宋_GB2312" w:eastAsia="仿宋_GB2312"/>
          <w:b w:val="0"/>
          <w:sz w:val="32"/>
        </w:rPr>
        <w:t>充分理解绩效理念，未充分运用到实际工作中，只注重资金支出是否合理规范，没有深刻认识到绩效管理的重要性。在项目执行中，存在一定偏差。下一步改进措施：一是对绩效执行进行时存在的偏差，进一步对绩效目标的设定细化和准确化，以保证绩效目标分步、分段、按进度推进，从而实现绩效目标；二是</w:t>
      </w:r>
      <w:r>
        <w:rPr>
          <w:rFonts w:hint="eastAsia" w:ascii="仿宋_GB2312" w:hAnsi="仿宋_GB2312" w:eastAsia="仿宋_GB2312"/>
          <w:b w:val="0"/>
          <w:sz w:val="32"/>
          <w:lang w:eastAsia="zh-CN"/>
        </w:rPr>
        <w:t>对</w:t>
      </w:r>
      <w:r>
        <w:rPr>
          <w:rFonts w:ascii="仿宋_GB2312" w:hAnsi="仿宋_GB2312" w:eastAsia="仿宋_GB2312"/>
          <w:b w:val="0"/>
          <w:sz w:val="32"/>
        </w:rPr>
        <w:t>绩效管理认识及理解，要进一步加强对系统全面的理论认识及培训，</w:t>
      </w:r>
      <w:r>
        <w:rPr>
          <w:rFonts w:hint="eastAsia" w:ascii="仿宋_GB2312" w:hAnsi="仿宋_GB2312" w:eastAsia="仿宋_GB2312"/>
          <w:b w:val="0"/>
          <w:sz w:val="32"/>
          <w:lang w:eastAsia="zh-CN"/>
        </w:rPr>
        <w:t>本单位</w:t>
      </w:r>
      <w:r>
        <w:rPr>
          <w:rFonts w:ascii="仿宋_GB2312" w:hAnsi="仿宋_GB2312" w:eastAsia="仿宋_GB2312"/>
          <w:b w:val="0"/>
          <w:sz w:val="32"/>
        </w:rPr>
        <w:t>将进一步加强绩效管理及学习及培训，加强绩效管理；三是</w:t>
      </w:r>
      <w:r>
        <w:rPr>
          <w:rFonts w:hint="eastAsia" w:ascii="仿宋_GB2312" w:hAnsi="仿宋_GB2312" w:eastAsia="仿宋_GB2312"/>
          <w:b w:val="0"/>
          <w:sz w:val="32"/>
          <w:lang w:eastAsia="zh-CN"/>
        </w:rPr>
        <w:t>本单位</w:t>
      </w:r>
      <w:r>
        <w:rPr>
          <w:rFonts w:ascii="仿宋_GB2312" w:hAnsi="仿宋_GB2312" w:eastAsia="仿宋_GB2312"/>
          <w:b w:val="0"/>
          <w:sz w:val="32"/>
        </w:rPr>
        <w:t>还将对绩效目标进行分解及监督，对绩效可能存在的问题及时纠偏、调整，同时建立健全内部控制制度，以保证绩效目标的完整执行、全面实施；四是单位要综合考虑对绩效小组进行人员合理化配置、细化岗位职责、全面科学制定年度计划，确保绩效工作能够及时纠偏、全面覆盖。具体附整体支出绩效自评表，项目支出绩效自评表和评价报告。</w:t>
      </w:r>
    </w:p>
    <w:p w14:paraId="59A04EF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721F01">
        <w:tblPrEx>
          <w:tblCellMar>
            <w:top w:w="0" w:type="dxa"/>
            <w:left w:w="108" w:type="dxa"/>
            <w:bottom w:w="0" w:type="dxa"/>
            <w:right w:w="108" w:type="dxa"/>
          </w:tblCellMar>
        </w:tblPrEx>
        <w:tc>
          <w:tcPr>
            <w:tcW w:w="8847" w:type="dxa"/>
            <w:gridSpan w:val="9"/>
            <w:vAlign w:val="center"/>
          </w:tcPr>
          <w:p w14:paraId="720E7844">
            <w:pPr>
              <w:jc w:val="center"/>
            </w:pPr>
            <w:r>
              <w:rPr>
                <w:rFonts w:ascii="宋体" w:hAnsi="宋体" w:eastAsia="宋体"/>
                <w:sz w:val="24"/>
              </w:rPr>
              <w:t>单位整体支出绩效自评表</w:t>
            </w:r>
          </w:p>
        </w:tc>
      </w:tr>
      <w:tr w14:paraId="1C76EDF2">
        <w:tblPrEx>
          <w:tblCellMar>
            <w:top w:w="0" w:type="dxa"/>
            <w:left w:w="108" w:type="dxa"/>
            <w:bottom w:w="0" w:type="dxa"/>
            <w:right w:w="108" w:type="dxa"/>
          </w:tblCellMar>
        </w:tblPrEx>
        <w:tc>
          <w:tcPr>
            <w:tcW w:w="8847" w:type="dxa"/>
            <w:gridSpan w:val="9"/>
            <w:vAlign w:val="center"/>
          </w:tcPr>
          <w:p w14:paraId="15303A03">
            <w:pPr>
              <w:jc w:val="center"/>
            </w:pPr>
            <w:r>
              <w:rPr>
                <w:rFonts w:ascii="宋体" w:hAnsi="宋体" w:eastAsia="宋体"/>
                <w:sz w:val="24"/>
              </w:rPr>
              <w:t>（2024年度）</w:t>
            </w:r>
          </w:p>
        </w:tc>
      </w:tr>
      <w:tr w14:paraId="1FED33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C8B7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768C30">
            <w:pPr>
              <w:jc w:val="center"/>
            </w:pPr>
            <w:r>
              <w:rPr>
                <w:rFonts w:ascii="宋体" w:hAnsi="宋体" w:eastAsia="宋体"/>
                <w:sz w:val="16"/>
              </w:rPr>
              <w:t>喀什经济开发区疏附产业园</w:t>
            </w:r>
          </w:p>
        </w:tc>
      </w:tr>
      <w:tr w14:paraId="0E944C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7F6C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926B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CD8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EB11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02A7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C07F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C83E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58485">
            <w:pPr>
              <w:jc w:val="center"/>
            </w:pPr>
            <w:r>
              <w:rPr>
                <w:rFonts w:ascii="宋体" w:hAnsi="宋体" w:eastAsia="宋体"/>
                <w:sz w:val="16"/>
              </w:rPr>
              <w:t>得分</w:t>
            </w:r>
          </w:p>
        </w:tc>
      </w:tr>
      <w:tr w14:paraId="680FF8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A94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4417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D3977">
            <w:pPr>
              <w:jc w:val="center"/>
            </w:pPr>
            <w:r>
              <w:rPr>
                <w:rFonts w:ascii="宋体" w:hAnsi="宋体" w:eastAsia="宋体"/>
                <w:sz w:val="16"/>
              </w:rPr>
              <w:t>52.28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881F4">
            <w:pPr>
              <w:jc w:val="center"/>
            </w:pPr>
            <w:r>
              <w:rPr>
                <w:rFonts w:ascii="宋体" w:hAnsi="宋体" w:eastAsia="宋体"/>
                <w:sz w:val="16"/>
              </w:rPr>
              <w:t>2,291.61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EF87E">
            <w:pPr>
              <w:jc w:val="center"/>
            </w:pPr>
            <w:r>
              <w:rPr>
                <w:rFonts w:ascii="宋体" w:hAnsi="宋体" w:eastAsia="宋体"/>
                <w:sz w:val="16"/>
              </w:rPr>
              <w:t>2,291.61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37A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36EA1">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3BFB6">
            <w:pPr>
              <w:jc w:val="center"/>
            </w:pPr>
            <w:r>
              <w:rPr>
                <w:rFonts w:ascii="宋体" w:hAnsi="宋体" w:eastAsia="宋体"/>
                <w:sz w:val="16"/>
              </w:rPr>
              <w:t>10</w:t>
            </w:r>
          </w:p>
        </w:tc>
      </w:tr>
      <w:tr w14:paraId="198241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B86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8A2B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5A6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E74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887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C7D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CFF2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20527">
            <w:pPr>
              <w:jc w:val="center"/>
            </w:pPr>
            <w:r>
              <w:rPr>
                <w:rFonts w:ascii="宋体" w:hAnsi="宋体" w:eastAsia="宋体"/>
                <w:sz w:val="16"/>
              </w:rPr>
              <w:t>—</w:t>
            </w:r>
          </w:p>
        </w:tc>
      </w:tr>
      <w:tr w14:paraId="787E8E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7E4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C97E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B9F02">
            <w:pPr>
              <w:jc w:val="center"/>
            </w:pPr>
            <w:r>
              <w:rPr>
                <w:rFonts w:ascii="宋体" w:hAnsi="宋体" w:eastAsia="宋体"/>
                <w:sz w:val="16"/>
              </w:rPr>
              <w:t>52.28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0DBBE">
            <w:pPr>
              <w:jc w:val="center"/>
            </w:pPr>
            <w:r>
              <w:rPr>
                <w:rFonts w:ascii="宋体" w:hAnsi="宋体" w:eastAsia="宋体"/>
                <w:sz w:val="16"/>
              </w:rPr>
              <w:t>560.63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2FBA6">
            <w:pPr>
              <w:jc w:val="center"/>
            </w:pPr>
            <w:r>
              <w:rPr>
                <w:rFonts w:ascii="宋体" w:hAnsi="宋体" w:eastAsia="宋体"/>
                <w:sz w:val="16"/>
              </w:rPr>
              <w:t>560.63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2D5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2332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C5390">
            <w:pPr>
              <w:jc w:val="center"/>
            </w:pPr>
            <w:r>
              <w:rPr>
                <w:rFonts w:ascii="宋体" w:hAnsi="宋体" w:eastAsia="宋体"/>
                <w:sz w:val="16"/>
              </w:rPr>
              <w:t>—</w:t>
            </w:r>
          </w:p>
        </w:tc>
      </w:tr>
      <w:tr w14:paraId="194D9E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D3D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3D6A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CD7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9A796">
            <w:pPr>
              <w:jc w:val="center"/>
            </w:pPr>
            <w:r>
              <w:rPr>
                <w:rFonts w:ascii="宋体" w:hAnsi="宋体" w:eastAsia="宋体"/>
                <w:sz w:val="16"/>
              </w:rPr>
              <w:t>1,730.98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B9F26">
            <w:pPr>
              <w:jc w:val="center"/>
            </w:pPr>
            <w:r>
              <w:rPr>
                <w:rFonts w:ascii="宋体" w:hAnsi="宋体" w:eastAsia="宋体"/>
                <w:sz w:val="16"/>
              </w:rPr>
              <w:t>1,730.98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D94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F08F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CC74B">
            <w:pPr>
              <w:jc w:val="center"/>
            </w:pPr>
            <w:r>
              <w:rPr>
                <w:rFonts w:ascii="宋体" w:hAnsi="宋体" w:eastAsia="宋体"/>
                <w:sz w:val="16"/>
              </w:rPr>
              <w:t>—</w:t>
            </w:r>
          </w:p>
        </w:tc>
      </w:tr>
      <w:tr w14:paraId="5C58C8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061A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8D331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2802D1">
            <w:pPr>
              <w:jc w:val="center"/>
            </w:pPr>
            <w:r>
              <w:rPr>
                <w:rFonts w:ascii="宋体" w:hAnsi="宋体" w:eastAsia="宋体"/>
                <w:sz w:val="16"/>
              </w:rPr>
              <w:t>实际完成情况</w:t>
            </w:r>
          </w:p>
        </w:tc>
      </w:tr>
      <w:tr w14:paraId="3D0479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0467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D6B2E6">
            <w:pPr>
              <w:jc w:val="both"/>
            </w:pPr>
            <w:r>
              <w:rPr>
                <w:rFonts w:ascii="宋体" w:hAnsi="宋体" w:eastAsia="宋体"/>
                <w:sz w:val="16"/>
              </w:rPr>
              <w:t>高度重视，加强党工委和支部建设，充分发挥党工委班子的领导核心作用，严格执行民主集中制，切实加强对产业园的领导。充分发挥基层党组织的战斗堡垒作用，把基层党组织建设作为一项基础工作来抓，按规定认真组织开展党建工作，努力健全充满活力的工作运行机制，推进党建工作的</w:t>
            </w:r>
            <w:r>
              <w:rPr>
                <w:rFonts w:hint="eastAsia" w:ascii="宋体" w:hAnsi="宋体"/>
                <w:sz w:val="16"/>
                <w:lang w:eastAsia="zh-CN"/>
              </w:rPr>
              <w:t>制度化、规范化、科学化</w:t>
            </w:r>
            <w:r>
              <w:rPr>
                <w:rFonts w:ascii="宋体" w:hAnsi="宋体" w:eastAsia="宋体"/>
                <w:sz w:val="16"/>
              </w:rPr>
              <w:t>。压实责任，发挥党建办、招商办、项目办、企业服务办作用，统筹协调推进产业园各项工作。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5B0A18">
            <w:pPr>
              <w:jc w:val="both"/>
            </w:pPr>
            <w:r>
              <w:rPr>
                <w:rFonts w:ascii="宋体" w:hAnsi="宋体" w:eastAsia="宋体"/>
                <w:sz w:val="16"/>
              </w:rPr>
              <w:t>产业园高度重视，加强党工委和支部建设，充分发挥党工委班子的领导核心作用，严格执行民主集中制，切实加强对产业园的领导。2024年完成年度设定目标：招录培训人数20人，规范生产监督整改合格率100%，企业困难诉求解决完成率100%，监督检查整改率100%，促进招</w:t>
            </w:r>
            <w:r>
              <w:rPr>
                <w:rFonts w:hint="eastAsia" w:ascii="宋体" w:hAnsi="宋体"/>
                <w:sz w:val="16"/>
                <w:lang w:eastAsia="zh-CN"/>
              </w:rPr>
              <w:t>商引资</w:t>
            </w:r>
            <w:r>
              <w:rPr>
                <w:rFonts w:ascii="宋体" w:hAnsi="宋体" w:eastAsia="宋体"/>
                <w:sz w:val="16"/>
              </w:rPr>
              <w:t>，解决本地区居民就业率达到95%，充分发挥基层党组织的战斗堡垒作用，把基层党组织建设作为一项基础工作来抓，按规定认真组织开展党建工作，努力健全充满活力的工作运行机制，推进党建工作的</w:t>
            </w:r>
            <w:r>
              <w:rPr>
                <w:rFonts w:hint="eastAsia" w:ascii="宋体" w:hAnsi="宋体"/>
                <w:sz w:val="16"/>
                <w:lang w:eastAsia="zh-CN"/>
              </w:rPr>
              <w:t>制度化、规范化、科学化</w:t>
            </w:r>
            <w:r>
              <w:rPr>
                <w:rFonts w:ascii="宋体" w:hAnsi="宋体" w:eastAsia="宋体"/>
                <w:sz w:val="16"/>
              </w:rPr>
              <w:t>。压实责任，发挥党建办、招商办、项目办、企业服务办作用，统筹协调推进产业园各项工作。</w:t>
            </w:r>
          </w:p>
        </w:tc>
      </w:tr>
      <w:tr w14:paraId="258F72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2A6E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2E44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ED2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7E96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830A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429F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1C5A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4184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C0078">
            <w:pPr>
              <w:jc w:val="center"/>
            </w:pPr>
            <w:r>
              <w:rPr>
                <w:rFonts w:ascii="宋体" w:hAnsi="宋体" w:eastAsia="宋体"/>
                <w:sz w:val="16"/>
              </w:rPr>
              <w:t>得分</w:t>
            </w:r>
          </w:p>
        </w:tc>
      </w:tr>
      <w:tr w14:paraId="0E6DDC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5669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F4A8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5FD52">
            <w:pPr>
              <w:jc w:val="center"/>
            </w:pPr>
            <w:r>
              <w:rPr>
                <w:rFonts w:ascii="宋体" w:hAnsi="宋体" w:eastAsia="宋体"/>
                <w:sz w:val="16"/>
              </w:rPr>
              <w:t>计划招录培训人数（人）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8C9B5">
            <w:pPr>
              <w:jc w:val="center"/>
            </w:pPr>
            <w:r>
              <w:rPr>
                <w:rFonts w:ascii="宋体" w:hAnsi="宋体" w:eastAsia="宋体"/>
                <w:sz w:val="16"/>
              </w:rPr>
              <w:t>&gt;=20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A1942">
            <w:pPr>
              <w:jc w:val="center"/>
            </w:pPr>
            <w:r>
              <w:rPr>
                <w:rFonts w:ascii="宋体" w:hAnsi="宋体" w:eastAsia="宋体"/>
                <w:sz w:val="16"/>
              </w:rPr>
              <w:t>喀什经济开发区疏附产业园2024年工作计划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3C5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9C3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B5B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D7847">
            <w:pPr>
              <w:jc w:val="center"/>
            </w:pPr>
            <w:r>
              <w:rPr>
                <w:rFonts w:ascii="宋体" w:hAnsi="宋体" w:eastAsia="宋体"/>
                <w:sz w:val="16"/>
              </w:rPr>
              <w:t>20</w:t>
            </w:r>
          </w:p>
        </w:tc>
      </w:tr>
      <w:tr w14:paraId="1927D0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6BC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6E7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53F59">
            <w:pPr>
              <w:jc w:val="center"/>
            </w:pPr>
            <w:r>
              <w:rPr>
                <w:rFonts w:ascii="宋体" w:hAnsi="宋体" w:eastAsia="宋体"/>
                <w:sz w:val="16"/>
              </w:rPr>
              <w:t>规范生产监督整改合格率（%）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00F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6719D">
            <w:pPr>
              <w:jc w:val="center"/>
            </w:pPr>
            <w:r>
              <w:rPr>
                <w:rFonts w:ascii="宋体" w:hAnsi="宋体" w:eastAsia="宋体"/>
                <w:sz w:val="16"/>
              </w:rPr>
              <w:t>喀什经济开发区疏附产业园2024年工作计划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EEB8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D1D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B1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2313D">
            <w:pPr>
              <w:jc w:val="center"/>
            </w:pPr>
            <w:r>
              <w:rPr>
                <w:rFonts w:ascii="宋体" w:hAnsi="宋体" w:eastAsia="宋体"/>
                <w:sz w:val="16"/>
              </w:rPr>
              <w:t>20</w:t>
            </w:r>
          </w:p>
        </w:tc>
      </w:tr>
      <w:tr w14:paraId="245054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89E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F49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6B78E">
            <w:pPr>
              <w:jc w:val="center"/>
            </w:pPr>
            <w:r>
              <w:rPr>
                <w:rFonts w:ascii="宋体" w:hAnsi="宋体" w:eastAsia="宋体"/>
                <w:sz w:val="16"/>
              </w:rPr>
              <w:t>企业困难诉求解决完成率（%）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EF0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80FA0">
            <w:pPr>
              <w:jc w:val="center"/>
            </w:pPr>
            <w:r>
              <w:rPr>
                <w:rFonts w:ascii="宋体" w:hAnsi="宋体" w:eastAsia="宋体"/>
                <w:sz w:val="16"/>
              </w:rPr>
              <w:t>喀什经济开发区疏附产业园2024年工作计划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55B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031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F58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6A7D9">
            <w:pPr>
              <w:jc w:val="center"/>
            </w:pPr>
            <w:r>
              <w:rPr>
                <w:rFonts w:ascii="宋体" w:hAnsi="宋体" w:eastAsia="宋体"/>
                <w:sz w:val="16"/>
              </w:rPr>
              <w:t>20</w:t>
            </w:r>
          </w:p>
        </w:tc>
      </w:tr>
      <w:tr w14:paraId="71D5FF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F4E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7BE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CA9F4">
            <w:pPr>
              <w:jc w:val="center"/>
            </w:pPr>
            <w:r>
              <w:rPr>
                <w:rFonts w:ascii="宋体" w:hAnsi="宋体" w:eastAsia="宋体"/>
                <w:sz w:val="16"/>
              </w:rPr>
              <w:t>监督检查整改率（%）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BD1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C5FC4">
            <w:pPr>
              <w:jc w:val="center"/>
            </w:pPr>
            <w:r>
              <w:rPr>
                <w:rFonts w:ascii="宋体" w:hAnsi="宋体" w:eastAsia="宋体"/>
                <w:sz w:val="16"/>
              </w:rPr>
              <w:t>喀什经济开发区疏附产业园2024年工作计划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62C2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E98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D61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7C263">
            <w:pPr>
              <w:jc w:val="center"/>
            </w:pPr>
            <w:r>
              <w:rPr>
                <w:rFonts w:ascii="宋体" w:hAnsi="宋体" w:eastAsia="宋体"/>
                <w:sz w:val="16"/>
              </w:rPr>
              <w:t>15</w:t>
            </w:r>
          </w:p>
        </w:tc>
      </w:tr>
      <w:tr w14:paraId="68F12A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6FC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D48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DC509">
            <w:pPr>
              <w:jc w:val="center"/>
            </w:pPr>
            <w:r>
              <w:rPr>
                <w:rFonts w:ascii="宋体" w:hAnsi="宋体" w:eastAsia="宋体"/>
                <w:sz w:val="16"/>
              </w:rPr>
              <w:t>促进招商引资，解决本地区居民就业率（%）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2080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7907">
            <w:pPr>
              <w:jc w:val="center"/>
            </w:pPr>
            <w:r>
              <w:rPr>
                <w:rFonts w:ascii="宋体" w:hAnsi="宋体" w:eastAsia="宋体"/>
                <w:sz w:val="16"/>
              </w:rPr>
              <w:t>喀什经济开发区疏附产业园2024年工作计划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C2D1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019B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945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5C27">
            <w:pPr>
              <w:jc w:val="center"/>
            </w:pPr>
            <w:r>
              <w:rPr>
                <w:rFonts w:ascii="宋体" w:hAnsi="宋体" w:eastAsia="宋体"/>
                <w:sz w:val="16"/>
              </w:rPr>
              <w:t>15</w:t>
            </w:r>
          </w:p>
        </w:tc>
      </w:tr>
    </w:tbl>
    <w:p w14:paraId="780896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F735465">
        <w:tblPrEx>
          <w:tblCellMar>
            <w:top w:w="0" w:type="dxa"/>
            <w:left w:w="108" w:type="dxa"/>
            <w:bottom w:w="0" w:type="dxa"/>
            <w:right w:w="108" w:type="dxa"/>
          </w:tblCellMar>
        </w:tblPrEx>
        <w:tc>
          <w:tcPr>
            <w:tcW w:w="8848" w:type="dxa"/>
            <w:gridSpan w:val="14"/>
            <w:vAlign w:val="center"/>
          </w:tcPr>
          <w:p w14:paraId="7317D880">
            <w:pPr>
              <w:jc w:val="center"/>
            </w:pPr>
            <w:r>
              <w:rPr>
                <w:rFonts w:ascii="宋体" w:hAnsi="宋体" w:eastAsia="宋体"/>
                <w:sz w:val="24"/>
              </w:rPr>
              <w:t>项目支出绩效自评表</w:t>
            </w:r>
          </w:p>
        </w:tc>
      </w:tr>
      <w:tr w14:paraId="7CE4283A">
        <w:tblPrEx>
          <w:tblCellMar>
            <w:top w:w="0" w:type="dxa"/>
            <w:left w:w="108" w:type="dxa"/>
            <w:bottom w:w="0" w:type="dxa"/>
            <w:right w:w="108" w:type="dxa"/>
          </w:tblCellMar>
        </w:tblPrEx>
        <w:tc>
          <w:tcPr>
            <w:tcW w:w="8848" w:type="dxa"/>
            <w:gridSpan w:val="14"/>
            <w:vAlign w:val="center"/>
          </w:tcPr>
          <w:p w14:paraId="589B5ECD">
            <w:pPr>
              <w:jc w:val="center"/>
            </w:pPr>
            <w:r>
              <w:rPr>
                <w:rFonts w:ascii="宋体" w:hAnsi="宋体" w:eastAsia="宋体"/>
                <w:sz w:val="24"/>
              </w:rPr>
              <w:t>(2024年度)</w:t>
            </w:r>
          </w:p>
        </w:tc>
      </w:tr>
      <w:tr w14:paraId="7475A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F5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9CD0B0">
            <w:pPr>
              <w:jc w:val="center"/>
            </w:pPr>
            <w:r>
              <w:rPr>
                <w:rFonts w:ascii="宋体" w:hAnsi="宋体" w:eastAsia="宋体"/>
                <w:sz w:val="16"/>
              </w:rPr>
              <w:t>喀什经济开发区疏附产业园保障性公共租赁住房及配套附属设施建设项目（一期）</w:t>
            </w:r>
          </w:p>
        </w:tc>
      </w:tr>
      <w:tr w14:paraId="6ADDF0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6C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3485F6">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38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A3A9DF">
            <w:pPr>
              <w:jc w:val="center"/>
            </w:pPr>
            <w:r>
              <w:rPr>
                <w:rFonts w:ascii="宋体" w:hAnsi="宋体" w:eastAsia="宋体"/>
                <w:sz w:val="16"/>
              </w:rPr>
              <w:t>喀什经济开发区疏附产业园</w:t>
            </w:r>
          </w:p>
        </w:tc>
      </w:tr>
      <w:tr w14:paraId="4FCAE5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DBF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FFA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A8E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A6E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E26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CFD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2C9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8A58">
            <w:pPr>
              <w:jc w:val="center"/>
            </w:pPr>
            <w:r>
              <w:rPr>
                <w:rFonts w:ascii="宋体" w:hAnsi="宋体" w:eastAsia="宋体"/>
                <w:sz w:val="16"/>
              </w:rPr>
              <w:t>得分</w:t>
            </w:r>
          </w:p>
        </w:tc>
      </w:tr>
      <w:tr w14:paraId="4E1AE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4B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316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D4A58">
            <w:pPr>
              <w:jc w:val="center"/>
            </w:pPr>
            <w:r>
              <w:rPr>
                <w:rFonts w:ascii="宋体" w:hAnsi="宋体" w:eastAsia="宋体"/>
                <w:sz w:val="16"/>
              </w:rPr>
              <w:t>1,728.00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B92F5">
            <w:pPr>
              <w:jc w:val="center"/>
            </w:pPr>
            <w:r>
              <w:rPr>
                <w:rFonts w:ascii="宋体" w:hAnsi="宋体" w:eastAsia="宋体"/>
                <w:sz w:val="16"/>
              </w:rPr>
              <w:t>1,728.00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93D4D">
            <w:pPr>
              <w:jc w:val="center"/>
            </w:pPr>
            <w:r>
              <w:rPr>
                <w:rFonts w:ascii="宋体" w:hAnsi="宋体" w:eastAsia="宋体"/>
                <w:sz w:val="16"/>
              </w:rPr>
              <w:t>1,728.00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8D9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A6E8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3A27">
            <w:pPr>
              <w:jc w:val="center"/>
            </w:pPr>
            <w:r>
              <w:rPr>
                <w:rFonts w:ascii="宋体" w:hAnsi="宋体" w:eastAsia="宋体"/>
                <w:sz w:val="16"/>
              </w:rPr>
              <w:t>10.00分</w:t>
            </w:r>
          </w:p>
        </w:tc>
      </w:tr>
      <w:tr w14:paraId="1E129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02C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D7B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72B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DF5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41E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1F1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D7B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7DFD">
            <w:pPr>
              <w:jc w:val="center"/>
            </w:pPr>
            <w:r>
              <w:rPr>
                <w:rFonts w:ascii="宋体" w:hAnsi="宋体" w:eastAsia="宋体"/>
                <w:sz w:val="16"/>
              </w:rPr>
              <w:t>—</w:t>
            </w:r>
          </w:p>
        </w:tc>
      </w:tr>
      <w:tr w14:paraId="5E45B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D10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849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79EA2">
            <w:pPr>
              <w:jc w:val="center"/>
            </w:pPr>
            <w:r>
              <w:rPr>
                <w:rFonts w:ascii="宋体" w:hAnsi="宋体" w:eastAsia="宋体"/>
                <w:sz w:val="16"/>
              </w:rPr>
              <w:t>1,728.00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85722">
            <w:pPr>
              <w:jc w:val="center"/>
            </w:pPr>
            <w:r>
              <w:rPr>
                <w:rFonts w:ascii="宋体" w:hAnsi="宋体" w:eastAsia="宋体"/>
                <w:sz w:val="16"/>
              </w:rPr>
              <w:t>1,728.00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82D6F">
            <w:pPr>
              <w:jc w:val="center"/>
            </w:pPr>
            <w:r>
              <w:rPr>
                <w:rFonts w:ascii="宋体" w:hAnsi="宋体" w:eastAsia="宋体"/>
                <w:sz w:val="16"/>
              </w:rPr>
              <w:t>1,728.00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261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0D9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32B4">
            <w:pPr>
              <w:jc w:val="center"/>
            </w:pPr>
            <w:r>
              <w:rPr>
                <w:rFonts w:ascii="宋体" w:hAnsi="宋体" w:eastAsia="宋体"/>
                <w:sz w:val="16"/>
              </w:rPr>
              <w:t>—</w:t>
            </w:r>
          </w:p>
        </w:tc>
      </w:tr>
      <w:tr w14:paraId="499500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9D8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7BC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2BEEF9">
            <w:pPr>
              <w:jc w:val="center"/>
            </w:pPr>
            <w:r>
              <w:rPr>
                <w:rFonts w:ascii="宋体" w:hAnsi="宋体" w:eastAsia="宋体"/>
                <w:sz w:val="16"/>
              </w:rPr>
              <w:t>实际完成情况</w:t>
            </w:r>
          </w:p>
        </w:tc>
      </w:tr>
      <w:tr w14:paraId="11A69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08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8BB7B6">
            <w:pPr>
              <w:jc w:val="both"/>
            </w:pPr>
            <w:r>
              <w:rPr>
                <w:rFonts w:ascii="宋体" w:hAnsi="宋体" w:eastAsia="宋体"/>
                <w:sz w:val="16"/>
              </w:rPr>
              <w:t>本项目预算金额1728万元，建筑面积12184平方米，计划2025年4月20日前竣工，解决园区员工居住需求，达到员工满意度95%以上。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8FF3AB">
            <w:pPr>
              <w:jc w:val="both"/>
            </w:pPr>
            <w:r>
              <w:rPr>
                <w:rFonts w:hint="eastAsia" w:ascii="宋体" w:hAnsi="宋体"/>
                <w:sz w:val="16"/>
                <w:lang w:eastAsia="zh-CN"/>
              </w:rPr>
              <w:t>截至</w:t>
            </w:r>
            <w:r>
              <w:rPr>
                <w:rFonts w:ascii="宋体" w:hAnsi="宋体" w:eastAsia="宋体"/>
                <w:sz w:val="16"/>
              </w:rPr>
              <w:t>2024年12月31日，本项目全年预算数为1728万元，全年执行数为1728万元，全年执行率为100%。已完成喀什经济开发区疏附产业园保障性公共租赁住房及配套附属建设项目，新建建筑面积12184平方米；项目竣工验收时间2025年4月20日前；项目总投资费用1728万元；有效解决园区员工居住问题；园区员工满意度95%。</w:t>
            </w:r>
          </w:p>
        </w:tc>
      </w:tr>
      <w:tr w14:paraId="250D5E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FA4A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54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54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34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DF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68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C8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C0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0F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C1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C6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9D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CDDA0">
            <w:pPr>
              <w:jc w:val="center"/>
            </w:pPr>
            <w:r>
              <w:rPr>
                <w:rFonts w:ascii="宋体" w:hAnsi="宋体" w:eastAsia="宋体"/>
                <w:sz w:val="16"/>
              </w:rPr>
              <w:t>偏差原因分析及改进措施</w:t>
            </w:r>
          </w:p>
        </w:tc>
      </w:tr>
      <w:tr w14:paraId="4FF56D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083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49E5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ED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9DBD">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2C3E">
            <w:pPr>
              <w:jc w:val="center"/>
            </w:pPr>
            <w:r>
              <w:rPr>
                <w:rFonts w:ascii="宋体" w:hAnsi="宋体" w:eastAsia="宋体"/>
                <w:sz w:val="16"/>
              </w:rPr>
              <w:t>&gt;=12184平方米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88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2D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8A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1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E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2F96">
            <w:pPr>
              <w:jc w:val="center"/>
            </w:pPr>
            <w:r>
              <w:rPr>
                <w:rFonts w:ascii="宋体" w:hAnsi="宋体" w:eastAsia="宋体"/>
                <w:sz w:val="16"/>
              </w:rPr>
              <w:t>=12184平方米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8B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32537">
            <w:pPr>
              <w:jc w:val="center"/>
            </w:pPr>
          </w:p>
        </w:tc>
      </w:tr>
      <w:tr w14:paraId="5D6FE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4A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502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29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59E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0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D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35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4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88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FD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3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85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0E816">
            <w:pPr>
              <w:jc w:val="center"/>
            </w:pPr>
          </w:p>
        </w:tc>
      </w:tr>
      <w:tr w14:paraId="67D5A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FC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AF8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5E4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5767">
            <w:pPr>
              <w:jc w:val="center"/>
            </w:pPr>
            <w:r>
              <w:rPr>
                <w:rFonts w:ascii="宋体" w:hAnsi="宋体" w:eastAsia="宋体"/>
                <w:sz w:val="16"/>
              </w:rPr>
              <w:t>项目竣工验收时间（年/月/日）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A34A">
            <w:pPr>
              <w:jc w:val="center"/>
            </w:pPr>
            <w:r>
              <w:rPr>
                <w:rFonts w:ascii="宋体" w:hAnsi="宋体" w:eastAsia="宋体"/>
                <w:sz w:val="16"/>
              </w:rPr>
              <w:t>2025年4月20日前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E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04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84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9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9B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B77A">
            <w:pPr>
              <w:jc w:val="center"/>
            </w:pPr>
            <w:r>
              <w:rPr>
                <w:rFonts w:ascii="宋体" w:hAnsi="宋体" w:eastAsia="宋体"/>
                <w:sz w:val="16"/>
              </w:rPr>
              <w:t>=2025年9月5日前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10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A3741">
            <w:pPr>
              <w:jc w:val="center"/>
            </w:pPr>
            <w:r>
              <w:rPr>
                <w:rFonts w:ascii="宋体" w:hAnsi="宋体" w:eastAsia="宋体"/>
                <w:sz w:val="16"/>
              </w:rPr>
              <w:t>原因：由于该项目</w:t>
            </w:r>
            <w:r>
              <w:rPr>
                <w:rFonts w:hint="eastAsia" w:ascii="宋体" w:hAnsi="宋体"/>
                <w:sz w:val="16"/>
                <w:lang w:eastAsia="zh-CN"/>
              </w:rPr>
              <w:t>尚未</w:t>
            </w:r>
            <w:r>
              <w:rPr>
                <w:rFonts w:ascii="宋体" w:hAnsi="宋体" w:eastAsia="宋体"/>
                <w:sz w:val="16"/>
              </w:rPr>
              <w:t>竣工完毕，出现25%偏差。整改措施：加快进度。</w:t>
            </w:r>
          </w:p>
        </w:tc>
      </w:tr>
      <w:tr w14:paraId="53D42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CB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DD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0D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68A3">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0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3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63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A7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B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5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E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CC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29659">
            <w:pPr>
              <w:jc w:val="center"/>
            </w:pPr>
          </w:p>
        </w:tc>
      </w:tr>
      <w:tr w14:paraId="307FB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731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B6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B6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B5BA">
            <w:pPr>
              <w:jc w:val="center"/>
            </w:pPr>
            <w:r>
              <w:rPr>
                <w:rFonts w:ascii="宋体" w:hAnsi="宋体" w:eastAsia="宋体"/>
                <w:sz w:val="16"/>
              </w:rPr>
              <w:t>项目总投资费用（万元）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A6E6">
            <w:pPr>
              <w:jc w:val="center"/>
            </w:pPr>
            <w:r>
              <w:rPr>
                <w:rFonts w:ascii="宋体" w:hAnsi="宋体" w:eastAsia="宋体"/>
                <w:sz w:val="16"/>
              </w:rPr>
              <w:t>&lt;=1728万元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BC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1D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E2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74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99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687B">
            <w:pPr>
              <w:jc w:val="center"/>
            </w:pPr>
            <w:r>
              <w:rPr>
                <w:rFonts w:ascii="宋体" w:hAnsi="宋体" w:eastAsia="宋体"/>
                <w:sz w:val="16"/>
              </w:rPr>
              <w:t>=1728万元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ED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622E0">
            <w:pPr>
              <w:jc w:val="center"/>
            </w:pPr>
          </w:p>
        </w:tc>
      </w:tr>
      <w:tr w14:paraId="5705A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5B6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C8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EF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E21E">
            <w:pPr>
              <w:jc w:val="center"/>
            </w:pPr>
            <w:r>
              <w:rPr>
                <w:rFonts w:ascii="宋体" w:hAnsi="宋体" w:eastAsia="宋体"/>
                <w:sz w:val="16"/>
              </w:rPr>
              <w:t>解决园区员工居住问题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1F4C">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7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7E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C2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BC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6E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EAC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EA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84673">
            <w:pPr>
              <w:jc w:val="center"/>
            </w:pPr>
          </w:p>
        </w:tc>
      </w:tr>
      <w:tr w14:paraId="68166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86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02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C8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CCD9">
            <w:pPr>
              <w:jc w:val="center"/>
            </w:pPr>
            <w:r>
              <w:rPr>
                <w:rFonts w:ascii="宋体" w:hAnsi="宋体" w:eastAsia="宋体"/>
                <w:sz w:val="16"/>
              </w:rPr>
              <w:t>员工满意度（%）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B9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71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94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C4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2F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F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6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E9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1039C">
            <w:pPr>
              <w:jc w:val="center"/>
            </w:pPr>
          </w:p>
        </w:tc>
      </w:tr>
      <w:tr w14:paraId="28A4BED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C75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90A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0E0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A3D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CC51B2"/>
        </w:tc>
      </w:tr>
    </w:tbl>
    <w:p w14:paraId="12F05ABE">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856"/>
        <w:gridCol w:w="616"/>
        <w:gridCol w:w="616"/>
        <w:gridCol w:w="621"/>
        <w:gridCol w:w="616"/>
        <w:gridCol w:w="616"/>
        <w:gridCol w:w="697"/>
        <w:gridCol w:w="633"/>
        <w:gridCol w:w="603"/>
        <w:gridCol w:w="632"/>
      </w:tblGrid>
      <w:tr w14:paraId="6323A5A2">
        <w:tblPrEx>
          <w:tblCellMar>
            <w:top w:w="0" w:type="dxa"/>
            <w:left w:w="108" w:type="dxa"/>
            <w:bottom w:w="0" w:type="dxa"/>
            <w:right w:w="108" w:type="dxa"/>
          </w:tblCellMar>
        </w:tblPrEx>
        <w:tc>
          <w:tcPr>
            <w:tcW w:w="9060" w:type="dxa"/>
            <w:gridSpan w:val="14"/>
            <w:vAlign w:val="center"/>
          </w:tcPr>
          <w:p w14:paraId="714793C0">
            <w:pPr>
              <w:jc w:val="center"/>
            </w:pPr>
            <w:r>
              <w:rPr>
                <w:rFonts w:ascii="宋体" w:hAnsi="宋体" w:eastAsia="宋体"/>
                <w:sz w:val="24"/>
              </w:rPr>
              <w:t>项目支出绩效自评表</w:t>
            </w:r>
          </w:p>
        </w:tc>
      </w:tr>
      <w:tr w14:paraId="101CA519">
        <w:tblPrEx>
          <w:tblCellMar>
            <w:top w:w="0" w:type="dxa"/>
            <w:left w:w="108" w:type="dxa"/>
            <w:bottom w:w="0" w:type="dxa"/>
            <w:right w:w="108" w:type="dxa"/>
          </w:tblCellMar>
        </w:tblPrEx>
        <w:tc>
          <w:tcPr>
            <w:tcW w:w="9060" w:type="dxa"/>
            <w:gridSpan w:val="14"/>
            <w:vAlign w:val="center"/>
          </w:tcPr>
          <w:p w14:paraId="1C5BAAF0">
            <w:pPr>
              <w:jc w:val="center"/>
            </w:pPr>
            <w:r>
              <w:rPr>
                <w:rFonts w:ascii="宋体" w:hAnsi="宋体" w:eastAsia="宋体"/>
                <w:sz w:val="24"/>
              </w:rPr>
              <w:t>(2024年度)</w:t>
            </w:r>
          </w:p>
        </w:tc>
      </w:tr>
      <w:tr w14:paraId="74C9998C">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2A7E92">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E2B8B8">
            <w:pPr>
              <w:jc w:val="center"/>
            </w:pPr>
            <w:r>
              <w:rPr>
                <w:rFonts w:ascii="宋体" w:hAnsi="宋体" w:eastAsia="宋体"/>
                <w:sz w:val="16"/>
              </w:rPr>
              <w:t>喀什经济开发区疏附产业园偿还历年欠款项目</w:t>
            </w:r>
          </w:p>
        </w:tc>
      </w:tr>
      <w:tr w14:paraId="40C583D4">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5FA4AC">
            <w:pPr>
              <w:jc w:val="center"/>
            </w:pPr>
            <w:r>
              <w:rPr>
                <w:rFonts w:ascii="宋体" w:hAnsi="宋体" w:eastAsia="宋体"/>
                <w:sz w:val="16"/>
              </w:rPr>
              <w:t>主管部门</w:t>
            </w:r>
          </w:p>
        </w:tc>
        <w:tc>
          <w:tcPr>
            <w:tcW w:w="463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F70C6">
            <w:pPr>
              <w:jc w:val="center"/>
            </w:pPr>
            <w:r>
              <w:rPr>
                <w:rFonts w:ascii="宋体" w:hAnsi="宋体" w:eastAsia="宋体"/>
                <w:sz w:val="16"/>
              </w:rPr>
              <w:t>新疆维吾尔自治区人民政府</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17857FC">
            <w:pPr>
              <w:jc w:val="center"/>
            </w:pPr>
            <w:r>
              <w:rPr>
                <w:rFonts w:ascii="宋体" w:hAnsi="宋体" w:eastAsia="宋体"/>
                <w:sz w:val="16"/>
              </w:rPr>
              <w:t>实施单位</w:t>
            </w:r>
          </w:p>
        </w:tc>
        <w:tc>
          <w:tcPr>
            <w:tcW w:w="318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956C23">
            <w:pPr>
              <w:jc w:val="center"/>
            </w:pPr>
            <w:r>
              <w:rPr>
                <w:rFonts w:ascii="宋体" w:hAnsi="宋体" w:eastAsia="宋体"/>
                <w:sz w:val="16"/>
              </w:rPr>
              <w:t>喀什经济开发区疏附产业园</w:t>
            </w:r>
          </w:p>
        </w:tc>
      </w:tr>
      <w:tr w14:paraId="56170946">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D49F9">
            <w:pPr>
              <w:jc w:val="center"/>
            </w:pPr>
            <w:r>
              <w:rPr>
                <w:rFonts w:ascii="宋体" w:hAnsi="宋体" w:eastAsia="宋体"/>
                <w:sz w:val="16"/>
              </w:rPr>
              <w:t>项目资金 （万元）</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1A8B5">
            <w:pPr>
              <w:jc w:val="center"/>
            </w:pP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D30B0">
            <w:pPr>
              <w:jc w:val="center"/>
            </w:pPr>
            <w:r>
              <w:rPr>
                <w:rFonts w:ascii="宋体" w:hAnsi="宋体" w:eastAsia="宋体"/>
                <w:sz w:val="16"/>
              </w:rPr>
              <w:t>年初预算数</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46C1A">
            <w:pPr>
              <w:jc w:val="center"/>
            </w:pPr>
            <w:r>
              <w:rPr>
                <w:rFonts w:ascii="宋体" w:hAnsi="宋体" w:eastAsia="宋体"/>
                <w:sz w:val="16"/>
              </w:rPr>
              <w:t>全年预算数</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89ACF">
            <w:pPr>
              <w:jc w:val="center"/>
            </w:pPr>
            <w:r>
              <w:rPr>
                <w:rFonts w:ascii="宋体" w:hAnsi="宋体" w:eastAsia="宋体"/>
                <w:sz w:val="16"/>
              </w:rPr>
              <w:t>全年执行数</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63FC6">
            <w:pPr>
              <w:jc w:val="center"/>
            </w:pPr>
            <w:r>
              <w:rPr>
                <w:rFonts w:ascii="宋体" w:hAnsi="宋体" w:eastAsia="宋体"/>
                <w:sz w:val="16"/>
              </w:rPr>
              <w:t>分值</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FB7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694D">
            <w:pPr>
              <w:jc w:val="center"/>
            </w:pPr>
            <w:r>
              <w:rPr>
                <w:rFonts w:ascii="宋体" w:hAnsi="宋体" w:eastAsia="宋体"/>
                <w:sz w:val="16"/>
              </w:rPr>
              <w:t>得分</w:t>
            </w:r>
          </w:p>
        </w:tc>
      </w:tr>
      <w:tr w14:paraId="0595FD30">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372A976"/>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E1268">
            <w:pPr>
              <w:jc w:val="center"/>
            </w:pPr>
            <w:r>
              <w:rPr>
                <w:rFonts w:ascii="宋体" w:hAnsi="宋体" w:eastAsia="宋体"/>
                <w:sz w:val="16"/>
              </w:rPr>
              <w:t>年度资金总额</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2415B">
            <w:pPr>
              <w:jc w:val="center"/>
            </w:pPr>
            <w:r>
              <w:rPr>
                <w:rFonts w:ascii="宋体" w:hAnsi="宋体" w:eastAsia="宋体"/>
                <w:sz w:val="16"/>
              </w:rPr>
              <w:t>171.12</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A1EC7">
            <w:pPr>
              <w:jc w:val="center"/>
            </w:pPr>
            <w:r>
              <w:rPr>
                <w:rFonts w:ascii="宋体" w:hAnsi="宋体" w:eastAsia="宋体"/>
                <w:sz w:val="16"/>
              </w:rPr>
              <w:t>171.12</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32826">
            <w:pPr>
              <w:jc w:val="center"/>
            </w:pPr>
            <w:r>
              <w:rPr>
                <w:rFonts w:ascii="宋体" w:hAnsi="宋体" w:eastAsia="宋体"/>
                <w:sz w:val="16"/>
              </w:rPr>
              <w:t>171.12</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CC9C7">
            <w:pPr>
              <w:jc w:val="center"/>
            </w:pPr>
            <w:r>
              <w:rPr>
                <w:rFonts w:ascii="宋体" w:hAnsi="宋体" w:eastAsia="宋体"/>
                <w:sz w:val="16"/>
              </w:rPr>
              <w:t>10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97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80F6">
            <w:pPr>
              <w:jc w:val="center"/>
            </w:pPr>
            <w:r>
              <w:rPr>
                <w:rFonts w:ascii="宋体" w:hAnsi="宋体" w:eastAsia="宋体"/>
                <w:sz w:val="16"/>
              </w:rPr>
              <w:t>10.00分</w:t>
            </w:r>
          </w:p>
        </w:tc>
      </w:tr>
      <w:tr w14:paraId="397D58F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9D2CDD2"/>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029D7">
            <w:pPr>
              <w:jc w:val="center"/>
            </w:pPr>
            <w:r>
              <w:rPr>
                <w:rFonts w:ascii="宋体" w:hAnsi="宋体" w:eastAsia="宋体"/>
                <w:sz w:val="16"/>
              </w:rPr>
              <w:t>其中：当年财政拨款</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4AC2">
            <w:pPr>
              <w:jc w:val="center"/>
            </w:pPr>
            <w:r>
              <w:rPr>
                <w:rFonts w:ascii="宋体" w:hAnsi="宋体" w:eastAsia="宋体"/>
                <w:sz w:val="16"/>
              </w:rPr>
              <w:t>171.12</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AFD9A">
            <w:pPr>
              <w:jc w:val="center"/>
            </w:pPr>
            <w:r>
              <w:rPr>
                <w:rFonts w:ascii="宋体" w:hAnsi="宋体" w:eastAsia="宋体"/>
                <w:sz w:val="16"/>
              </w:rPr>
              <w:t>171.12</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467C8">
            <w:pPr>
              <w:jc w:val="center"/>
            </w:pPr>
            <w:r>
              <w:rPr>
                <w:rFonts w:ascii="宋体" w:hAnsi="宋体" w:eastAsia="宋体"/>
                <w:sz w:val="16"/>
              </w:rPr>
              <w:t>171.12</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5268B">
            <w:pPr>
              <w:jc w:val="center"/>
            </w:pPr>
            <w:r>
              <w:rPr>
                <w:rFonts w:ascii="宋体" w:hAnsi="宋体" w:eastAsia="宋体"/>
                <w:sz w:val="16"/>
              </w:rPr>
              <w:t>—</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833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DD40">
            <w:pPr>
              <w:jc w:val="center"/>
            </w:pPr>
            <w:r>
              <w:rPr>
                <w:rFonts w:ascii="宋体" w:hAnsi="宋体" w:eastAsia="宋体"/>
                <w:sz w:val="16"/>
              </w:rPr>
              <w:t>—</w:t>
            </w:r>
          </w:p>
        </w:tc>
      </w:tr>
      <w:tr w14:paraId="6514605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4217894"/>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7E681">
            <w:pPr>
              <w:jc w:val="center"/>
            </w:pPr>
            <w:r>
              <w:rPr>
                <w:rFonts w:ascii="宋体" w:hAnsi="宋体" w:eastAsia="宋体"/>
                <w:sz w:val="16"/>
              </w:rPr>
              <w:t xml:space="preserve">  其他资金</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AED18">
            <w:pPr>
              <w:jc w:val="center"/>
            </w:pPr>
            <w:r>
              <w:rPr>
                <w:rFonts w:ascii="宋体" w:hAnsi="宋体" w:eastAsia="宋体"/>
                <w:sz w:val="16"/>
              </w:rPr>
              <w:t>0.00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87C9C">
            <w:pPr>
              <w:jc w:val="center"/>
            </w:pPr>
            <w:r>
              <w:rPr>
                <w:rFonts w:ascii="宋体" w:hAnsi="宋体" w:eastAsia="宋体"/>
                <w:sz w:val="16"/>
              </w:rPr>
              <w:t>0.00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17392">
            <w:pPr>
              <w:jc w:val="center"/>
            </w:pPr>
            <w:r>
              <w:rPr>
                <w:rFonts w:ascii="宋体" w:hAnsi="宋体" w:eastAsia="宋体"/>
                <w:sz w:val="16"/>
              </w:rPr>
              <w:t>0.00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1A93C">
            <w:pPr>
              <w:jc w:val="center"/>
            </w:pPr>
            <w:r>
              <w:rPr>
                <w:rFonts w:ascii="宋体" w:hAnsi="宋体" w:eastAsia="宋体"/>
                <w:sz w:val="16"/>
              </w:rPr>
              <w:t>—</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C954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2236">
            <w:pPr>
              <w:jc w:val="center"/>
            </w:pPr>
            <w:r>
              <w:rPr>
                <w:rFonts w:ascii="宋体" w:hAnsi="宋体" w:eastAsia="宋体"/>
                <w:sz w:val="16"/>
              </w:rPr>
              <w:t>—</w:t>
            </w:r>
          </w:p>
        </w:tc>
      </w:tr>
      <w:tr w14:paraId="244CAB8B">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46062">
            <w:pPr>
              <w:jc w:val="center"/>
            </w:pPr>
            <w:r>
              <w:rPr>
                <w:rFonts w:ascii="宋体" w:hAnsi="宋体" w:eastAsia="宋体"/>
                <w:sz w:val="16"/>
              </w:rPr>
              <w:t>三、目标完成情况</w:t>
            </w:r>
          </w:p>
        </w:tc>
        <w:tc>
          <w:tcPr>
            <w:tcW w:w="463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1BDF72">
            <w:pPr>
              <w:jc w:val="center"/>
            </w:pPr>
            <w:r>
              <w:rPr>
                <w:rFonts w:ascii="宋体" w:hAnsi="宋体" w:eastAsia="宋体"/>
                <w:sz w:val="16"/>
              </w:rPr>
              <w:t>预期目标</w:t>
            </w:r>
          </w:p>
        </w:tc>
        <w:tc>
          <w:tcPr>
            <w:tcW w:w="379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086B71">
            <w:pPr>
              <w:jc w:val="center"/>
            </w:pPr>
            <w:r>
              <w:rPr>
                <w:rFonts w:ascii="宋体" w:hAnsi="宋体" w:eastAsia="宋体"/>
                <w:sz w:val="16"/>
              </w:rPr>
              <w:t>实际完成情况</w:t>
            </w:r>
          </w:p>
        </w:tc>
      </w:tr>
      <w:tr w14:paraId="7AF48364">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853CF10"/>
        </w:tc>
        <w:tc>
          <w:tcPr>
            <w:tcW w:w="463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00B4EC">
            <w:pPr>
              <w:jc w:val="both"/>
            </w:pPr>
            <w:r>
              <w:rPr>
                <w:rFonts w:ascii="宋体" w:hAnsi="宋体" w:eastAsia="宋体"/>
                <w:sz w:val="16"/>
              </w:rPr>
              <w:t>本项目预算金额为171.12万元，为妥善解决喀什经济开发区疏附产业园厂房建设项目（二期）一、二标段监理费，50万元。保障监理单位合法权益，缓解企业资金压力，妥善解决喀什粤邦智能家具厂建设项目补偿款121.12万元，避免出现</w:t>
            </w:r>
            <w:r>
              <w:rPr>
                <w:rFonts w:hint="eastAsia" w:ascii="宋体" w:hAnsi="宋体"/>
                <w:sz w:val="16"/>
                <w:lang w:eastAsia="zh-CN"/>
              </w:rPr>
              <w:t>群体性上访事件</w:t>
            </w:r>
            <w:r>
              <w:rPr>
                <w:rFonts w:ascii="宋体" w:hAnsi="宋体" w:eastAsia="宋体"/>
                <w:sz w:val="16"/>
              </w:rPr>
              <w:t>，现偿还三家企业两个项目的欠款共计171.12万元，通过项目的实施有效化解政府机关与民营企业间经济纠纷。</w:t>
            </w:r>
          </w:p>
        </w:tc>
        <w:tc>
          <w:tcPr>
            <w:tcW w:w="379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0D5397">
            <w:pPr>
              <w:jc w:val="both"/>
            </w:pPr>
            <w:r>
              <w:rPr>
                <w:rFonts w:hint="eastAsia" w:ascii="宋体" w:hAnsi="宋体"/>
                <w:sz w:val="16"/>
                <w:lang w:eastAsia="zh-CN"/>
              </w:rPr>
              <w:t>截至</w:t>
            </w:r>
            <w:r>
              <w:rPr>
                <w:rFonts w:ascii="宋体" w:hAnsi="宋体" w:eastAsia="宋体"/>
                <w:sz w:val="16"/>
              </w:rPr>
              <w:t>2024年12月31日，本项目全年预算数为171.12万元，全年执行数为171.12万元，全年执行率为100%。已完成偿还欠款涉及项目2个；喀什经济开发区疏附产业园（二期）项目监理费50万元；喀什粤邦智能家具厂建设项目补偿款121.12 万元，该项目实施后有效防范化解了政府机关与民营企业间经济纠纷。</w:t>
            </w:r>
          </w:p>
        </w:tc>
      </w:tr>
      <w:tr w14:paraId="4E7E6E3D">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6A1F7EC2"/>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E158123">
            <w:pPr>
              <w:jc w:val="center"/>
            </w:pPr>
            <w:r>
              <w:rPr>
                <w:rFonts w:ascii="宋体" w:hAnsi="宋体" w:eastAsia="宋体"/>
                <w:sz w:val="16"/>
              </w:rPr>
              <w:t>一级指标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C418455">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CA8343">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CDC08A0">
            <w:pPr>
              <w:jc w:val="center"/>
            </w:pPr>
            <w:r>
              <w:rPr>
                <w:rFonts w:ascii="宋体" w:hAnsi="宋体" w:eastAsia="宋体"/>
                <w:sz w:val="16"/>
              </w:rPr>
              <w:t>年度指标值</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1C5C5B2">
            <w:pPr>
              <w:jc w:val="center"/>
            </w:pPr>
            <w:r>
              <w:rPr>
                <w:rFonts w:ascii="宋体" w:hAnsi="宋体" w:eastAsia="宋体"/>
                <w:sz w:val="16"/>
              </w:rPr>
              <w:t>指标值设定依据</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11B052C">
            <w:pPr>
              <w:jc w:val="center"/>
            </w:pPr>
            <w:r>
              <w:rPr>
                <w:rFonts w:ascii="宋体" w:hAnsi="宋体" w:eastAsia="宋体"/>
                <w:sz w:val="16"/>
              </w:rPr>
              <w:t>上年完成情况</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DA1490A">
            <w:pPr>
              <w:jc w:val="center"/>
            </w:pPr>
            <w:r>
              <w:rPr>
                <w:rFonts w:ascii="宋体" w:hAnsi="宋体" w:eastAsia="宋体"/>
                <w:sz w:val="16"/>
              </w:rPr>
              <w:t>权重</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1578BA1">
            <w:pPr>
              <w:jc w:val="center"/>
            </w:pPr>
            <w:r>
              <w:rPr>
                <w:rFonts w:ascii="宋体" w:hAnsi="宋体" w:eastAsia="宋体"/>
                <w:sz w:val="16"/>
              </w:rPr>
              <w:t>赋分规则</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A8789F2">
            <w:pPr>
              <w:jc w:val="center"/>
            </w:pPr>
            <w:r>
              <w:rPr>
                <w:rFonts w:ascii="宋体" w:hAnsi="宋体" w:eastAsia="宋体"/>
                <w:sz w:val="16"/>
              </w:rPr>
              <w:t>佐证资料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3A591707">
            <w:pPr>
              <w:jc w:val="center"/>
            </w:pPr>
            <w:r>
              <w:rPr>
                <w:rFonts w:ascii="宋体" w:hAnsi="宋体" w:eastAsia="宋体"/>
                <w:sz w:val="16"/>
              </w:rPr>
              <w:t>实际完成值</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E6DB762">
            <w:pPr>
              <w:jc w:val="center"/>
            </w:pPr>
            <w:r>
              <w:rPr>
                <w:rFonts w:ascii="宋体" w:hAnsi="宋体" w:eastAsia="宋体"/>
                <w:sz w:val="16"/>
              </w:rPr>
              <w:t>得分</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C4B4">
            <w:pPr>
              <w:jc w:val="center"/>
            </w:pPr>
            <w:r>
              <w:rPr>
                <w:rFonts w:ascii="宋体" w:hAnsi="宋体" w:eastAsia="宋体"/>
                <w:sz w:val="16"/>
              </w:rPr>
              <w:t>偏差原因分析及改进措施</w:t>
            </w:r>
          </w:p>
        </w:tc>
      </w:tr>
      <w:tr w14:paraId="3E22A81C">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D5B2F">
            <w:pPr>
              <w:jc w:val="center"/>
            </w:pPr>
            <w:r>
              <w:rPr>
                <w:rFonts w:ascii="宋体" w:hAnsi="宋体" w:eastAsia="宋体"/>
                <w:sz w:val="16"/>
              </w:rPr>
              <w:t>年度绩效指标完成情况</w:t>
            </w: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CB00F">
            <w:pPr>
              <w:jc w:val="center"/>
            </w:pPr>
            <w:r>
              <w:rPr>
                <w:rFonts w:ascii="宋体" w:hAnsi="宋体" w:eastAsia="宋体"/>
                <w:sz w:val="16"/>
              </w:rPr>
              <w:t>产出指标</w:t>
            </w: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6CF5E">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A36E76">
            <w:pPr>
              <w:jc w:val="center"/>
            </w:pPr>
            <w:r>
              <w:rPr>
                <w:rFonts w:ascii="宋体" w:hAnsi="宋体" w:eastAsia="宋体"/>
                <w:sz w:val="16"/>
              </w:rPr>
              <w:t>偿还企业债务家数（家）</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0E5CEDC">
            <w:pPr>
              <w:jc w:val="center"/>
            </w:pPr>
            <w:r>
              <w:rPr>
                <w:rFonts w:ascii="宋体" w:hAnsi="宋体" w:eastAsia="宋体"/>
                <w:sz w:val="16"/>
              </w:rPr>
              <w:t>=3家</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DE26479">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0E98DAF">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A7D938F">
            <w:pPr>
              <w:jc w:val="center"/>
            </w:pPr>
            <w:r>
              <w:rPr>
                <w:rFonts w:ascii="宋体" w:hAnsi="宋体" w:eastAsia="宋体"/>
                <w:sz w:val="16"/>
              </w:rPr>
              <w:t>10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11C99B0">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37BAD9B">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1E9C3005">
            <w:pPr>
              <w:jc w:val="center"/>
            </w:pPr>
            <w:r>
              <w:rPr>
                <w:rFonts w:ascii="宋体" w:hAnsi="宋体" w:eastAsia="宋体"/>
                <w:sz w:val="16"/>
              </w:rPr>
              <w:t>=3家</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8A821D0">
            <w:pPr>
              <w:jc w:val="center"/>
            </w:pPr>
            <w:r>
              <w:rPr>
                <w:rFonts w:ascii="宋体" w:hAnsi="宋体" w:eastAsia="宋体"/>
                <w:sz w:val="16"/>
              </w:rPr>
              <w:t>10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66B3D">
            <w:pPr>
              <w:jc w:val="center"/>
            </w:pPr>
          </w:p>
        </w:tc>
      </w:tr>
      <w:tr w14:paraId="396A182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6C659CF"/>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5E3ECAD1"/>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3EE944E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7F338D">
            <w:pPr>
              <w:jc w:val="center"/>
            </w:pPr>
            <w:r>
              <w:rPr>
                <w:rFonts w:ascii="宋体" w:hAnsi="宋体" w:eastAsia="宋体"/>
                <w:sz w:val="16"/>
              </w:rPr>
              <w:t>偿还欠款涉及项目数量（个）</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03D1600">
            <w:pPr>
              <w:jc w:val="center"/>
            </w:pPr>
            <w:r>
              <w:rPr>
                <w:rFonts w:ascii="宋体" w:hAnsi="宋体" w:eastAsia="宋体"/>
                <w:sz w:val="16"/>
              </w:rPr>
              <w:t>=2个</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436C52C">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1A6BC8C">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C1E7B9E">
            <w:pPr>
              <w:jc w:val="center"/>
            </w:pPr>
            <w:r>
              <w:rPr>
                <w:rFonts w:ascii="宋体" w:hAnsi="宋体" w:eastAsia="宋体"/>
                <w:sz w:val="16"/>
              </w:rPr>
              <w:t>10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DCCF17F">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7955640">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CA14B33">
            <w:pPr>
              <w:jc w:val="center"/>
            </w:pPr>
            <w:r>
              <w:rPr>
                <w:rFonts w:ascii="宋体" w:hAnsi="宋体" w:eastAsia="宋体"/>
                <w:sz w:val="16"/>
              </w:rPr>
              <w:t>=2个</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94F27BD">
            <w:pPr>
              <w:jc w:val="center"/>
            </w:pPr>
            <w:r>
              <w:rPr>
                <w:rFonts w:ascii="宋体" w:hAnsi="宋体" w:eastAsia="宋体"/>
                <w:sz w:val="16"/>
              </w:rPr>
              <w:t>10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4DE8">
            <w:pPr>
              <w:jc w:val="center"/>
            </w:pPr>
          </w:p>
        </w:tc>
      </w:tr>
      <w:tr w14:paraId="6EE96D10">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4DDBE71"/>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175B5CA"/>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A56E86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A636FC">
            <w:pPr>
              <w:jc w:val="center"/>
            </w:pPr>
            <w:r>
              <w:rPr>
                <w:rFonts w:ascii="宋体" w:hAnsi="宋体" w:eastAsia="宋体"/>
                <w:sz w:val="16"/>
              </w:rPr>
              <w:t>欠款还款完成率（%）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FA1D324">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92AE990">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848E45A">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A719134">
            <w:pPr>
              <w:jc w:val="center"/>
            </w:pPr>
            <w:r>
              <w:rPr>
                <w:rFonts w:ascii="宋体" w:hAnsi="宋体" w:eastAsia="宋体"/>
                <w:sz w:val="16"/>
              </w:rPr>
              <w:t>10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130633D">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8822DBA">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A000119">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A47889D">
            <w:pPr>
              <w:jc w:val="center"/>
            </w:pPr>
            <w:r>
              <w:rPr>
                <w:rFonts w:ascii="宋体" w:hAnsi="宋体" w:eastAsia="宋体"/>
                <w:sz w:val="16"/>
              </w:rPr>
              <w:t>10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6394D">
            <w:pPr>
              <w:jc w:val="center"/>
            </w:pPr>
          </w:p>
        </w:tc>
      </w:tr>
      <w:tr w14:paraId="132B76D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F500E2B"/>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5B59ED57"/>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9AA5EC8">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2AFEF8">
            <w:pPr>
              <w:jc w:val="center"/>
            </w:pPr>
            <w:r>
              <w:rPr>
                <w:rFonts w:ascii="宋体" w:hAnsi="宋体" w:eastAsia="宋体"/>
                <w:sz w:val="16"/>
              </w:rPr>
              <w:t>项目完成时间（年/月/日）</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6EB758E">
            <w:pPr>
              <w:jc w:val="center"/>
            </w:pPr>
            <w:r>
              <w:rPr>
                <w:rFonts w:ascii="宋体" w:hAnsi="宋体" w:eastAsia="宋体"/>
                <w:sz w:val="16"/>
              </w:rPr>
              <w:t>2024年11月3</w:t>
            </w:r>
            <w:r>
              <w:rPr>
                <w:rFonts w:hint="eastAsia" w:ascii="宋体" w:hAnsi="宋体"/>
                <w:sz w:val="16"/>
                <w:lang w:val="en-US" w:eastAsia="zh-CN"/>
              </w:rPr>
              <w:t>0</w:t>
            </w:r>
            <w:r>
              <w:rPr>
                <w:rFonts w:ascii="宋体" w:hAnsi="宋体" w:eastAsia="宋体"/>
                <w:sz w:val="16"/>
              </w:rPr>
              <w:t>日前</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2EBC6AE">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EFD5D40">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6386D49">
            <w:pPr>
              <w:jc w:val="center"/>
            </w:pPr>
            <w:r>
              <w:rPr>
                <w:rFonts w:ascii="宋体" w:hAnsi="宋体" w:eastAsia="宋体"/>
                <w:sz w:val="16"/>
              </w:rPr>
              <w:t>10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73948C9">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D8A85AA">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7A61C52">
            <w:pPr>
              <w:jc w:val="center"/>
            </w:pPr>
            <w:r>
              <w:rPr>
                <w:rFonts w:ascii="宋体" w:hAnsi="宋体" w:eastAsia="宋体"/>
                <w:sz w:val="16"/>
              </w:rPr>
              <w:t>=2024年12月25日</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A8B688A">
            <w:pPr>
              <w:jc w:val="center"/>
            </w:pPr>
            <w:r>
              <w:rPr>
                <w:rFonts w:ascii="宋体" w:hAnsi="宋体" w:eastAsia="宋体"/>
                <w:sz w:val="16"/>
              </w:rPr>
              <w:t>10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38086">
            <w:pPr>
              <w:jc w:val="center"/>
            </w:pPr>
          </w:p>
        </w:tc>
      </w:tr>
      <w:tr w14:paraId="7C379DD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094C3F4"/>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F398E">
            <w:pPr>
              <w:jc w:val="center"/>
            </w:pPr>
            <w:r>
              <w:rPr>
                <w:rFonts w:ascii="宋体" w:hAnsi="宋体" w:eastAsia="宋体"/>
                <w:sz w:val="16"/>
              </w:rPr>
              <w:t>成本指标</w:t>
            </w: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CCEE7">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97E214">
            <w:pPr>
              <w:jc w:val="center"/>
            </w:pPr>
            <w:r>
              <w:rPr>
                <w:rFonts w:ascii="宋体" w:hAnsi="宋体" w:eastAsia="宋体"/>
                <w:sz w:val="16"/>
              </w:rPr>
              <w:t>喀什经济开发区疏附产业园（二期）项目监理费（万元）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D0B6E69">
            <w:pPr>
              <w:jc w:val="center"/>
            </w:pPr>
            <w:r>
              <w:rPr>
                <w:rFonts w:ascii="宋体" w:hAnsi="宋体" w:eastAsia="宋体"/>
                <w:sz w:val="16"/>
              </w:rPr>
              <w:t>&lt;=50万元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E2FE53B">
            <w:pPr>
              <w:jc w:val="center"/>
            </w:pPr>
            <w:r>
              <w:rPr>
                <w:rFonts w:ascii="宋体" w:hAnsi="宋体" w:eastAsia="宋体"/>
                <w:sz w:val="16"/>
              </w:rPr>
              <w:t>预算支出标准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FF8BE62">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EA25738">
            <w:pPr>
              <w:jc w:val="center"/>
            </w:pPr>
            <w:r>
              <w:rPr>
                <w:rFonts w:ascii="宋体" w:hAnsi="宋体" w:eastAsia="宋体"/>
                <w:sz w:val="16"/>
              </w:rPr>
              <w:t>6</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CDA9FCF">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63C9EDA">
            <w:pPr>
              <w:jc w:val="center"/>
            </w:pPr>
            <w:r>
              <w:rPr>
                <w:rFonts w:ascii="宋体" w:hAnsi="宋体" w:eastAsia="宋体"/>
                <w:sz w:val="16"/>
              </w:rPr>
              <w:t>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BE02B18">
            <w:pPr>
              <w:jc w:val="center"/>
            </w:pPr>
            <w:r>
              <w:rPr>
                <w:rFonts w:ascii="宋体" w:hAnsi="宋体" w:eastAsia="宋体"/>
                <w:sz w:val="16"/>
              </w:rPr>
              <w:t>=50万元</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914A4C4">
            <w:pPr>
              <w:jc w:val="center"/>
            </w:pPr>
            <w:r>
              <w:rPr>
                <w:rFonts w:ascii="宋体" w:hAnsi="宋体" w:eastAsia="宋体"/>
                <w:sz w:val="16"/>
              </w:rPr>
              <w:t>6</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4B10">
            <w:pPr>
              <w:jc w:val="center"/>
            </w:pPr>
          </w:p>
        </w:tc>
      </w:tr>
      <w:tr w14:paraId="149C7DA7">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F025919"/>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70845899"/>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B1CFC7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ACD744">
            <w:pPr>
              <w:jc w:val="center"/>
            </w:pPr>
            <w:r>
              <w:rPr>
                <w:rFonts w:ascii="宋体" w:hAnsi="宋体" w:eastAsia="宋体"/>
                <w:sz w:val="16"/>
              </w:rPr>
              <w:t>喀什粤邦智能家具厂建设项目补偿款（万元）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A7333AD">
            <w:pPr>
              <w:jc w:val="center"/>
            </w:pPr>
            <w:r>
              <w:rPr>
                <w:rFonts w:ascii="宋体" w:hAnsi="宋体" w:eastAsia="宋体"/>
                <w:sz w:val="16"/>
              </w:rPr>
              <w:t>&lt;=121.12万元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6EC32B3">
            <w:pPr>
              <w:jc w:val="center"/>
            </w:pPr>
            <w:r>
              <w:rPr>
                <w:rFonts w:ascii="宋体" w:hAnsi="宋体" w:eastAsia="宋体"/>
                <w:sz w:val="16"/>
              </w:rPr>
              <w:t>预算支出标准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3A3F440">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DC99152">
            <w:pPr>
              <w:jc w:val="center"/>
            </w:pPr>
            <w:r>
              <w:rPr>
                <w:rFonts w:ascii="宋体" w:hAnsi="宋体" w:eastAsia="宋体"/>
                <w:sz w:val="16"/>
              </w:rPr>
              <w:t>14</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EE4E1E1">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AD08275">
            <w:pPr>
              <w:jc w:val="center"/>
            </w:pPr>
            <w:r>
              <w:rPr>
                <w:rFonts w:ascii="宋体" w:hAnsi="宋体" w:eastAsia="宋体"/>
                <w:sz w:val="16"/>
              </w:rPr>
              <w:t>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4E6FAA2">
            <w:pPr>
              <w:jc w:val="center"/>
            </w:pPr>
            <w:r>
              <w:rPr>
                <w:rFonts w:ascii="宋体" w:hAnsi="宋体" w:eastAsia="宋体"/>
                <w:sz w:val="16"/>
              </w:rPr>
              <w:t>=121.2万元</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0FB2B69">
            <w:pPr>
              <w:jc w:val="center"/>
            </w:pPr>
            <w:r>
              <w:rPr>
                <w:rFonts w:ascii="宋体" w:hAnsi="宋体" w:eastAsia="宋体"/>
                <w:sz w:val="16"/>
              </w:rPr>
              <w:t>14</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20A70">
            <w:pPr>
              <w:jc w:val="center"/>
            </w:pPr>
          </w:p>
        </w:tc>
      </w:tr>
      <w:tr w14:paraId="686DD33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DAD6524"/>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4FD7C34">
            <w:pPr>
              <w:jc w:val="center"/>
            </w:pPr>
            <w:r>
              <w:rPr>
                <w:rFonts w:ascii="宋体" w:hAnsi="宋体" w:eastAsia="宋体"/>
                <w:sz w:val="16"/>
              </w:rPr>
              <w:t>效益指标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2BB72D2">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6AD3E9">
            <w:pPr>
              <w:jc w:val="center"/>
            </w:pPr>
            <w:r>
              <w:rPr>
                <w:rFonts w:ascii="宋体" w:hAnsi="宋体" w:eastAsia="宋体"/>
                <w:sz w:val="16"/>
              </w:rPr>
              <w:t>防范化解政府机关与民营企业间经济纠纷</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8BE31E4">
            <w:pPr>
              <w:jc w:val="center"/>
            </w:pPr>
            <w:r>
              <w:rPr>
                <w:rFonts w:ascii="宋体" w:hAnsi="宋体" w:eastAsia="宋体"/>
                <w:sz w:val="16"/>
              </w:rPr>
              <w:t>有效化解</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8C0665D">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4484A04">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6B5FF6A">
            <w:pPr>
              <w:jc w:val="center"/>
            </w:pPr>
            <w:r>
              <w:rPr>
                <w:rFonts w:ascii="宋体" w:hAnsi="宋体" w:eastAsia="宋体"/>
                <w:sz w:val="16"/>
              </w:rPr>
              <w:t>30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19B4096">
            <w:pPr>
              <w:jc w:val="center"/>
            </w:pPr>
            <w:r>
              <w:rPr>
                <w:rFonts w:ascii="宋体" w:hAnsi="宋体" w:eastAsia="宋体"/>
                <w:sz w:val="16"/>
              </w:rPr>
              <w:t>按评判等级赋分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55FC2B5">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A73C938">
            <w:pPr>
              <w:jc w:val="center"/>
            </w:pPr>
            <w:r>
              <w:rPr>
                <w:rFonts w:ascii="宋体" w:hAnsi="宋体" w:eastAsia="宋体"/>
                <w:sz w:val="16"/>
              </w:rPr>
              <w:t>有效</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199C80B4">
            <w:pPr>
              <w:jc w:val="center"/>
            </w:pPr>
            <w:r>
              <w:rPr>
                <w:rFonts w:ascii="宋体" w:hAnsi="宋体" w:eastAsia="宋体"/>
                <w:sz w:val="16"/>
              </w:rPr>
              <w:t>30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D2153">
            <w:pPr>
              <w:jc w:val="center"/>
            </w:pPr>
          </w:p>
        </w:tc>
      </w:tr>
      <w:tr w14:paraId="40535BD9">
        <w:tblPrEx>
          <w:tblCellMar>
            <w:top w:w="0" w:type="dxa"/>
            <w:left w:w="108" w:type="dxa"/>
            <w:bottom w:w="0" w:type="dxa"/>
            <w:right w:w="108" w:type="dxa"/>
          </w:tblCellMar>
        </w:tblPrEx>
        <w:tc>
          <w:tcPr>
            <w:tcW w:w="464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81B92">
            <w:pPr>
              <w:jc w:val="center"/>
            </w:pPr>
            <w:r>
              <w:rPr>
                <w:rFonts w:ascii="宋体" w:hAnsi="宋体" w:eastAsia="宋体"/>
                <w:sz w:val="16"/>
              </w:rPr>
              <w:t>总分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CF2CD0B">
            <w:pPr>
              <w:jc w:val="center"/>
            </w:pPr>
            <w:r>
              <w:rPr>
                <w:rFonts w:ascii="宋体" w:hAnsi="宋体" w:eastAsia="宋体"/>
                <w:sz w:val="16"/>
              </w:rPr>
              <w:t>100</w:t>
            </w:r>
          </w:p>
        </w:tc>
        <w:tc>
          <w:tcPr>
            <w:tcW w:w="1929" w:type="dxa"/>
            <w:gridSpan w:val="3"/>
            <w:tcBorders>
              <w:top w:val="single" w:color="auto" w:sz="10" w:space="0"/>
              <w:left w:val="single" w:color="auto" w:sz="10" w:space="0"/>
              <w:bottom w:val="single" w:color="auto" w:sz="10" w:space="0"/>
              <w:right w:val="single" w:color="auto" w:sz="10" w:space="0"/>
              <w:insideV w:val="single" w:sz="10" w:space="0"/>
            </w:tcBorders>
          </w:tcPr>
          <w:p w14:paraId="40B94C4A"/>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ED07749">
            <w:pPr>
              <w:jc w:val="center"/>
            </w:pPr>
            <w:r>
              <w:rPr>
                <w:rFonts w:ascii="宋体" w:hAnsi="宋体" w:eastAsia="宋体"/>
                <w:sz w:val="16"/>
              </w:rPr>
              <w:t>100分</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tcPr>
          <w:p w14:paraId="7B3DF357"/>
        </w:tc>
      </w:tr>
    </w:tbl>
    <w:p w14:paraId="5C9B36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AA7CF54">
        <w:tblPrEx>
          <w:tblCellMar>
            <w:top w:w="0" w:type="dxa"/>
            <w:left w:w="108" w:type="dxa"/>
            <w:bottom w:w="0" w:type="dxa"/>
            <w:right w:w="108" w:type="dxa"/>
          </w:tblCellMar>
        </w:tblPrEx>
        <w:tc>
          <w:tcPr>
            <w:tcW w:w="8848" w:type="dxa"/>
            <w:gridSpan w:val="14"/>
            <w:vAlign w:val="center"/>
          </w:tcPr>
          <w:p w14:paraId="69E1490C">
            <w:pPr>
              <w:jc w:val="center"/>
            </w:pPr>
            <w:r>
              <w:rPr>
                <w:rFonts w:ascii="宋体" w:hAnsi="宋体" w:eastAsia="宋体"/>
                <w:sz w:val="24"/>
              </w:rPr>
              <w:t>项目支出绩效自评表</w:t>
            </w:r>
          </w:p>
        </w:tc>
      </w:tr>
      <w:tr w14:paraId="1DC69F55">
        <w:tblPrEx>
          <w:tblCellMar>
            <w:top w:w="0" w:type="dxa"/>
            <w:left w:w="108" w:type="dxa"/>
            <w:bottom w:w="0" w:type="dxa"/>
            <w:right w:w="108" w:type="dxa"/>
          </w:tblCellMar>
        </w:tblPrEx>
        <w:tc>
          <w:tcPr>
            <w:tcW w:w="8848" w:type="dxa"/>
            <w:gridSpan w:val="14"/>
            <w:vAlign w:val="center"/>
          </w:tcPr>
          <w:p w14:paraId="56905769">
            <w:pPr>
              <w:jc w:val="center"/>
            </w:pPr>
            <w:r>
              <w:rPr>
                <w:rFonts w:ascii="宋体" w:hAnsi="宋体" w:eastAsia="宋体"/>
                <w:sz w:val="24"/>
              </w:rPr>
              <w:t>(2024年度)</w:t>
            </w:r>
          </w:p>
        </w:tc>
      </w:tr>
      <w:tr w14:paraId="227DC6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56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466D9A">
            <w:pPr>
              <w:jc w:val="center"/>
            </w:pPr>
            <w:r>
              <w:rPr>
                <w:rFonts w:ascii="宋体" w:hAnsi="宋体" w:eastAsia="宋体"/>
                <w:sz w:val="16"/>
              </w:rPr>
              <w:t>喀什经济开发区疏附产业园单位资金项目</w:t>
            </w:r>
          </w:p>
        </w:tc>
      </w:tr>
      <w:tr w14:paraId="15012E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AF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B7CB6">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73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D0059C">
            <w:pPr>
              <w:jc w:val="center"/>
            </w:pPr>
            <w:r>
              <w:rPr>
                <w:rFonts w:ascii="宋体" w:hAnsi="宋体" w:eastAsia="宋体"/>
                <w:sz w:val="16"/>
              </w:rPr>
              <w:t>喀什经济开发区疏附产业园</w:t>
            </w:r>
          </w:p>
        </w:tc>
      </w:tr>
      <w:tr w14:paraId="011B26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040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00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1C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0DF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050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4F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3AD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0EE8">
            <w:pPr>
              <w:jc w:val="center"/>
            </w:pPr>
            <w:r>
              <w:rPr>
                <w:rFonts w:ascii="宋体" w:hAnsi="宋体" w:eastAsia="宋体"/>
                <w:sz w:val="16"/>
              </w:rPr>
              <w:t>得分</w:t>
            </w:r>
          </w:p>
        </w:tc>
      </w:tr>
      <w:tr w14:paraId="4B3CB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15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C95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46152">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02849">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9C420">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91F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12A4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88D7">
            <w:pPr>
              <w:jc w:val="center"/>
            </w:pPr>
            <w:r>
              <w:rPr>
                <w:rFonts w:ascii="宋体" w:hAnsi="宋体" w:eastAsia="宋体"/>
                <w:sz w:val="16"/>
              </w:rPr>
              <w:t>10.00分</w:t>
            </w:r>
          </w:p>
        </w:tc>
      </w:tr>
      <w:tr w14:paraId="4AC8D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0BE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C55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732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3AB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631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4DD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02B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85E5">
            <w:pPr>
              <w:jc w:val="center"/>
            </w:pPr>
            <w:r>
              <w:rPr>
                <w:rFonts w:ascii="宋体" w:hAnsi="宋体" w:eastAsia="宋体"/>
                <w:sz w:val="16"/>
              </w:rPr>
              <w:t>—</w:t>
            </w:r>
          </w:p>
        </w:tc>
      </w:tr>
      <w:tr w14:paraId="1AAB0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C72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D5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51181">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BE05E">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F870C">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06D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122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E49D">
            <w:pPr>
              <w:jc w:val="center"/>
            </w:pPr>
            <w:r>
              <w:rPr>
                <w:rFonts w:ascii="宋体" w:hAnsi="宋体" w:eastAsia="宋体"/>
                <w:sz w:val="16"/>
              </w:rPr>
              <w:t>—</w:t>
            </w:r>
          </w:p>
        </w:tc>
      </w:tr>
      <w:tr w14:paraId="2F85C9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4FD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A01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D8E19C">
            <w:pPr>
              <w:jc w:val="center"/>
            </w:pPr>
            <w:r>
              <w:rPr>
                <w:rFonts w:ascii="宋体" w:hAnsi="宋体" w:eastAsia="宋体"/>
                <w:sz w:val="16"/>
              </w:rPr>
              <w:t>实际完成情况</w:t>
            </w:r>
          </w:p>
        </w:tc>
      </w:tr>
      <w:tr w14:paraId="7E8F8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BE8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FA9AF">
            <w:pPr>
              <w:jc w:val="both"/>
            </w:pPr>
            <w:r>
              <w:rPr>
                <w:rFonts w:ascii="宋体" w:hAnsi="宋体" w:eastAsia="宋体"/>
                <w:sz w:val="16"/>
              </w:rPr>
              <w:t>喀什经济开发区疏附产业园单位资金项目预算金额为2.99万元，主要用于缴纳单位人员住房公积金2.79万元，绩效0.2万元，预计通过项目的实施有效保障单位人员合法权益，使得受益对象满意度达95%以上。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C6A9A5">
            <w:pPr>
              <w:jc w:val="both"/>
            </w:pPr>
            <w:r>
              <w:rPr>
                <w:rFonts w:hint="eastAsia" w:ascii="宋体" w:hAnsi="宋体"/>
                <w:sz w:val="16"/>
                <w:lang w:eastAsia="zh-CN"/>
              </w:rPr>
              <w:t>截至</w:t>
            </w:r>
            <w:r>
              <w:rPr>
                <w:rFonts w:ascii="宋体" w:hAnsi="宋体" w:eastAsia="宋体"/>
                <w:sz w:val="16"/>
              </w:rPr>
              <w:t>2024年12月31日，本项目全年预算数2.99万元，全年执行数2.99万元，全年执行率100%。已完成用于保障喀什经济开发区疏附产业园单位缴纳单位人员住房公积金2.79万元，绩效0.2万元。通过实施项目有效保障单位人员合法权益，员工满意度达到95%。</w:t>
            </w:r>
          </w:p>
        </w:tc>
      </w:tr>
      <w:tr w14:paraId="0F560D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1BD7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F5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53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4F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FF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F9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38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8C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4C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86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96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A9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DB9A0">
            <w:pPr>
              <w:jc w:val="center"/>
            </w:pPr>
            <w:r>
              <w:rPr>
                <w:rFonts w:ascii="宋体" w:hAnsi="宋体" w:eastAsia="宋体"/>
                <w:sz w:val="16"/>
              </w:rPr>
              <w:t>偏差原因分析及改进措施</w:t>
            </w:r>
          </w:p>
        </w:tc>
      </w:tr>
      <w:tr w14:paraId="2EB563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5E9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B323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79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B7A6">
            <w:pPr>
              <w:jc w:val="center"/>
            </w:pPr>
            <w:r>
              <w:rPr>
                <w:rFonts w:ascii="宋体" w:hAnsi="宋体" w:eastAsia="宋体"/>
                <w:sz w:val="16"/>
              </w:rPr>
              <w:t>保障单位个数（个）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87B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DD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3D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0D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85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F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87B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39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3A2DA">
            <w:pPr>
              <w:jc w:val="center"/>
            </w:pPr>
          </w:p>
        </w:tc>
      </w:tr>
      <w:tr w14:paraId="13596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FBA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E9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79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1A85">
            <w:pPr>
              <w:jc w:val="center"/>
            </w:pPr>
            <w:r>
              <w:rPr>
                <w:rFonts w:ascii="宋体" w:hAnsi="宋体" w:eastAsia="宋体"/>
                <w:sz w:val="16"/>
              </w:rPr>
              <w:t>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7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6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E2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9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B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54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3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C2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753E7">
            <w:pPr>
              <w:jc w:val="center"/>
            </w:pPr>
          </w:p>
        </w:tc>
      </w:tr>
      <w:tr w14:paraId="5E736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AA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FE1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0DC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A0C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6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5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0E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0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A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27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E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7F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E3AD1">
            <w:pPr>
              <w:jc w:val="center"/>
            </w:pPr>
          </w:p>
        </w:tc>
      </w:tr>
      <w:tr w14:paraId="601EA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01C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85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15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5DED">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DFF9">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4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F7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92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5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14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C51F">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F9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A1430">
            <w:pPr>
              <w:jc w:val="center"/>
            </w:pPr>
          </w:p>
        </w:tc>
      </w:tr>
      <w:tr w14:paraId="17BE5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420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BCDC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358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886E">
            <w:pPr>
              <w:jc w:val="center"/>
            </w:pPr>
            <w:r>
              <w:rPr>
                <w:rFonts w:ascii="宋体" w:hAnsi="宋体" w:eastAsia="宋体"/>
                <w:sz w:val="16"/>
              </w:rPr>
              <w:t>住房公积金（万元）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7702">
            <w:pPr>
              <w:jc w:val="center"/>
            </w:pPr>
            <w:r>
              <w:rPr>
                <w:rFonts w:ascii="宋体" w:hAnsi="宋体" w:eastAsia="宋体"/>
                <w:sz w:val="16"/>
              </w:rPr>
              <w:t>&lt;=2.79万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42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DE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682D">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CD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50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5BC1">
            <w:pPr>
              <w:jc w:val="center"/>
            </w:pPr>
            <w:r>
              <w:rPr>
                <w:rFonts w:ascii="宋体" w:hAnsi="宋体" w:eastAsia="宋体"/>
                <w:sz w:val="16"/>
              </w:rPr>
              <w:t>=2.79万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FD44">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3F863">
            <w:pPr>
              <w:jc w:val="center"/>
            </w:pPr>
          </w:p>
        </w:tc>
      </w:tr>
      <w:tr w14:paraId="30AB4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94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BB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5E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8052">
            <w:pPr>
              <w:jc w:val="center"/>
            </w:pPr>
            <w:r>
              <w:rPr>
                <w:rFonts w:ascii="宋体" w:hAnsi="宋体" w:eastAsia="宋体"/>
                <w:sz w:val="16"/>
              </w:rPr>
              <w:t>绩效工资（万元）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F3F3">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24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5B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2C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B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DF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4A7E">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57C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CB27">
            <w:pPr>
              <w:jc w:val="center"/>
            </w:pPr>
          </w:p>
        </w:tc>
      </w:tr>
      <w:tr w14:paraId="491D0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15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1BE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92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0DA4">
            <w:pPr>
              <w:jc w:val="center"/>
            </w:pPr>
            <w:r>
              <w:rPr>
                <w:rFonts w:ascii="宋体" w:hAnsi="宋体" w:eastAsia="宋体"/>
                <w:sz w:val="16"/>
              </w:rPr>
              <w:t>保障单位人员合法权益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969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32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EF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2C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E5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5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73A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06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E5A2E">
            <w:pPr>
              <w:jc w:val="center"/>
            </w:pPr>
          </w:p>
        </w:tc>
      </w:tr>
      <w:tr w14:paraId="68BCF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A3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5E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7F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8DDA">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2D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F5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2B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47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55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B0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A5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61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F7809">
            <w:pPr>
              <w:jc w:val="center"/>
            </w:pPr>
          </w:p>
        </w:tc>
      </w:tr>
      <w:tr w14:paraId="03E9990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C69F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6F1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A06C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167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A2B22DB"/>
        </w:tc>
      </w:tr>
    </w:tbl>
    <w:p w14:paraId="3B1A511E">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38D35850">
        <w:tblPrEx>
          <w:tblCellMar>
            <w:top w:w="0" w:type="dxa"/>
            <w:left w:w="108" w:type="dxa"/>
            <w:bottom w:w="0" w:type="dxa"/>
            <w:right w:w="108" w:type="dxa"/>
          </w:tblCellMar>
        </w:tblPrEx>
        <w:tc>
          <w:tcPr>
            <w:tcW w:w="8848" w:type="dxa"/>
            <w:gridSpan w:val="14"/>
            <w:vAlign w:val="center"/>
          </w:tcPr>
          <w:p w14:paraId="1CBA003A">
            <w:pPr>
              <w:jc w:val="center"/>
            </w:pPr>
            <w:r>
              <w:rPr>
                <w:rFonts w:ascii="宋体" w:hAnsi="宋体" w:eastAsia="宋体"/>
                <w:sz w:val="24"/>
              </w:rPr>
              <w:t>项目支出绩效自评表</w:t>
            </w:r>
          </w:p>
        </w:tc>
      </w:tr>
      <w:tr w14:paraId="4BB78596">
        <w:tblPrEx>
          <w:tblCellMar>
            <w:top w:w="0" w:type="dxa"/>
            <w:left w:w="108" w:type="dxa"/>
            <w:bottom w:w="0" w:type="dxa"/>
            <w:right w:w="108" w:type="dxa"/>
          </w:tblCellMar>
        </w:tblPrEx>
        <w:tc>
          <w:tcPr>
            <w:tcW w:w="8848" w:type="dxa"/>
            <w:gridSpan w:val="14"/>
            <w:vAlign w:val="center"/>
          </w:tcPr>
          <w:p w14:paraId="3E32AAEF">
            <w:pPr>
              <w:jc w:val="center"/>
            </w:pPr>
            <w:r>
              <w:rPr>
                <w:rFonts w:ascii="宋体" w:hAnsi="宋体" w:eastAsia="宋体"/>
                <w:sz w:val="24"/>
              </w:rPr>
              <w:t>(2024年度)</w:t>
            </w:r>
          </w:p>
        </w:tc>
      </w:tr>
      <w:tr w14:paraId="13B42F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49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BF157E">
            <w:pPr>
              <w:jc w:val="center"/>
            </w:pPr>
            <w:r>
              <w:rPr>
                <w:rFonts w:ascii="宋体" w:hAnsi="宋体" w:eastAsia="宋体"/>
                <w:sz w:val="16"/>
              </w:rPr>
              <w:t>喀什经济开发区疏附产业园园区基建项目城市配套项目</w:t>
            </w:r>
          </w:p>
        </w:tc>
      </w:tr>
      <w:tr w14:paraId="4DE970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B1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2C3C15">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BA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C739EA">
            <w:pPr>
              <w:jc w:val="center"/>
            </w:pPr>
            <w:r>
              <w:rPr>
                <w:rFonts w:ascii="宋体" w:hAnsi="宋体" w:eastAsia="宋体"/>
                <w:sz w:val="16"/>
              </w:rPr>
              <w:t>喀什经济开发区疏附产业园</w:t>
            </w:r>
          </w:p>
        </w:tc>
      </w:tr>
      <w:tr w14:paraId="478C8C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0F7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0C6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636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C2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3A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00F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46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53F8">
            <w:pPr>
              <w:jc w:val="center"/>
            </w:pPr>
            <w:r>
              <w:rPr>
                <w:rFonts w:ascii="宋体" w:hAnsi="宋体" w:eastAsia="宋体"/>
                <w:sz w:val="16"/>
              </w:rPr>
              <w:t>得分</w:t>
            </w:r>
          </w:p>
        </w:tc>
      </w:tr>
      <w:tr w14:paraId="5BE5D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D3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C41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F09DA">
            <w:pPr>
              <w:jc w:val="center"/>
            </w:pPr>
            <w:r>
              <w:rPr>
                <w:rFonts w:ascii="宋体" w:hAnsi="宋体" w:eastAsia="宋体"/>
                <w:sz w:val="16"/>
              </w:rPr>
              <w:t>287.49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E201F">
            <w:pPr>
              <w:jc w:val="center"/>
            </w:pPr>
            <w:r>
              <w:rPr>
                <w:rFonts w:ascii="宋体" w:hAnsi="宋体" w:eastAsia="宋体"/>
                <w:sz w:val="16"/>
              </w:rPr>
              <w:t>287.49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ED472">
            <w:pPr>
              <w:jc w:val="center"/>
            </w:pPr>
            <w:r>
              <w:rPr>
                <w:rFonts w:ascii="宋体" w:hAnsi="宋体" w:eastAsia="宋体"/>
                <w:sz w:val="16"/>
              </w:rPr>
              <w:t>287.49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718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8E2B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DF26">
            <w:pPr>
              <w:jc w:val="center"/>
            </w:pPr>
            <w:r>
              <w:rPr>
                <w:rFonts w:ascii="宋体" w:hAnsi="宋体" w:eastAsia="宋体"/>
                <w:sz w:val="16"/>
              </w:rPr>
              <w:t>10.00分</w:t>
            </w:r>
          </w:p>
        </w:tc>
      </w:tr>
      <w:tr w14:paraId="7C302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374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E87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DF222">
            <w:pPr>
              <w:jc w:val="center"/>
            </w:pPr>
            <w:r>
              <w:rPr>
                <w:rFonts w:ascii="宋体" w:hAnsi="宋体" w:eastAsia="宋体"/>
                <w:sz w:val="16"/>
              </w:rPr>
              <w:t>287.49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0AF8D">
            <w:pPr>
              <w:jc w:val="center"/>
            </w:pPr>
            <w:r>
              <w:rPr>
                <w:rFonts w:ascii="宋体" w:hAnsi="宋体" w:eastAsia="宋体"/>
                <w:sz w:val="16"/>
              </w:rPr>
              <w:t>287.49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D7490">
            <w:pPr>
              <w:jc w:val="center"/>
            </w:pPr>
            <w:r>
              <w:rPr>
                <w:rFonts w:ascii="宋体" w:hAnsi="宋体" w:eastAsia="宋体"/>
                <w:sz w:val="16"/>
              </w:rPr>
              <w:t>287.49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67E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A3F3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9537">
            <w:pPr>
              <w:jc w:val="center"/>
            </w:pPr>
            <w:r>
              <w:rPr>
                <w:rFonts w:ascii="宋体" w:hAnsi="宋体" w:eastAsia="宋体"/>
                <w:sz w:val="16"/>
              </w:rPr>
              <w:t>—</w:t>
            </w:r>
          </w:p>
        </w:tc>
      </w:tr>
      <w:tr w14:paraId="52DA5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53A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707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53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FEC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6B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411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F8C6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206D">
            <w:pPr>
              <w:jc w:val="center"/>
            </w:pPr>
            <w:r>
              <w:rPr>
                <w:rFonts w:ascii="宋体" w:hAnsi="宋体" w:eastAsia="宋体"/>
                <w:sz w:val="16"/>
              </w:rPr>
              <w:t>—</w:t>
            </w:r>
          </w:p>
        </w:tc>
      </w:tr>
      <w:tr w14:paraId="5BDD81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067B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6CC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33A05C">
            <w:pPr>
              <w:jc w:val="center"/>
            </w:pPr>
            <w:r>
              <w:rPr>
                <w:rFonts w:ascii="宋体" w:hAnsi="宋体" w:eastAsia="宋体"/>
                <w:sz w:val="16"/>
              </w:rPr>
              <w:t>实际完成情况</w:t>
            </w:r>
          </w:p>
        </w:tc>
      </w:tr>
      <w:tr w14:paraId="0A962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119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E0A309">
            <w:pPr>
              <w:jc w:val="both"/>
            </w:pPr>
            <w:r>
              <w:rPr>
                <w:rFonts w:ascii="宋体" w:hAnsi="宋体" w:eastAsia="宋体"/>
                <w:sz w:val="16"/>
              </w:rPr>
              <w:t>根据喀什经济开发区《关于加快办理喀什经济开发区十一县飞地园区消防验收及缴纳城市市政公用基础设施配套费的函》通知要求</w:t>
            </w:r>
            <w:r>
              <w:rPr>
                <w:rFonts w:hint="eastAsia" w:ascii="宋体" w:hAnsi="宋体"/>
                <w:sz w:val="16"/>
                <w:lang w:eastAsia="zh-CN"/>
              </w:rPr>
              <w:t>，</w:t>
            </w:r>
            <w:r>
              <w:rPr>
                <w:rFonts w:ascii="宋体" w:hAnsi="宋体" w:eastAsia="宋体"/>
                <w:sz w:val="16"/>
              </w:rPr>
              <w:t>统筹县财政资金，分批次支付574.98万元欠款，力争8月30日前支付城市建设配套费287.49万元，9月20日前支付城市建设配套费287.49万元。12月底前分批次解决园区其他欠款问题，确保园区轻装上阵。按照项目实际进度，按时拨付保障性住房建设项目工程款。县人民政府承诺2024年9月底前需支付574.98的剩余，50%为287.49万元。充分运用“启迪科技”品牌等优势，力争9月20日前签约6家企业，10月30日签约4家企业；12月30日前3家锂电池生产企业、1家机器人生产</w:t>
            </w:r>
            <w:r>
              <w:rPr>
                <w:rFonts w:hint="eastAsia" w:ascii="宋体" w:hAnsi="宋体"/>
                <w:sz w:val="16"/>
                <w:lang w:eastAsia="zh-CN"/>
              </w:rPr>
              <w:t>企业</w:t>
            </w:r>
            <w:r>
              <w:rPr>
                <w:rFonts w:ascii="宋体" w:hAnsi="宋体" w:eastAsia="宋体"/>
                <w:sz w:val="16"/>
              </w:rPr>
              <w:t>、1家硅胶生产企业投产。9月20日前在现使用一栋厂房的基础上再使用3栋厂房(3.7 万</w:t>
            </w:r>
            <w:r>
              <w:rPr>
                <w:rFonts w:hint="eastAsia" w:ascii="宋体" w:hAnsi="宋体"/>
                <w:sz w:val="16"/>
                <w:lang w:eastAsia="zh-CN"/>
              </w:rPr>
              <w:t>平方</w:t>
            </w:r>
            <w:r>
              <w:rPr>
                <w:rFonts w:ascii="宋体" w:hAnsi="宋体" w:eastAsia="宋体"/>
                <w:sz w:val="16"/>
              </w:rPr>
              <w:t>米)；10月30日前再增加使用厂房3栋(2.59万</w:t>
            </w:r>
            <w:r>
              <w:rPr>
                <w:rFonts w:hint="eastAsia" w:ascii="宋体" w:hAnsi="宋体"/>
                <w:sz w:val="16"/>
                <w:lang w:eastAsia="zh-CN"/>
              </w:rPr>
              <w:t>平方米</w:t>
            </w:r>
            <w:r>
              <w:rPr>
                <w:rFonts w:ascii="宋体" w:hAnsi="宋体" w:eastAsia="宋体"/>
                <w:sz w:val="16"/>
              </w:rPr>
              <w:t>)：12月30日前再增加使用厂房4栋(2.48</w:t>
            </w:r>
            <w:r>
              <w:rPr>
                <w:rFonts w:hint="eastAsia" w:ascii="宋体" w:hAnsi="宋体"/>
                <w:sz w:val="16"/>
                <w:lang w:eastAsia="zh-CN"/>
              </w:rPr>
              <w:t>万平方米</w:t>
            </w:r>
            <w:r>
              <w:rPr>
                <w:rFonts w:ascii="宋体" w:hAnsi="宋体" w:eastAsia="宋体"/>
                <w:sz w:val="16"/>
              </w:rPr>
              <w:t>))，力争厂房利用率达60%以上。2024年9月30日前引进人才10人，10月30日前引进人才10人，12月30日前引进人才10人，力争年底引进人才30人。预计通过项目的实施，保障园区项目正常开展，项目实施企业满意度</w:t>
            </w:r>
            <w:r>
              <w:rPr>
                <w:rFonts w:hint="eastAsia" w:ascii="宋体" w:hAnsi="宋体"/>
                <w:sz w:val="16"/>
                <w:lang w:eastAsia="zh-CN"/>
              </w:rPr>
              <w:t>达到</w:t>
            </w:r>
            <w:r>
              <w:rPr>
                <w:rFonts w:ascii="宋体" w:hAnsi="宋体" w:eastAsia="宋体"/>
                <w:sz w:val="16"/>
              </w:rPr>
              <w:t>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0F6507">
            <w:pPr>
              <w:jc w:val="both"/>
            </w:pPr>
            <w:r>
              <w:rPr>
                <w:rFonts w:hint="eastAsia" w:ascii="宋体" w:hAnsi="宋体"/>
                <w:sz w:val="16"/>
                <w:lang w:eastAsia="zh-CN"/>
              </w:rPr>
              <w:t>截至</w:t>
            </w:r>
            <w:r>
              <w:rPr>
                <w:rFonts w:ascii="宋体" w:hAnsi="宋体" w:eastAsia="宋体"/>
                <w:sz w:val="16"/>
              </w:rPr>
              <w:t>2024年12月31日，本项目全年预算数为287.49万元，全年执行数为287.49万元，全年执行率为100%</w:t>
            </w:r>
            <w:r>
              <w:rPr>
                <w:rFonts w:hint="eastAsia" w:ascii="宋体" w:hAnsi="宋体"/>
                <w:sz w:val="16"/>
                <w:lang w:eastAsia="zh-CN"/>
              </w:rPr>
              <w:t>,</w:t>
            </w:r>
            <w:r>
              <w:rPr>
                <w:rFonts w:ascii="宋体" w:hAnsi="宋体" w:eastAsia="宋体"/>
                <w:sz w:val="16"/>
              </w:rPr>
              <w:t>产业园已完成入驻企业5家；引进人才20人；城市基础设施配套费287.49万元；有效保障园区项目正常开展，园区企业满意度达到了100%。</w:t>
            </w:r>
          </w:p>
        </w:tc>
      </w:tr>
      <w:tr w14:paraId="2A4742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3FB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1D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66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CA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A2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90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30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38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EA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33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A9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A9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8261C">
            <w:pPr>
              <w:jc w:val="center"/>
            </w:pPr>
            <w:r>
              <w:rPr>
                <w:rFonts w:ascii="宋体" w:hAnsi="宋体" w:eastAsia="宋体"/>
                <w:sz w:val="16"/>
              </w:rPr>
              <w:t>偏差原因分析及改进措施</w:t>
            </w:r>
          </w:p>
        </w:tc>
      </w:tr>
      <w:tr w14:paraId="23452D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950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07D8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01E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7A92">
            <w:pPr>
              <w:jc w:val="center"/>
            </w:pPr>
            <w:r>
              <w:rPr>
                <w:rFonts w:ascii="宋体" w:hAnsi="宋体" w:eastAsia="宋体"/>
                <w:sz w:val="16"/>
              </w:rPr>
              <w:t>产业园入驻企业数量（家）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E97D">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9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8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DE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3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00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CEB22">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3D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E4182">
            <w:pPr>
              <w:jc w:val="center"/>
            </w:pPr>
          </w:p>
        </w:tc>
      </w:tr>
      <w:tr w14:paraId="45D8D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EE8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69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6DA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6A9E">
            <w:pPr>
              <w:jc w:val="center"/>
            </w:pPr>
            <w:r>
              <w:rPr>
                <w:rFonts w:ascii="宋体" w:hAnsi="宋体" w:eastAsia="宋体"/>
                <w:sz w:val="16"/>
              </w:rPr>
              <w:t>引进人才实施的项目数（人）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B522">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E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A0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D1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58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E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F58C">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1D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9FB18">
            <w:pPr>
              <w:jc w:val="center"/>
            </w:pPr>
          </w:p>
        </w:tc>
      </w:tr>
      <w:tr w14:paraId="21C09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103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4BA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D0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BEB5">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A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A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18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66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1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76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2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E3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9F2CC">
            <w:pPr>
              <w:jc w:val="center"/>
            </w:pPr>
          </w:p>
        </w:tc>
      </w:tr>
      <w:tr w14:paraId="404E6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16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55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C5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209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E803">
            <w:pPr>
              <w:jc w:val="center"/>
            </w:pPr>
            <w:r>
              <w:rPr>
                <w:rFonts w:ascii="宋体" w:hAnsi="宋体" w:eastAsia="宋体"/>
                <w:sz w:val="16"/>
              </w:rPr>
              <w:t>2024年9月3日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BA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04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D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74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7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B6B9">
            <w:pPr>
              <w:jc w:val="center"/>
            </w:pPr>
            <w:r>
              <w:rPr>
                <w:rFonts w:ascii="宋体" w:hAnsi="宋体" w:eastAsia="宋体"/>
                <w:sz w:val="16"/>
              </w:rPr>
              <w:t>=2024年9月3日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5A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1540A">
            <w:pPr>
              <w:jc w:val="center"/>
            </w:pPr>
          </w:p>
        </w:tc>
      </w:tr>
      <w:tr w14:paraId="0F603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05F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A56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A01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7218">
            <w:pPr>
              <w:jc w:val="center"/>
            </w:pPr>
            <w:r>
              <w:rPr>
                <w:rFonts w:ascii="宋体" w:hAnsi="宋体" w:eastAsia="宋体"/>
                <w:sz w:val="16"/>
              </w:rPr>
              <w:t>城市基础设施配套费（万元）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794A">
            <w:pPr>
              <w:jc w:val="center"/>
            </w:pPr>
            <w:r>
              <w:rPr>
                <w:rFonts w:ascii="宋体" w:hAnsi="宋体" w:eastAsia="宋体"/>
                <w:sz w:val="16"/>
              </w:rPr>
              <w:t>&lt;=287.49万元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D6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CE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01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48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C4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C0C6">
            <w:pPr>
              <w:jc w:val="center"/>
            </w:pPr>
            <w:r>
              <w:rPr>
                <w:rFonts w:ascii="宋体" w:hAnsi="宋体" w:eastAsia="宋体"/>
                <w:sz w:val="16"/>
              </w:rPr>
              <w:t>=287.49万元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A9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5CEB8">
            <w:pPr>
              <w:jc w:val="center"/>
            </w:pPr>
          </w:p>
        </w:tc>
      </w:tr>
      <w:tr w14:paraId="080038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391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BA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2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2D92">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AF1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CDC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EB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B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D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1C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4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10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DAE1B">
            <w:pPr>
              <w:jc w:val="center"/>
            </w:pPr>
          </w:p>
        </w:tc>
      </w:tr>
      <w:tr w14:paraId="21F16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18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E6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2F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DF82">
            <w:pPr>
              <w:jc w:val="center"/>
            </w:pPr>
            <w:r>
              <w:rPr>
                <w:rFonts w:ascii="宋体" w:hAnsi="宋体" w:eastAsia="宋体"/>
                <w:sz w:val="16"/>
              </w:rPr>
              <w:t>保障园区项目正常开展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C9F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7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DE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1B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22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09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414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E52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8DDF3">
            <w:pPr>
              <w:jc w:val="center"/>
            </w:pPr>
          </w:p>
        </w:tc>
      </w:tr>
      <w:tr w14:paraId="3EDE5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C25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B7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94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4E73">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D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A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53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FF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9D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9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1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0C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3B0A5">
            <w:pPr>
              <w:jc w:val="center"/>
            </w:pPr>
          </w:p>
        </w:tc>
      </w:tr>
      <w:tr w14:paraId="7DC076D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21B7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7FD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3E2C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2B2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F38B95"/>
        </w:tc>
      </w:tr>
    </w:tbl>
    <w:p w14:paraId="4A49C2A6">
      <w:r>
        <w:br w:type="page"/>
      </w:r>
    </w:p>
    <w:p w14:paraId="0BDF56C4">
      <w:pPr>
        <w:spacing w:line="640" w:lineRule="exact"/>
        <w:ind w:firstLine="640"/>
        <w:jc w:val="both"/>
        <w:outlineLvl w:val="2"/>
      </w:pPr>
      <w:r>
        <w:rPr>
          <w:rFonts w:ascii="黑体" w:hAnsi="黑体" w:eastAsia="黑体"/>
          <w:sz w:val="32"/>
        </w:rPr>
        <w:t>十二、其他需说明的事项</w:t>
      </w:r>
    </w:p>
    <w:p w14:paraId="1FFA0BA7">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33128CD3">
      <w:r>
        <w:br w:type="page"/>
      </w:r>
    </w:p>
    <w:p w14:paraId="495AF087">
      <w:pPr>
        <w:spacing w:line="240" w:lineRule="auto"/>
        <w:jc w:val="center"/>
        <w:outlineLvl w:val="1"/>
      </w:pPr>
      <w:r>
        <w:rPr>
          <w:rFonts w:ascii="黑体" w:hAnsi="黑体" w:eastAsia="黑体"/>
          <w:sz w:val="32"/>
        </w:rPr>
        <w:t>第三部分 专业名词解释</w:t>
      </w:r>
    </w:p>
    <w:p w14:paraId="75FBF51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10D573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5E0589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0B015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8713DE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60ED5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750046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43BA6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14226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B2774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37D9C3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57FB5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0E4638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D1646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D0D7F4">
      <w:r>
        <w:br w:type="page"/>
      </w:r>
    </w:p>
    <w:p w14:paraId="0F4ED736">
      <w:pPr>
        <w:spacing w:line="240" w:lineRule="auto"/>
        <w:jc w:val="center"/>
        <w:outlineLvl w:val="1"/>
      </w:pPr>
      <w:r>
        <w:rPr>
          <w:rFonts w:ascii="黑体" w:hAnsi="黑体" w:eastAsia="黑体"/>
          <w:sz w:val="32"/>
        </w:rPr>
        <w:t>第四部分 部门决算报表（见附表）</w:t>
      </w:r>
    </w:p>
    <w:p w14:paraId="1DC54951">
      <w:pPr>
        <w:spacing w:line="240" w:lineRule="auto"/>
        <w:ind w:firstLine="640"/>
        <w:jc w:val="both"/>
      </w:pPr>
      <w:r>
        <w:rPr>
          <w:rFonts w:ascii="仿宋_GB2312" w:hAnsi="仿宋_GB2312" w:eastAsia="仿宋_GB2312"/>
          <w:b w:val="0"/>
          <w:sz w:val="32"/>
        </w:rPr>
        <w:t>一、《收入支出决算总表》</w:t>
      </w:r>
    </w:p>
    <w:p w14:paraId="69140409">
      <w:pPr>
        <w:spacing w:line="240" w:lineRule="auto"/>
        <w:ind w:firstLine="640"/>
        <w:jc w:val="both"/>
      </w:pPr>
      <w:r>
        <w:rPr>
          <w:rFonts w:ascii="仿宋_GB2312" w:hAnsi="仿宋_GB2312" w:eastAsia="仿宋_GB2312"/>
          <w:b w:val="0"/>
          <w:sz w:val="32"/>
        </w:rPr>
        <w:t>二、《收入决算表》</w:t>
      </w:r>
    </w:p>
    <w:p w14:paraId="33111E12">
      <w:pPr>
        <w:spacing w:line="240" w:lineRule="auto"/>
        <w:ind w:firstLine="640"/>
        <w:jc w:val="both"/>
      </w:pPr>
      <w:r>
        <w:rPr>
          <w:rFonts w:ascii="仿宋_GB2312" w:hAnsi="仿宋_GB2312" w:eastAsia="仿宋_GB2312"/>
          <w:b w:val="0"/>
          <w:sz w:val="32"/>
        </w:rPr>
        <w:t>三、《支出决算表》</w:t>
      </w:r>
    </w:p>
    <w:p w14:paraId="34698A1F">
      <w:pPr>
        <w:spacing w:line="240" w:lineRule="auto"/>
        <w:ind w:firstLine="640"/>
        <w:jc w:val="both"/>
      </w:pPr>
      <w:r>
        <w:rPr>
          <w:rFonts w:ascii="仿宋_GB2312" w:hAnsi="仿宋_GB2312" w:eastAsia="仿宋_GB2312"/>
          <w:b w:val="0"/>
          <w:sz w:val="32"/>
        </w:rPr>
        <w:t>四、《财政拨款收入支出决算总表》</w:t>
      </w:r>
    </w:p>
    <w:p w14:paraId="0EB976F5">
      <w:pPr>
        <w:spacing w:line="240" w:lineRule="auto"/>
        <w:ind w:firstLine="640"/>
        <w:jc w:val="both"/>
      </w:pPr>
      <w:r>
        <w:rPr>
          <w:rFonts w:ascii="仿宋_GB2312" w:hAnsi="仿宋_GB2312" w:eastAsia="仿宋_GB2312"/>
          <w:b w:val="0"/>
          <w:sz w:val="32"/>
        </w:rPr>
        <w:t>五、《一般公共预算财政拨款支出决算表》</w:t>
      </w:r>
    </w:p>
    <w:p w14:paraId="76803EC2">
      <w:pPr>
        <w:spacing w:line="240" w:lineRule="auto"/>
        <w:ind w:firstLine="640"/>
        <w:jc w:val="both"/>
      </w:pPr>
      <w:r>
        <w:rPr>
          <w:rFonts w:ascii="仿宋_GB2312" w:hAnsi="仿宋_GB2312" w:eastAsia="仿宋_GB2312"/>
          <w:b w:val="0"/>
          <w:sz w:val="32"/>
        </w:rPr>
        <w:t>六、《一般公共预算财政拨款基本支出决算表》</w:t>
      </w:r>
    </w:p>
    <w:p w14:paraId="1DEC336F">
      <w:pPr>
        <w:spacing w:line="240" w:lineRule="auto"/>
        <w:ind w:firstLine="640"/>
        <w:jc w:val="both"/>
      </w:pPr>
      <w:r>
        <w:rPr>
          <w:rFonts w:ascii="仿宋_GB2312" w:hAnsi="仿宋_GB2312" w:eastAsia="仿宋_GB2312"/>
          <w:b w:val="0"/>
          <w:sz w:val="32"/>
        </w:rPr>
        <w:t>七、《政府性基金预算财政拨款收入支出决算表》</w:t>
      </w:r>
    </w:p>
    <w:p w14:paraId="713283FD">
      <w:pPr>
        <w:spacing w:line="240" w:lineRule="auto"/>
        <w:ind w:firstLine="640"/>
        <w:jc w:val="both"/>
      </w:pPr>
      <w:r>
        <w:rPr>
          <w:rFonts w:ascii="仿宋_GB2312" w:hAnsi="仿宋_GB2312" w:eastAsia="仿宋_GB2312"/>
          <w:b w:val="0"/>
          <w:sz w:val="32"/>
        </w:rPr>
        <w:t>八、《国有资本经营预算财政拨款收入支出决算表》</w:t>
      </w:r>
    </w:p>
    <w:p w14:paraId="421CDBA9">
      <w:pPr>
        <w:spacing w:line="240" w:lineRule="auto"/>
        <w:ind w:firstLine="640"/>
        <w:jc w:val="both"/>
      </w:pPr>
      <w:r>
        <w:rPr>
          <w:rFonts w:ascii="仿宋_GB2312" w:hAnsi="仿宋_GB2312" w:eastAsia="仿宋_GB2312"/>
          <w:b w:val="0"/>
          <w:sz w:val="32"/>
        </w:rPr>
        <w:t>九、《财政拨款“三公”经费支出决算表》</w:t>
      </w:r>
    </w:p>
    <w:p w14:paraId="778A485A">
      <w:pPr>
        <w:spacing w:line="240" w:lineRule="auto"/>
        <w:ind w:firstLine="640"/>
        <w:jc w:val="both"/>
      </w:pPr>
    </w:p>
    <w:p w14:paraId="5135D6C7">
      <w:pPr>
        <w:spacing w:line="240" w:lineRule="auto"/>
        <w:ind w:firstLine="640"/>
        <w:jc w:val="both"/>
      </w:pPr>
    </w:p>
    <w:p w14:paraId="2DBD224F">
      <w:pPr>
        <w:spacing w:line="240" w:lineRule="auto"/>
        <w:ind w:firstLine="640"/>
        <w:jc w:val="both"/>
      </w:pPr>
    </w:p>
    <w:p w14:paraId="3869217B">
      <w:pPr>
        <w:spacing w:line="240" w:lineRule="auto"/>
        <w:ind w:firstLine="640"/>
        <w:jc w:val="both"/>
      </w:pPr>
    </w:p>
    <w:p w14:paraId="3A2313D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C60DC1"/>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2F6BAC"/>
    <w:rsid w:val="62DD7D21"/>
    <w:rsid w:val="65D97752"/>
    <w:rsid w:val="664C500C"/>
    <w:rsid w:val="67D111AB"/>
    <w:rsid w:val="68DB0208"/>
    <w:rsid w:val="68DF36D5"/>
    <w:rsid w:val="69846A0E"/>
    <w:rsid w:val="69AD798C"/>
    <w:rsid w:val="6B68175F"/>
    <w:rsid w:val="6B8B5C99"/>
    <w:rsid w:val="6CA7198F"/>
    <w:rsid w:val="6D8919A8"/>
    <w:rsid w:val="6E0F7A08"/>
    <w:rsid w:val="6E801ABC"/>
    <w:rsid w:val="6F8A107E"/>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5638</Words>
  <Characters>6456</Characters>
  <Lines>0</Lines>
  <Paragraphs>0</Paragraphs>
  <TotalTime>74</TotalTime>
  <ScaleCrop>false</ScaleCrop>
  <LinksUpToDate>false</LinksUpToDate>
  <CharactersWithSpaces>6464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2025-09-16T12:21:47Z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