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中国人民解放军新疆维吾尔自治区疏附县人民武装部2024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272479B">
      <w:r>
        <w:br w:type="page"/>
      </w:r>
    </w:p>
    <w:p w14:paraId="64ED166F">
      <w:pPr>
        <w:spacing w:line="640" w:lineRule="exact"/>
        <w:jc w:val="center"/>
        <w:outlineLvl w:val="1"/>
      </w:pPr>
      <w:r>
        <w:rPr>
          <w:rFonts w:ascii="黑体" w:hAnsi="黑体" w:eastAsia="黑体"/>
          <w:sz w:val="32"/>
        </w:rPr>
        <w:t>第一部分 单位概况</w:t>
      </w:r>
    </w:p>
    <w:p w14:paraId="4E019417">
      <w:pPr>
        <w:spacing w:line="640" w:lineRule="exact"/>
        <w:ind w:firstLine="640"/>
        <w:jc w:val="both"/>
        <w:outlineLvl w:val="2"/>
      </w:pPr>
      <w:r>
        <w:rPr>
          <w:rFonts w:ascii="黑体" w:hAnsi="黑体" w:eastAsia="黑体"/>
          <w:sz w:val="32"/>
        </w:rPr>
        <w:t>一、主要职能</w:t>
      </w:r>
    </w:p>
    <w:p w14:paraId="4D6A5370">
      <w:pPr>
        <w:spacing w:line="580" w:lineRule="exact"/>
        <w:ind w:firstLine="640"/>
        <w:jc w:val="both"/>
      </w:pPr>
      <w:r>
        <w:rPr>
          <w:rFonts w:ascii="仿宋_GB2312" w:hAnsi="仿宋_GB2312" w:eastAsia="仿宋_GB2312"/>
          <w:sz w:val="32"/>
        </w:rPr>
        <w:t>（1）负责本区域征兵和民兵部队组织建设。</w:t>
      </w:r>
    </w:p>
    <w:p w14:paraId="263359FC">
      <w:pPr>
        <w:spacing w:line="580" w:lineRule="exact"/>
        <w:ind w:firstLine="640"/>
        <w:jc w:val="both"/>
      </w:pPr>
      <w:r>
        <w:rPr>
          <w:rFonts w:ascii="仿宋_GB2312" w:hAnsi="仿宋_GB2312" w:eastAsia="仿宋_GB2312"/>
          <w:sz w:val="32"/>
        </w:rPr>
        <w:t>（2）负责专武干部培训和民兵政治教育军事训练管理。</w:t>
      </w:r>
    </w:p>
    <w:p w14:paraId="0BFF5473">
      <w:pPr>
        <w:spacing w:line="580" w:lineRule="exact"/>
        <w:ind w:firstLine="640"/>
        <w:jc w:val="both"/>
      </w:pPr>
      <w:r>
        <w:rPr>
          <w:rFonts w:ascii="仿宋_GB2312" w:hAnsi="仿宋_GB2312" w:eastAsia="仿宋_GB2312"/>
          <w:sz w:val="32"/>
        </w:rPr>
        <w:t>（3）组织带领民兵完成战备执勤维护社会治安。</w:t>
      </w:r>
    </w:p>
    <w:p w14:paraId="45F9963C">
      <w:pPr>
        <w:spacing w:line="580" w:lineRule="exact"/>
        <w:ind w:firstLine="640"/>
        <w:jc w:val="both"/>
      </w:pPr>
      <w:r>
        <w:rPr>
          <w:rFonts w:ascii="仿宋_GB2312" w:hAnsi="仿宋_GB2312" w:eastAsia="仿宋_GB2312"/>
          <w:sz w:val="32"/>
        </w:rPr>
        <w:t>（4）发动和组织民兵参加文明建设完成急难险重等</w:t>
      </w:r>
      <w:r>
        <w:rPr>
          <w:rFonts w:hint="eastAsia" w:ascii="仿宋_GB2312" w:hAnsi="仿宋_GB2312" w:eastAsia="仿宋_GB2312"/>
          <w:sz w:val="32"/>
          <w:lang w:eastAsia="zh-CN"/>
        </w:rPr>
        <w:t>突击性</w:t>
      </w:r>
      <w:r>
        <w:rPr>
          <w:rFonts w:ascii="仿宋_GB2312" w:hAnsi="仿宋_GB2312" w:eastAsia="仿宋_GB2312"/>
          <w:sz w:val="32"/>
        </w:rPr>
        <w:t>任务。</w:t>
      </w:r>
    </w:p>
    <w:p w14:paraId="397A44B1">
      <w:pPr>
        <w:spacing w:line="580" w:lineRule="exact"/>
        <w:ind w:firstLine="640"/>
        <w:jc w:val="both"/>
      </w:pPr>
      <w:r>
        <w:rPr>
          <w:rFonts w:ascii="仿宋_GB2312" w:hAnsi="仿宋_GB2312" w:eastAsia="仿宋_GB2312"/>
          <w:sz w:val="32"/>
        </w:rPr>
        <w:t>（5）战时组织带领民兵参军参战，支援前线。</w:t>
      </w:r>
    </w:p>
    <w:p w14:paraId="3C774827">
      <w:pPr>
        <w:spacing w:line="580" w:lineRule="exact"/>
        <w:ind w:firstLine="640"/>
        <w:jc w:val="both"/>
      </w:pPr>
      <w:r>
        <w:rPr>
          <w:rFonts w:ascii="仿宋_GB2312" w:hAnsi="仿宋_GB2312" w:eastAsia="仿宋_GB2312"/>
          <w:sz w:val="32"/>
        </w:rPr>
        <w:t>（6）负责本区域的征兵工作、人员统计工作。</w:t>
      </w:r>
    </w:p>
    <w:p w14:paraId="1966BAF0">
      <w:pPr>
        <w:spacing w:line="580" w:lineRule="exact"/>
        <w:ind w:firstLine="640"/>
        <w:jc w:val="both"/>
      </w:pPr>
      <w:r>
        <w:rPr>
          <w:rFonts w:ascii="仿宋_GB2312" w:hAnsi="仿宋_GB2312" w:eastAsia="仿宋_GB2312"/>
          <w:sz w:val="32"/>
        </w:rPr>
        <w:t>（7）会同有关部门进行战争潜力调查做好相关的动员准备工作。</w:t>
      </w:r>
    </w:p>
    <w:p w14:paraId="542EDDD3">
      <w:pPr>
        <w:spacing w:line="580" w:lineRule="exact"/>
        <w:ind w:firstLine="640"/>
        <w:jc w:val="both"/>
      </w:pPr>
      <w:r>
        <w:rPr>
          <w:rFonts w:ascii="仿宋_GB2312" w:hAnsi="仿宋_GB2312" w:eastAsia="仿宋_GB2312"/>
          <w:sz w:val="32"/>
        </w:rPr>
        <w:t>（8）协调配合预备役部队落实参训人员做好兵员管理、动员集结等工作。</w:t>
      </w:r>
    </w:p>
    <w:p w14:paraId="21BB2C24">
      <w:pPr>
        <w:spacing w:line="580" w:lineRule="exact"/>
        <w:ind w:firstLine="640"/>
        <w:jc w:val="both"/>
      </w:pPr>
      <w:r>
        <w:rPr>
          <w:rFonts w:ascii="仿宋_GB2312" w:hAnsi="仿宋_GB2312" w:eastAsia="仿宋_GB2312"/>
          <w:sz w:val="32"/>
        </w:rPr>
        <w:t>（9）协助有关部门开展国防教育，做好退伍军人安置前的管理教育和烈军属的优抚工作。</w:t>
      </w:r>
    </w:p>
    <w:p w14:paraId="1B422990">
      <w:pPr>
        <w:spacing w:line="580" w:lineRule="exact"/>
        <w:ind w:firstLine="640"/>
        <w:jc w:val="both"/>
      </w:pPr>
      <w:r>
        <w:rPr>
          <w:rFonts w:ascii="仿宋_GB2312" w:hAnsi="仿宋_GB2312" w:eastAsia="仿宋_GB2312"/>
          <w:sz w:val="32"/>
        </w:rPr>
        <w:t>（10）协助军队做好本区域的军事设施保护工作。完成地方党委、人民政府和上级军事机关交给的其他工作任务。</w:t>
      </w:r>
    </w:p>
    <w:p w14:paraId="677CEE4F">
      <w:pPr>
        <w:spacing w:line="640" w:lineRule="exact"/>
        <w:ind w:firstLine="640"/>
        <w:jc w:val="both"/>
        <w:outlineLvl w:val="2"/>
      </w:pPr>
      <w:r>
        <w:rPr>
          <w:rFonts w:ascii="黑体" w:hAnsi="黑体" w:eastAsia="黑体"/>
          <w:sz w:val="32"/>
        </w:rPr>
        <w:t>二、机构设置及人员情况</w:t>
      </w:r>
    </w:p>
    <w:p w14:paraId="5A0FF738">
      <w:pPr>
        <w:spacing w:line="580" w:lineRule="exact"/>
        <w:ind w:firstLine="640"/>
        <w:jc w:val="both"/>
      </w:pPr>
      <w:r>
        <w:rPr>
          <w:rFonts w:ascii="仿宋_GB2312" w:hAnsi="仿宋_GB2312" w:eastAsia="仿宋_GB2312"/>
          <w:sz w:val="32"/>
        </w:rPr>
        <w:t>本单位机构设置及人员情况SM不予公开。</w:t>
      </w:r>
    </w:p>
    <w:p w14:paraId="5747CF63">
      <w:r>
        <w:br w:type="page"/>
      </w:r>
    </w:p>
    <w:p w14:paraId="4AC2C03E">
      <w:pPr>
        <w:spacing w:line="240" w:lineRule="auto"/>
        <w:jc w:val="center"/>
        <w:outlineLvl w:val="1"/>
      </w:pPr>
      <w:r>
        <w:rPr>
          <w:rFonts w:ascii="黑体" w:hAnsi="黑体" w:eastAsia="黑体"/>
          <w:sz w:val="32"/>
        </w:rPr>
        <w:t>第二部分 部门决算情况说明</w:t>
      </w:r>
    </w:p>
    <w:p w14:paraId="29FA20F7">
      <w:pPr>
        <w:spacing w:line="640" w:lineRule="exact"/>
        <w:ind w:firstLine="640"/>
        <w:jc w:val="both"/>
        <w:outlineLvl w:val="2"/>
      </w:pPr>
      <w:r>
        <w:rPr>
          <w:rFonts w:ascii="黑体" w:hAnsi="黑体" w:eastAsia="黑体"/>
          <w:sz w:val="32"/>
        </w:rPr>
        <w:t>一、收入支出决算总体情况说明</w:t>
      </w:r>
    </w:p>
    <w:p w14:paraId="309128F1">
      <w:pPr>
        <w:spacing w:line="580" w:lineRule="exact"/>
        <w:ind w:firstLine="640"/>
        <w:jc w:val="both"/>
      </w:pPr>
      <w:r>
        <w:rPr>
          <w:rFonts w:ascii="仿宋_GB2312" w:hAnsi="仿宋_GB2312" w:eastAsia="仿宋_GB2312"/>
          <w:b/>
          <w:sz w:val="32"/>
        </w:rPr>
        <w:t>2024年度收入总计228.48万元，</w:t>
      </w:r>
      <w:r>
        <w:rPr>
          <w:rFonts w:ascii="仿宋_GB2312" w:hAnsi="仿宋_GB2312" w:eastAsia="仿宋_GB2312"/>
          <w:b w:val="0"/>
          <w:sz w:val="32"/>
        </w:rPr>
        <w:t>其中：本年收入合计228.48万元，使用非财政拨款结余（含专用结余）0.00万元，年初结转和结余0.00万元。</w:t>
      </w:r>
    </w:p>
    <w:p w14:paraId="690EAC49">
      <w:pPr>
        <w:spacing w:line="580" w:lineRule="exact"/>
        <w:ind w:firstLine="640"/>
        <w:jc w:val="both"/>
      </w:pPr>
      <w:r>
        <w:rPr>
          <w:rFonts w:ascii="仿宋_GB2312" w:hAnsi="仿宋_GB2312" w:eastAsia="仿宋_GB2312"/>
          <w:b/>
          <w:sz w:val="32"/>
        </w:rPr>
        <w:t>2024年度支出总计228.48万元，</w:t>
      </w:r>
      <w:r>
        <w:rPr>
          <w:rFonts w:ascii="仿宋_GB2312" w:hAnsi="仿宋_GB2312" w:eastAsia="仿宋_GB2312"/>
          <w:b w:val="0"/>
          <w:sz w:val="32"/>
        </w:rPr>
        <w:t>其中：本年支出合计228.48万元，结余分配0.00万元，年末结转和结余0.00万元。</w:t>
      </w:r>
    </w:p>
    <w:p w14:paraId="79DBCD6F">
      <w:pPr>
        <w:spacing w:line="580" w:lineRule="exact"/>
        <w:ind w:firstLine="640"/>
        <w:jc w:val="both"/>
      </w:pPr>
      <w:r>
        <w:rPr>
          <w:rFonts w:ascii="仿宋_GB2312" w:hAnsi="仿宋_GB2312" w:eastAsia="仿宋_GB2312"/>
          <w:b w:val="0"/>
          <w:sz w:val="32"/>
        </w:rPr>
        <w:t>收入支出总体与上年相比，增加171.53万元，增长301.19%，主要原因是：1.本年在职人员工资调增，社保基数调增，人员经费增加；2.本年征兵项目和正规化建设等项目资金较上年增加。</w:t>
      </w:r>
    </w:p>
    <w:p w14:paraId="4BB06AEC">
      <w:pPr>
        <w:spacing w:line="640" w:lineRule="exact"/>
        <w:ind w:firstLine="640"/>
        <w:jc w:val="both"/>
        <w:outlineLvl w:val="2"/>
      </w:pPr>
      <w:r>
        <w:rPr>
          <w:rFonts w:ascii="黑体" w:hAnsi="黑体" w:eastAsia="黑体"/>
          <w:sz w:val="32"/>
        </w:rPr>
        <w:t>二、收入决算情况说明</w:t>
      </w:r>
    </w:p>
    <w:p w14:paraId="46737D94">
      <w:pPr>
        <w:spacing w:line="580" w:lineRule="exact"/>
        <w:ind w:firstLine="640"/>
        <w:jc w:val="both"/>
      </w:pPr>
      <w:r>
        <w:rPr>
          <w:rFonts w:ascii="仿宋_GB2312" w:hAnsi="仿宋_GB2312" w:eastAsia="仿宋_GB2312"/>
          <w:b/>
          <w:sz w:val="32"/>
        </w:rPr>
        <w:t>本年收入228.48万元，</w:t>
      </w:r>
      <w:r>
        <w:rPr>
          <w:rFonts w:ascii="仿宋_GB2312" w:hAnsi="仿宋_GB2312" w:eastAsia="仿宋_GB2312"/>
          <w:b w:val="0"/>
          <w:sz w:val="32"/>
        </w:rPr>
        <w:t>其中：财政拨款收入134.18万元，占58.73%；上级补助收入0.00万元，占0.00%；事业收入0.00万元，占0.00%；经营收入0.00万元，占0.00%；附属单位上缴收入0.00万元，占0.00%；其他收入94.30万元，占41.27%。</w:t>
      </w:r>
    </w:p>
    <w:p w14:paraId="527803CE">
      <w:pPr>
        <w:spacing w:line="640" w:lineRule="exact"/>
        <w:ind w:firstLine="640"/>
        <w:jc w:val="both"/>
        <w:outlineLvl w:val="2"/>
      </w:pPr>
      <w:r>
        <w:rPr>
          <w:rFonts w:ascii="黑体" w:hAnsi="黑体" w:eastAsia="黑体"/>
          <w:sz w:val="32"/>
        </w:rPr>
        <w:t>三、支出决算情况说明</w:t>
      </w:r>
    </w:p>
    <w:p w14:paraId="54A04C67">
      <w:pPr>
        <w:spacing w:line="580" w:lineRule="exact"/>
        <w:ind w:firstLine="640"/>
        <w:jc w:val="both"/>
      </w:pPr>
      <w:r>
        <w:rPr>
          <w:rFonts w:ascii="仿宋_GB2312" w:hAnsi="仿宋_GB2312" w:eastAsia="仿宋_GB2312"/>
          <w:b/>
          <w:sz w:val="32"/>
        </w:rPr>
        <w:t>本年支出228.48万元，</w:t>
      </w:r>
      <w:r>
        <w:rPr>
          <w:rFonts w:ascii="仿宋_GB2312" w:hAnsi="仿宋_GB2312" w:eastAsia="仿宋_GB2312"/>
          <w:b w:val="0"/>
          <w:sz w:val="32"/>
        </w:rPr>
        <w:t>其中：基本支出156.56万元，占68.52%；项目支出71.92万元，占31.48%；上缴上级支出0.00万元，占0.00%；经营支出0.00万元，占0.00%；对附属单位补助支出0.00万元，占0.00%。</w:t>
      </w:r>
    </w:p>
    <w:p w14:paraId="221FD457">
      <w:pPr>
        <w:spacing w:line="640" w:lineRule="exact"/>
        <w:ind w:firstLine="640"/>
        <w:jc w:val="both"/>
        <w:outlineLvl w:val="2"/>
      </w:pPr>
      <w:r>
        <w:rPr>
          <w:rFonts w:ascii="黑体" w:hAnsi="黑体" w:eastAsia="黑体"/>
          <w:sz w:val="32"/>
        </w:rPr>
        <w:t>四、财政拨款收入支出决算总体情况说明</w:t>
      </w:r>
    </w:p>
    <w:p w14:paraId="3A0E1BD2">
      <w:pPr>
        <w:spacing w:line="580" w:lineRule="exact"/>
        <w:ind w:firstLine="640"/>
        <w:jc w:val="both"/>
      </w:pPr>
      <w:r>
        <w:rPr>
          <w:rFonts w:ascii="仿宋_GB2312" w:hAnsi="仿宋_GB2312" w:eastAsia="仿宋_GB2312"/>
          <w:b/>
          <w:sz w:val="32"/>
        </w:rPr>
        <w:t>2024年度财政拨款收入总计134.18万元，</w:t>
      </w:r>
      <w:r>
        <w:rPr>
          <w:rFonts w:ascii="仿宋_GB2312" w:hAnsi="仿宋_GB2312" w:eastAsia="仿宋_GB2312"/>
          <w:b w:val="0"/>
          <w:sz w:val="32"/>
        </w:rPr>
        <w:t>其中：年初财政拨款结转和结余0.00万元，本年财政拨款收入134.18万元。</w:t>
      </w:r>
      <w:r>
        <w:rPr>
          <w:rFonts w:ascii="仿宋_GB2312" w:hAnsi="仿宋_GB2312" w:eastAsia="仿宋_GB2312"/>
          <w:b/>
          <w:sz w:val="32"/>
        </w:rPr>
        <w:t>财政拨款支出总计134.18万元，</w:t>
      </w:r>
      <w:r>
        <w:rPr>
          <w:rFonts w:ascii="仿宋_GB2312" w:hAnsi="仿宋_GB2312" w:eastAsia="仿宋_GB2312"/>
          <w:b w:val="0"/>
          <w:sz w:val="32"/>
        </w:rPr>
        <w:t>其中：年末财政拨款结转和结余0.00万元，本年财政拨款支出134.18万元。</w:t>
      </w:r>
    </w:p>
    <w:p w14:paraId="74C9CA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增加77.23万元，增长135.61%，主要原因是：一是本年在职人员工资调增，社保基数调增，人员经费增加；二是聘用人员经费增加；三是本年业务量增加，办公费，培训费，专用材料费增加。</w:t>
      </w:r>
      <w:r>
        <w:rPr>
          <w:rFonts w:ascii="仿宋_GB2312" w:hAnsi="仿宋_GB2312" w:eastAsia="仿宋_GB2312"/>
          <w:b/>
          <w:sz w:val="32"/>
        </w:rPr>
        <w:t>与年初预算相比，</w:t>
      </w:r>
      <w:r>
        <w:rPr>
          <w:rFonts w:ascii="仿宋_GB2312" w:hAnsi="仿宋_GB2312" w:eastAsia="仿宋_GB2312"/>
          <w:b w:val="0"/>
          <w:sz w:val="32"/>
        </w:rPr>
        <w:t>年初预算数57.63万元，决算数134.18万元，预决算差异率132.83%，主要原因是：年中追加人员工资、社保、公积金基数调增部分资金及单位业务工作经费，导致预决算存在差异。</w:t>
      </w:r>
    </w:p>
    <w:p w14:paraId="6C3DE2EF">
      <w:pPr>
        <w:spacing w:line="640" w:lineRule="exact"/>
        <w:ind w:firstLine="640"/>
        <w:jc w:val="both"/>
        <w:outlineLvl w:val="2"/>
      </w:pPr>
      <w:r>
        <w:rPr>
          <w:rFonts w:ascii="黑体" w:hAnsi="黑体" w:eastAsia="黑体"/>
          <w:sz w:val="32"/>
        </w:rPr>
        <w:t>五、一般公共预算财政拨款支出决算情况说明</w:t>
      </w:r>
    </w:p>
    <w:p w14:paraId="703765F6">
      <w:pPr>
        <w:spacing w:line="640" w:lineRule="exact"/>
        <w:ind w:firstLine="640"/>
        <w:jc w:val="both"/>
        <w:outlineLvl w:val="3"/>
      </w:pPr>
      <w:r>
        <w:rPr>
          <w:rFonts w:ascii="楷体_GB2312" w:hAnsi="楷体_GB2312" w:eastAsia="楷体_GB2312"/>
          <w:b/>
          <w:sz w:val="32"/>
        </w:rPr>
        <w:t>（一）一般公共预算财政拨款支出决算总体情况</w:t>
      </w:r>
    </w:p>
    <w:p w14:paraId="23891018">
      <w:pPr>
        <w:spacing w:line="580" w:lineRule="exact"/>
        <w:ind w:firstLine="640"/>
        <w:jc w:val="both"/>
      </w:pPr>
      <w:r>
        <w:rPr>
          <w:rFonts w:ascii="仿宋_GB2312" w:hAnsi="仿宋_GB2312" w:eastAsia="仿宋_GB2312"/>
          <w:b/>
          <w:sz w:val="32"/>
        </w:rPr>
        <w:t>2024年度一般公共预算财政拨款支出134.18万元，</w:t>
      </w:r>
      <w:r>
        <w:rPr>
          <w:rFonts w:ascii="仿宋_GB2312" w:hAnsi="仿宋_GB2312" w:eastAsia="仿宋_GB2312"/>
          <w:b w:val="0"/>
          <w:sz w:val="32"/>
        </w:rPr>
        <w:t>占本年支出合计的58.73%。</w:t>
      </w:r>
      <w:r>
        <w:rPr>
          <w:rFonts w:ascii="仿宋_GB2312" w:hAnsi="仿宋_GB2312" w:eastAsia="仿宋_GB2312"/>
          <w:b/>
          <w:sz w:val="32"/>
        </w:rPr>
        <w:t>与上年相比，</w:t>
      </w:r>
      <w:r>
        <w:rPr>
          <w:rFonts w:ascii="仿宋_GB2312" w:hAnsi="仿宋_GB2312" w:eastAsia="仿宋_GB2312"/>
          <w:b w:val="0"/>
          <w:sz w:val="32"/>
        </w:rPr>
        <w:t>增加77.23万元，增长135.61%，主要原因是：一是本年在职人员工资调增，社保基数调增，人员经费增加；二是聘用人员经费增加；三是本年业务量增加，办公费，培训费，专用材料费增加。</w:t>
      </w:r>
      <w:r>
        <w:rPr>
          <w:rFonts w:ascii="仿宋_GB2312" w:hAnsi="仿宋_GB2312" w:eastAsia="仿宋_GB2312"/>
          <w:b/>
          <w:sz w:val="32"/>
        </w:rPr>
        <w:t>与年初预算相比</w:t>
      </w:r>
      <w:bookmarkStart w:id="0" w:name="_GoBack"/>
      <w:r>
        <w:rPr>
          <w:rFonts w:ascii="仿宋_GB2312" w:hAnsi="仿宋_GB2312" w:eastAsia="仿宋_GB2312"/>
          <w:b/>
          <w:sz w:val="32"/>
        </w:rPr>
        <w:t>,</w:t>
      </w:r>
      <w:bookmarkEnd w:id="0"/>
      <w:r>
        <w:rPr>
          <w:rFonts w:ascii="仿宋_GB2312" w:hAnsi="仿宋_GB2312" w:eastAsia="仿宋_GB2312"/>
          <w:b w:val="0"/>
          <w:sz w:val="32"/>
        </w:rPr>
        <w:t>年初预算数57.63万元，决算数134.18万元，预决算差异率132.83%，主要原因是：年中追加人员工资、社保、公积金基数调增部分资金及单位业务工作经费，导致预决算存在差异。</w:t>
      </w:r>
    </w:p>
    <w:p w14:paraId="4AB37EF1">
      <w:pPr>
        <w:spacing w:line="640" w:lineRule="exact"/>
        <w:ind w:firstLine="640"/>
        <w:jc w:val="both"/>
        <w:outlineLvl w:val="3"/>
      </w:pPr>
      <w:r>
        <w:rPr>
          <w:rFonts w:ascii="楷体_GB2312" w:hAnsi="楷体_GB2312" w:eastAsia="楷体_GB2312"/>
          <w:b/>
          <w:sz w:val="32"/>
        </w:rPr>
        <w:t>（二）一般公共预算财政拨款支出决算结构情况</w:t>
      </w:r>
    </w:p>
    <w:p w14:paraId="4BD30A6F">
      <w:pPr>
        <w:spacing w:line="580" w:lineRule="exact"/>
        <w:ind w:firstLine="640"/>
        <w:jc w:val="both"/>
      </w:pPr>
      <w:r>
        <w:rPr>
          <w:rFonts w:ascii="仿宋_GB2312" w:hAnsi="仿宋_GB2312" w:eastAsia="仿宋_GB2312"/>
          <w:b w:val="0"/>
          <w:sz w:val="32"/>
        </w:rPr>
        <w:t>1.一般公共服务支出(类)117.45万元,占87.53%。</w:t>
      </w:r>
    </w:p>
    <w:p w14:paraId="3A73C78B">
      <w:pPr>
        <w:spacing w:line="580" w:lineRule="exact"/>
        <w:ind w:firstLine="640"/>
        <w:jc w:val="both"/>
      </w:pPr>
      <w:r>
        <w:rPr>
          <w:rFonts w:ascii="仿宋_GB2312" w:hAnsi="仿宋_GB2312" w:eastAsia="仿宋_GB2312"/>
          <w:b w:val="0"/>
          <w:sz w:val="32"/>
        </w:rPr>
        <w:t>2.社会保障和就业支出(类)13.62万元,占10.15%。</w:t>
      </w:r>
    </w:p>
    <w:p w14:paraId="3138C86D">
      <w:pPr>
        <w:spacing w:line="580" w:lineRule="exact"/>
        <w:ind w:firstLine="640"/>
        <w:jc w:val="both"/>
      </w:pPr>
      <w:r>
        <w:rPr>
          <w:rFonts w:ascii="仿宋_GB2312" w:hAnsi="仿宋_GB2312" w:eastAsia="仿宋_GB2312"/>
          <w:b w:val="0"/>
          <w:sz w:val="32"/>
        </w:rPr>
        <w:t>3.卫生健康支出(类)1.12万元,占0.83%。</w:t>
      </w:r>
    </w:p>
    <w:p w14:paraId="31E6252D">
      <w:pPr>
        <w:spacing w:line="580" w:lineRule="exact"/>
        <w:ind w:firstLine="640"/>
        <w:jc w:val="both"/>
      </w:pPr>
      <w:r>
        <w:rPr>
          <w:rFonts w:ascii="仿宋_GB2312" w:hAnsi="仿宋_GB2312" w:eastAsia="仿宋_GB2312"/>
          <w:b w:val="0"/>
          <w:sz w:val="32"/>
        </w:rPr>
        <w:t>4.住房保障支出(类)1.99万元,占1.48%。</w:t>
      </w:r>
    </w:p>
    <w:p w14:paraId="716650F9">
      <w:pPr>
        <w:spacing w:line="640" w:lineRule="exact"/>
        <w:ind w:firstLine="640"/>
        <w:jc w:val="both"/>
        <w:outlineLvl w:val="3"/>
      </w:pPr>
      <w:r>
        <w:rPr>
          <w:rFonts w:ascii="楷体_GB2312" w:hAnsi="楷体_GB2312" w:eastAsia="楷体_GB2312"/>
          <w:b/>
          <w:sz w:val="32"/>
        </w:rPr>
        <w:t>（三）一般公共预算财政拨款支出决算具体情况</w:t>
      </w:r>
    </w:p>
    <w:p w14:paraId="2BBFEBBA">
      <w:pPr>
        <w:spacing w:line="580" w:lineRule="exact"/>
        <w:ind w:firstLine="640"/>
        <w:jc w:val="both"/>
      </w:pPr>
      <w:r>
        <w:rPr>
          <w:rFonts w:ascii="仿宋_GB2312" w:hAnsi="仿宋_GB2312" w:eastAsia="仿宋_GB2312"/>
          <w:b w:val="0"/>
          <w:sz w:val="32"/>
        </w:rPr>
        <w:t>1.一般公共服务支出(类)人大事务(款)事业运行(项):支出决算数为26.28万元，比上年决算增加26.28万元，增长100.00%,主要原因是：本年增加民兵服装专用材料费支出，相应经费增加。</w:t>
      </w:r>
    </w:p>
    <w:p w14:paraId="04D6F719">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73.17万元，比上年决算增加31.60万元，增长76.02%,主要原因是：本年在职人员工资调增及聘用人员经费增加，导致相关人员经费较上年有所增加。</w:t>
      </w:r>
    </w:p>
    <w:p w14:paraId="78D9760A">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18.00万元，比上年决算增加18.00万元，增长100.00%,主要原因是：本年民兵训练增加，培训费支出增加。</w:t>
      </w:r>
    </w:p>
    <w:p w14:paraId="429C4DB9">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4.社会保障和就业支出(类)行政事业单位养老支出(款)事业单位离退休(项):支出决算数为4.70万元，比上年决算增加0.77万元，增长19.59%,主要原因是：本年新增退休人员1人，7月份去世1人，退休费支出增加。</w:t>
      </w:r>
    </w:p>
    <w:p w14:paraId="3F6772DE">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2.56万元，比上年决算增加0.16万元，增长6.67%,主要原因是：本年在职人员工资基数调增，养老缴费基数上涨，相应支出增加。</w:t>
      </w:r>
    </w:p>
    <w:p w14:paraId="4F9F85C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6.36万元，比上年决算增加1.18万元，增长22.78%,主要原因是：本年新增退休人员1人，7月份去世1人，做实人员职业年金。</w:t>
      </w:r>
    </w:p>
    <w:p w14:paraId="665030E5">
      <w:pPr>
        <w:spacing w:line="580" w:lineRule="exact"/>
        <w:ind w:firstLine="640"/>
        <w:jc w:val="both"/>
      </w:pPr>
      <w:r>
        <w:rPr>
          <w:rFonts w:ascii="仿宋_GB2312" w:hAnsi="仿宋_GB2312" w:eastAsia="仿宋_GB2312"/>
          <w:b w:val="0"/>
          <w:sz w:val="32"/>
        </w:rPr>
        <w:t>7.卫生健康支出(类)行政事业单位医疗(款)事业单位医疗(项):支出决算数为1.12万元，比上年决算减少0.75万元，下降40.11%,主要原因是：本年在职人员调入调出，人员职级不同，缴费基数不同，导致行政单位医疗较上年减少。</w:t>
      </w:r>
    </w:p>
    <w:p w14:paraId="685316A1">
      <w:pPr>
        <w:spacing w:line="580" w:lineRule="exact"/>
        <w:ind w:firstLine="640"/>
        <w:jc w:val="both"/>
      </w:pPr>
      <w:r>
        <w:rPr>
          <w:rFonts w:ascii="仿宋_GB2312" w:hAnsi="仿宋_GB2312" w:eastAsia="仿宋_GB2312"/>
          <w:b w:val="0"/>
          <w:sz w:val="32"/>
        </w:rPr>
        <w:t>8.住房保障支出(类)住房改革支出(款)住房公积金(项):支出决算数为1.99万元，比上年决算减少0.01万元，下降0.50%,主要原因是：本年在职人员调入调出，人员职级不同，缴费基数不同，导致住房公积金较上年减少。</w:t>
      </w:r>
    </w:p>
    <w:p w14:paraId="74319063">
      <w:pPr>
        <w:spacing w:line="640" w:lineRule="exact"/>
        <w:ind w:firstLine="640"/>
        <w:jc w:val="both"/>
        <w:outlineLvl w:val="2"/>
      </w:pPr>
      <w:r>
        <w:rPr>
          <w:rFonts w:ascii="黑体" w:hAnsi="黑体" w:eastAsia="黑体"/>
          <w:sz w:val="32"/>
        </w:rPr>
        <w:t>六、一般公共预算财政拨款基本支出决算情况说明</w:t>
      </w:r>
    </w:p>
    <w:p w14:paraId="3EF57F3A">
      <w:pPr>
        <w:spacing w:line="580" w:lineRule="exact"/>
        <w:ind w:firstLine="640"/>
        <w:jc w:val="both"/>
      </w:pPr>
      <w:r>
        <w:rPr>
          <w:rFonts w:ascii="仿宋_GB2312" w:hAnsi="仿宋_GB2312" w:eastAsia="仿宋_GB2312"/>
          <w:b w:val="0"/>
          <w:sz w:val="32"/>
        </w:rPr>
        <w:t>2024年度一般公共预算财政拨款基本支出134.18万元，其中：</w:t>
      </w:r>
      <w:r>
        <w:rPr>
          <w:rFonts w:ascii="仿宋_GB2312" w:hAnsi="仿宋_GB2312" w:eastAsia="仿宋_GB2312"/>
          <w:b/>
          <w:sz w:val="32"/>
        </w:rPr>
        <w:t>人员经费54.16万元，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14:paraId="7D48814F">
      <w:pPr>
        <w:spacing w:line="580" w:lineRule="exact"/>
        <w:ind w:firstLine="640"/>
        <w:jc w:val="both"/>
      </w:pPr>
      <w:r>
        <w:rPr>
          <w:rFonts w:ascii="仿宋_GB2312" w:hAnsi="仿宋_GB2312" w:eastAsia="仿宋_GB2312"/>
          <w:b/>
          <w:sz w:val="32"/>
        </w:rPr>
        <w:t>公用经费80.01万元，</w:t>
      </w:r>
      <w:r>
        <w:rPr>
          <w:rFonts w:ascii="仿宋_GB2312" w:hAnsi="仿宋_GB2312" w:eastAsia="仿宋_GB2312"/>
          <w:b w:val="0"/>
          <w:sz w:val="32"/>
        </w:rPr>
        <w:t>包括：办公费、取暖费、培训费、专用材料费、福利费、公务用车运行维护费、其他商品和服务支出。</w:t>
      </w:r>
    </w:p>
    <w:p w14:paraId="4E97AF5E">
      <w:pPr>
        <w:spacing w:line="640" w:lineRule="exact"/>
        <w:ind w:firstLine="640"/>
        <w:jc w:val="both"/>
        <w:outlineLvl w:val="2"/>
      </w:pPr>
      <w:r>
        <w:rPr>
          <w:rFonts w:ascii="黑体" w:hAnsi="黑体" w:eastAsia="黑体"/>
          <w:sz w:val="32"/>
        </w:rPr>
        <w:t>七、政府性基金预算财政拨款收入支出决算情况说明</w:t>
      </w:r>
    </w:p>
    <w:p w14:paraId="7781B5C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1FC2E6">
      <w:pPr>
        <w:spacing w:line="640" w:lineRule="exact"/>
        <w:ind w:firstLine="640"/>
        <w:jc w:val="both"/>
        <w:outlineLvl w:val="2"/>
      </w:pPr>
      <w:r>
        <w:rPr>
          <w:rFonts w:ascii="黑体" w:hAnsi="黑体" w:eastAsia="黑体"/>
          <w:sz w:val="32"/>
        </w:rPr>
        <w:t>八、国有资本经营预算财政拨款收入支出决算情况说明</w:t>
      </w:r>
    </w:p>
    <w:p w14:paraId="69107A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331BDF">
      <w:pPr>
        <w:spacing w:line="640" w:lineRule="exact"/>
        <w:ind w:firstLine="640"/>
        <w:jc w:val="both"/>
        <w:outlineLvl w:val="2"/>
      </w:pPr>
      <w:r>
        <w:rPr>
          <w:rFonts w:ascii="黑体" w:hAnsi="黑体" w:eastAsia="黑体"/>
          <w:sz w:val="32"/>
        </w:rPr>
        <w:t>九、财政拨款“三公”经费支出决算情况说明</w:t>
      </w:r>
    </w:p>
    <w:p w14:paraId="54BE5B51">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0.80万元，增长100.00%，主要原因是：本年将车辆纳入公务用车管理，增加车辆运行维护费。其中：因公出国（境）费支出0.00万元，占0.00%，比上年增加0.00万元，增长0.00%，主要原因是：2023年与2024年均未安排因公出国（境）费支出。公务用车购置及运行维护费支出0.80万元，占100.00%，比上年增加0.80万元，增长100.00%，主要原因是：本年将车辆纳入公务用车管理，增加车辆运行维护费。公务接待费支出0.00万元，占0.00%，比上年增加0.00万元，增长0.00%，主要原因是：2023年与2024年均未安排公务接待费支出。</w:t>
      </w:r>
    </w:p>
    <w:p w14:paraId="6BAF60E8">
      <w:pPr>
        <w:spacing w:line="580" w:lineRule="exact"/>
        <w:ind w:firstLine="640"/>
        <w:jc w:val="both"/>
      </w:pPr>
      <w:r>
        <w:rPr>
          <w:rFonts w:ascii="仿宋_GB2312" w:hAnsi="仿宋_GB2312" w:eastAsia="仿宋_GB2312"/>
          <w:b/>
          <w:sz w:val="32"/>
        </w:rPr>
        <w:t>具体情况如下：</w:t>
      </w:r>
    </w:p>
    <w:p w14:paraId="7B80D00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14ABF4">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等。公务用车购置数0辆，公务用车保有量1辆。国有资产占用情况中固定资产车辆0辆，与公务用车保有量差异原因是：借用其他单位车辆，车辆费用由本单位支付。</w:t>
      </w:r>
    </w:p>
    <w:p w14:paraId="335D739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97EE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0.80万元，预决算差异率0.00%，主要原因是：严格按照预算执行，预决算无差异。公务接待费全年预算数0.00万元，决算数0.00万元，预决算差异率0.00%，主要原因是：本单位无公务接待费。</w:t>
      </w:r>
    </w:p>
    <w:p w14:paraId="5735B795">
      <w:pPr>
        <w:spacing w:line="640" w:lineRule="exact"/>
        <w:ind w:firstLine="640"/>
        <w:jc w:val="both"/>
        <w:outlineLvl w:val="2"/>
      </w:pPr>
      <w:r>
        <w:rPr>
          <w:rFonts w:ascii="黑体" w:hAnsi="黑体" w:eastAsia="黑体"/>
          <w:sz w:val="32"/>
        </w:rPr>
        <w:t>十、其他重要事项的情况说明</w:t>
      </w:r>
    </w:p>
    <w:p w14:paraId="5279839C">
      <w:pPr>
        <w:spacing w:line="640" w:lineRule="exact"/>
        <w:ind w:firstLine="640"/>
        <w:jc w:val="both"/>
        <w:outlineLvl w:val="3"/>
      </w:pPr>
      <w:r>
        <w:rPr>
          <w:rFonts w:ascii="楷体_GB2312" w:hAnsi="楷体_GB2312" w:eastAsia="楷体_GB2312"/>
          <w:b/>
          <w:sz w:val="32"/>
        </w:rPr>
        <w:t>（一）机关运行经费及公用经费支出情况</w:t>
      </w:r>
    </w:p>
    <w:p w14:paraId="7CD7641F">
      <w:pPr>
        <w:spacing w:line="580" w:lineRule="exact"/>
        <w:ind w:firstLine="640"/>
        <w:jc w:val="both"/>
      </w:pPr>
      <w:r>
        <w:rPr>
          <w:rFonts w:ascii="仿宋_GB2312" w:hAnsi="仿宋_GB2312" w:eastAsia="仿宋_GB2312"/>
          <w:b w:val="0"/>
          <w:sz w:val="32"/>
        </w:rPr>
        <w:t>2024年度中国人民解放军新疆维吾尔自治区疏附县人民武装部（事业单位）公用经费支出80.01万元，比上年增加79.90万元，增长72,636.36%，主要原因是：本年更新、维护补充办公用品，导致公用经费较上年增加。</w:t>
      </w:r>
    </w:p>
    <w:p w14:paraId="45E63966">
      <w:pPr>
        <w:spacing w:line="640" w:lineRule="exact"/>
        <w:ind w:firstLine="640"/>
        <w:jc w:val="both"/>
        <w:outlineLvl w:val="3"/>
      </w:pPr>
      <w:r>
        <w:rPr>
          <w:rFonts w:ascii="楷体_GB2312" w:hAnsi="楷体_GB2312" w:eastAsia="楷体_GB2312"/>
          <w:b/>
          <w:sz w:val="32"/>
        </w:rPr>
        <w:t>（二）政府采购情况</w:t>
      </w:r>
    </w:p>
    <w:p w14:paraId="021334CC">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007341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D528D0D">
      <w:pPr>
        <w:spacing w:line="640" w:lineRule="exact"/>
        <w:ind w:firstLine="640"/>
        <w:jc w:val="both"/>
        <w:outlineLvl w:val="3"/>
      </w:pPr>
      <w:r>
        <w:rPr>
          <w:rFonts w:ascii="楷体_GB2312" w:hAnsi="楷体_GB2312" w:eastAsia="楷体_GB2312"/>
          <w:b/>
          <w:sz w:val="32"/>
        </w:rPr>
        <w:t>（三）国有资产占用情况说明</w:t>
      </w:r>
    </w:p>
    <w:p w14:paraId="1ACB004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FA71856">
      <w:pPr>
        <w:spacing w:line="640" w:lineRule="exact"/>
        <w:ind w:firstLine="640"/>
        <w:jc w:val="both"/>
        <w:outlineLvl w:val="2"/>
      </w:pPr>
      <w:r>
        <w:rPr>
          <w:rFonts w:ascii="黑体" w:hAnsi="黑体" w:eastAsia="黑体"/>
          <w:sz w:val="32"/>
        </w:rPr>
        <w:t>十一、预算绩效的情况说明</w:t>
      </w:r>
    </w:p>
    <w:p w14:paraId="7DCD73C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228.48万元，实际执行总额228.48万元；预算绩效评价项目1个，全年预算数31.00万元，全年执行数31.00万元。预算绩效管理取得的成效：本单位预算绩效项目SM不予公开。发现的问题及原因：本单位预算绩效项目SM不予公开。下一步改进措施：本单位预算绩效项目SM不予公开。具体附整体支出绩效自评表。</w:t>
      </w:r>
    </w:p>
    <w:p w14:paraId="6804019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80A558">
        <w:tblPrEx>
          <w:tblCellMar>
            <w:top w:w="0" w:type="dxa"/>
            <w:left w:w="108" w:type="dxa"/>
            <w:bottom w:w="0" w:type="dxa"/>
            <w:right w:w="108" w:type="dxa"/>
          </w:tblCellMar>
        </w:tblPrEx>
        <w:tc>
          <w:tcPr>
            <w:tcW w:w="8847" w:type="dxa"/>
            <w:gridSpan w:val="9"/>
            <w:vAlign w:val="center"/>
          </w:tcPr>
          <w:p w14:paraId="7022E6D7">
            <w:pPr>
              <w:jc w:val="center"/>
            </w:pPr>
            <w:r>
              <w:rPr>
                <w:rFonts w:ascii="宋体" w:hAnsi="宋体" w:eastAsia="宋体"/>
                <w:sz w:val="24"/>
              </w:rPr>
              <w:t>单位整体支出绩效自评表</w:t>
            </w:r>
          </w:p>
        </w:tc>
      </w:tr>
      <w:tr w14:paraId="5A8700AB">
        <w:tblPrEx>
          <w:tblCellMar>
            <w:top w:w="0" w:type="dxa"/>
            <w:left w:w="108" w:type="dxa"/>
            <w:bottom w:w="0" w:type="dxa"/>
            <w:right w:w="108" w:type="dxa"/>
          </w:tblCellMar>
        </w:tblPrEx>
        <w:tc>
          <w:tcPr>
            <w:tcW w:w="8847" w:type="dxa"/>
            <w:gridSpan w:val="9"/>
            <w:vAlign w:val="center"/>
          </w:tcPr>
          <w:p w14:paraId="1D338952">
            <w:pPr>
              <w:jc w:val="center"/>
            </w:pPr>
            <w:r>
              <w:rPr>
                <w:rFonts w:ascii="宋体" w:hAnsi="宋体" w:eastAsia="宋体"/>
                <w:sz w:val="24"/>
              </w:rPr>
              <w:t>（2024年度）</w:t>
            </w:r>
          </w:p>
        </w:tc>
      </w:tr>
      <w:tr w14:paraId="625202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3704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6DF858">
            <w:pPr>
              <w:jc w:val="center"/>
            </w:pPr>
            <w:r>
              <w:rPr>
                <w:rFonts w:ascii="宋体" w:hAnsi="宋体" w:eastAsia="宋体"/>
                <w:sz w:val="16"/>
              </w:rPr>
              <w:t>中国人民解放军新疆维吾尔自治区疏附县人民武装部</w:t>
            </w:r>
          </w:p>
        </w:tc>
      </w:tr>
      <w:tr w14:paraId="6EA138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C8B2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8C8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E2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FE4D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F571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BF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0E9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42CA">
            <w:pPr>
              <w:jc w:val="center"/>
            </w:pPr>
            <w:r>
              <w:rPr>
                <w:rFonts w:ascii="宋体" w:hAnsi="宋体" w:eastAsia="宋体"/>
                <w:sz w:val="16"/>
              </w:rPr>
              <w:t>得分</w:t>
            </w:r>
          </w:p>
        </w:tc>
      </w:tr>
      <w:tr w14:paraId="377802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E5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1CA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8DA25">
            <w:pPr>
              <w:jc w:val="center"/>
            </w:pPr>
            <w:r>
              <w:rPr>
                <w:rFonts w:ascii="宋体" w:hAnsi="宋体" w:eastAsia="宋体"/>
                <w:sz w:val="16"/>
              </w:rPr>
              <w:t>57.63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C37D2">
            <w:pPr>
              <w:jc w:val="center"/>
            </w:pPr>
            <w:r>
              <w:rPr>
                <w:rFonts w:ascii="宋体" w:hAnsi="宋体" w:eastAsia="宋体"/>
                <w:sz w:val="16"/>
              </w:rPr>
              <w:t>228.48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32A89">
            <w:pPr>
              <w:jc w:val="center"/>
            </w:pPr>
            <w:r>
              <w:rPr>
                <w:rFonts w:ascii="宋体" w:hAnsi="宋体" w:eastAsia="宋体"/>
                <w:sz w:val="16"/>
              </w:rPr>
              <w:t>228.48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CA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13D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A25C">
            <w:pPr>
              <w:jc w:val="center"/>
            </w:pPr>
            <w:r>
              <w:rPr>
                <w:rFonts w:ascii="宋体" w:hAnsi="宋体" w:eastAsia="宋体"/>
                <w:sz w:val="16"/>
              </w:rPr>
              <w:t>10</w:t>
            </w:r>
          </w:p>
        </w:tc>
      </w:tr>
      <w:tr w14:paraId="36143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04B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577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830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FD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BF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74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F6E8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2BE8">
            <w:pPr>
              <w:jc w:val="center"/>
            </w:pPr>
            <w:r>
              <w:rPr>
                <w:rFonts w:ascii="宋体" w:hAnsi="宋体" w:eastAsia="宋体"/>
                <w:sz w:val="16"/>
              </w:rPr>
              <w:t>—</w:t>
            </w:r>
          </w:p>
        </w:tc>
      </w:tr>
      <w:tr w14:paraId="1BAFBB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D18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3299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93B83">
            <w:pPr>
              <w:jc w:val="center"/>
            </w:pPr>
            <w:r>
              <w:rPr>
                <w:rFonts w:ascii="宋体" w:hAnsi="宋体" w:eastAsia="宋体"/>
                <w:sz w:val="16"/>
              </w:rPr>
              <w:t>57.63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52201">
            <w:pPr>
              <w:jc w:val="center"/>
            </w:pPr>
            <w:r>
              <w:rPr>
                <w:rFonts w:ascii="宋体" w:hAnsi="宋体" w:eastAsia="宋体"/>
                <w:sz w:val="16"/>
              </w:rPr>
              <w:t>71.92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83126">
            <w:pPr>
              <w:jc w:val="center"/>
            </w:pPr>
            <w:r>
              <w:rPr>
                <w:rFonts w:ascii="宋体" w:hAnsi="宋体" w:eastAsia="宋体"/>
                <w:sz w:val="16"/>
              </w:rPr>
              <w:t>71.92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0DC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CF6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2B65">
            <w:pPr>
              <w:jc w:val="center"/>
            </w:pPr>
            <w:r>
              <w:rPr>
                <w:rFonts w:ascii="宋体" w:hAnsi="宋体" w:eastAsia="宋体"/>
                <w:sz w:val="16"/>
              </w:rPr>
              <w:t>—</w:t>
            </w:r>
          </w:p>
        </w:tc>
      </w:tr>
      <w:tr w14:paraId="64E1B9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F64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607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B5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D6C29">
            <w:pPr>
              <w:jc w:val="center"/>
            </w:pPr>
            <w:r>
              <w:rPr>
                <w:rFonts w:ascii="宋体" w:hAnsi="宋体" w:eastAsia="宋体"/>
                <w:sz w:val="16"/>
              </w:rPr>
              <w:t>156.56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B26CA">
            <w:pPr>
              <w:jc w:val="center"/>
            </w:pPr>
            <w:r>
              <w:rPr>
                <w:rFonts w:ascii="宋体" w:hAnsi="宋体" w:eastAsia="宋体"/>
                <w:sz w:val="16"/>
              </w:rPr>
              <w:t>156.56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5C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20F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2C5D0">
            <w:pPr>
              <w:jc w:val="center"/>
            </w:pPr>
            <w:r>
              <w:rPr>
                <w:rFonts w:ascii="宋体" w:hAnsi="宋体" w:eastAsia="宋体"/>
                <w:sz w:val="16"/>
              </w:rPr>
              <w:t>—</w:t>
            </w:r>
          </w:p>
        </w:tc>
      </w:tr>
      <w:tr w14:paraId="1EC5F0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3EB7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E6EA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5EA39">
            <w:pPr>
              <w:jc w:val="center"/>
            </w:pPr>
            <w:r>
              <w:rPr>
                <w:rFonts w:ascii="宋体" w:hAnsi="宋体" w:eastAsia="宋体"/>
                <w:sz w:val="16"/>
              </w:rPr>
              <w:t>实际完成情况</w:t>
            </w:r>
          </w:p>
        </w:tc>
      </w:tr>
      <w:tr w14:paraId="243AA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018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21F080">
            <w:pPr>
              <w:jc w:val="both"/>
            </w:pPr>
            <w:r>
              <w:rPr>
                <w:rFonts w:hint="eastAsia" w:ascii="宋体" w:hAnsi="宋体"/>
                <w:sz w:val="16"/>
                <w:lang w:eastAsia="zh-CN"/>
              </w:rPr>
              <w:t>本单位</w:t>
            </w:r>
            <w:r>
              <w:rPr>
                <w:rFonts w:ascii="宋体" w:hAnsi="宋体" w:eastAsia="宋体"/>
                <w:sz w:val="16"/>
              </w:rPr>
              <w:t>主要计划加强人武部正规化建设，进一步改造营房基础设施，营造正规有序、和谐美丽的训练、教育、生活环境，为年度征兵工作、民兵预备役力量建设等重点工作完成提供有效支撑。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E6C98">
            <w:pPr>
              <w:jc w:val="both"/>
            </w:pPr>
            <w:r>
              <w:rPr>
                <w:rFonts w:hint="eastAsia" w:ascii="宋体" w:hAnsi="宋体"/>
                <w:sz w:val="16"/>
                <w:lang w:eastAsia="zh-CN"/>
              </w:rPr>
              <w:t>本单位</w:t>
            </w:r>
            <w:r>
              <w:rPr>
                <w:rFonts w:ascii="宋体" w:hAnsi="宋体" w:eastAsia="宋体"/>
                <w:sz w:val="16"/>
              </w:rPr>
              <w:t>加强人武部正规化建设，完成征兵次数2次，征兵人员体检合格率5%，优秀专业人员评比活动12次，训练达标率95%，进一步改造营房基础设施，营造正规有序、和谐美丽的训练、教育、生活环境，为年度征兵工作、民兵预备役力量建设等重点工作完成提供有效支撑。</w:t>
            </w:r>
          </w:p>
        </w:tc>
      </w:tr>
      <w:tr w14:paraId="0AEE6C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646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6ED9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E8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619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CF8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F44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0D1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A04F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76F07">
            <w:pPr>
              <w:jc w:val="center"/>
            </w:pPr>
            <w:r>
              <w:rPr>
                <w:rFonts w:ascii="宋体" w:hAnsi="宋体" w:eastAsia="宋体"/>
                <w:sz w:val="16"/>
              </w:rPr>
              <w:t>得分</w:t>
            </w:r>
          </w:p>
        </w:tc>
      </w:tr>
      <w:tr w14:paraId="0C9D3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D766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FE6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924C">
            <w:pPr>
              <w:jc w:val="center"/>
            </w:pPr>
            <w:r>
              <w:rPr>
                <w:rFonts w:ascii="宋体" w:hAnsi="宋体" w:eastAsia="宋体"/>
                <w:sz w:val="16"/>
              </w:rPr>
              <w:t>征兵次数（次）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A402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1CF2">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3DC3">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478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314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A771">
            <w:pPr>
              <w:jc w:val="center"/>
            </w:pPr>
            <w:r>
              <w:rPr>
                <w:rFonts w:ascii="宋体" w:hAnsi="宋体" w:eastAsia="宋体"/>
                <w:sz w:val="16"/>
              </w:rPr>
              <w:t>22</w:t>
            </w:r>
          </w:p>
        </w:tc>
      </w:tr>
      <w:tr w14:paraId="7C5A8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20F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CD6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8CCC">
            <w:pPr>
              <w:jc w:val="center"/>
            </w:pPr>
            <w:r>
              <w:rPr>
                <w:rFonts w:ascii="宋体" w:hAnsi="宋体" w:eastAsia="宋体"/>
                <w:sz w:val="16"/>
              </w:rPr>
              <w:t>征兵人员体检合格率（%）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3BEAA">
            <w:pPr>
              <w:jc w:val="center"/>
            </w:pPr>
            <w:r>
              <w:rPr>
                <w:rFonts w:ascii="宋体" w:hAnsi="宋体" w:eastAsia="宋体"/>
                <w:sz w:val="16"/>
              </w:rPr>
              <w:t>&gt;=5%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7FBC">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85A29">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CFB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249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46F5">
            <w:pPr>
              <w:jc w:val="center"/>
            </w:pPr>
            <w:r>
              <w:rPr>
                <w:rFonts w:ascii="宋体" w:hAnsi="宋体" w:eastAsia="宋体"/>
                <w:sz w:val="16"/>
              </w:rPr>
              <w:t>22</w:t>
            </w:r>
          </w:p>
        </w:tc>
      </w:tr>
      <w:tr w14:paraId="09662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ED6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423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A89C0">
            <w:pPr>
              <w:jc w:val="center"/>
            </w:pPr>
            <w:r>
              <w:rPr>
                <w:rFonts w:ascii="宋体" w:hAnsi="宋体" w:eastAsia="宋体"/>
                <w:sz w:val="16"/>
              </w:rPr>
              <w:t>优秀专业人员评比活动（次）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DA175">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A945">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6A50">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48B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32E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F9F92">
            <w:pPr>
              <w:jc w:val="center"/>
            </w:pPr>
            <w:r>
              <w:rPr>
                <w:rFonts w:ascii="宋体" w:hAnsi="宋体" w:eastAsia="宋体"/>
                <w:sz w:val="16"/>
              </w:rPr>
              <w:t>23</w:t>
            </w:r>
          </w:p>
        </w:tc>
      </w:tr>
      <w:tr w14:paraId="1A921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222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945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1471A">
            <w:pPr>
              <w:jc w:val="center"/>
            </w:pPr>
            <w:r>
              <w:rPr>
                <w:rFonts w:ascii="宋体" w:hAnsi="宋体" w:eastAsia="宋体"/>
                <w:sz w:val="16"/>
              </w:rPr>
              <w:t>训练达标率（%）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232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22170">
            <w:pPr>
              <w:jc w:val="center"/>
            </w:pPr>
            <w:r>
              <w:rPr>
                <w:rFonts w:ascii="宋体" w:hAnsi="宋体" w:eastAsia="宋体"/>
                <w:sz w:val="16"/>
              </w:rPr>
              <w:t>武装部2024年度工作计划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4F23">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7A22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80F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8099">
            <w:pPr>
              <w:jc w:val="center"/>
            </w:pPr>
            <w:r>
              <w:rPr>
                <w:rFonts w:ascii="宋体" w:hAnsi="宋体" w:eastAsia="宋体"/>
                <w:sz w:val="16"/>
              </w:rPr>
              <w:t>23</w:t>
            </w:r>
          </w:p>
        </w:tc>
      </w:tr>
    </w:tbl>
    <w:p w14:paraId="4B426733">
      <w:r>
        <w:br w:type="page"/>
      </w:r>
    </w:p>
    <w:p w14:paraId="1961F8DD">
      <w:pPr>
        <w:spacing w:line="640" w:lineRule="exact"/>
        <w:ind w:firstLine="640"/>
        <w:jc w:val="both"/>
        <w:outlineLvl w:val="2"/>
      </w:pPr>
      <w:r>
        <w:rPr>
          <w:rFonts w:ascii="黑体" w:hAnsi="黑体" w:eastAsia="黑体"/>
          <w:sz w:val="32"/>
        </w:rPr>
        <w:t>十二、其他需说明的事项</w:t>
      </w:r>
    </w:p>
    <w:p w14:paraId="4EB5C9B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BED1315">
      <w:pPr>
        <w:spacing w:line="580" w:lineRule="exact"/>
        <w:ind w:firstLine="640"/>
        <w:jc w:val="both"/>
      </w:pPr>
      <w:r>
        <w:rPr>
          <w:rFonts w:ascii="仿宋_GB2312" w:hAnsi="仿宋_GB2312" w:eastAsia="仿宋_GB2312"/>
          <w:b w:val="0"/>
          <w:sz w:val="32"/>
        </w:rPr>
        <w:t>本年本单位SM项目1个，全年预算数31.00万元，全年执行数31.00万元。</w:t>
      </w:r>
    </w:p>
    <w:p w14:paraId="3CA3CAF3">
      <w:r>
        <w:br w:type="page"/>
      </w:r>
    </w:p>
    <w:p w14:paraId="05A025A6">
      <w:pPr>
        <w:spacing w:line="240" w:lineRule="auto"/>
        <w:jc w:val="center"/>
        <w:outlineLvl w:val="1"/>
      </w:pPr>
      <w:r>
        <w:rPr>
          <w:rFonts w:ascii="黑体" w:hAnsi="黑体" w:eastAsia="黑体"/>
          <w:sz w:val="32"/>
        </w:rPr>
        <w:t>第三部分 专业名词解释</w:t>
      </w:r>
    </w:p>
    <w:p w14:paraId="35A8299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EA1E0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73E3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979D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EBFFA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34E639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A6F35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1303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3C1B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8120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D85C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51D37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DEE7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5DDD3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CA4046">
      <w:r>
        <w:br w:type="page"/>
      </w:r>
    </w:p>
    <w:p w14:paraId="1AC70CF6">
      <w:pPr>
        <w:spacing w:line="240" w:lineRule="auto"/>
        <w:jc w:val="center"/>
        <w:outlineLvl w:val="1"/>
      </w:pPr>
      <w:r>
        <w:rPr>
          <w:rFonts w:ascii="黑体" w:hAnsi="黑体" w:eastAsia="黑体"/>
          <w:sz w:val="32"/>
        </w:rPr>
        <w:t>第四部分 部门决算报表（见附表）</w:t>
      </w:r>
    </w:p>
    <w:p w14:paraId="7F581ACF">
      <w:pPr>
        <w:spacing w:line="240" w:lineRule="auto"/>
        <w:ind w:firstLine="640"/>
        <w:jc w:val="both"/>
      </w:pPr>
      <w:r>
        <w:rPr>
          <w:rFonts w:ascii="仿宋_GB2312" w:hAnsi="仿宋_GB2312" w:eastAsia="仿宋_GB2312"/>
          <w:b w:val="0"/>
          <w:sz w:val="32"/>
        </w:rPr>
        <w:t>一、《收入支出决算总表》</w:t>
      </w:r>
    </w:p>
    <w:p w14:paraId="6D7F4483">
      <w:pPr>
        <w:spacing w:line="240" w:lineRule="auto"/>
        <w:ind w:firstLine="640"/>
        <w:jc w:val="both"/>
      </w:pPr>
      <w:r>
        <w:rPr>
          <w:rFonts w:ascii="仿宋_GB2312" w:hAnsi="仿宋_GB2312" w:eastAsia="仿宋_GB2312"/>
          <w:b w:val="0"/>
          <w:sz w:val="32"/>
        </w:rPr>
        <w:t>二、《收入决算表》</w:t>
      </w:r>
    </w:p>
    <w:p w14:paraId="554D30D0">
      <w:pPr>
        <w:spacing w:line="240" w:lineRule="auto"/>
        <w:ind w:firstLine="640"/>
        <w:jc w:val="both"/>
      </w:pPr>
      <w:r>
        <w:rPr>
          <w:rFonts w:ascii="仿宋_GB2312" w:hAnsi="仿宋_GB2312" w:eastAsia="仿宋_GB2312"/>
          <w:b w:val="0"/>
          <w:sz w:val="32"/>
        </w:rPr>
        <w:t>三、《支出决算表》</w:t>
      </w:r>
    </w:p>
    <w:p w14:paraId="6E007467">
      <w:pPr>
        <w:spacing w:line="240" w:lineRule="auto"/>
        <w:ind w:firstLine="640"/>
        <w:jc w:val="both"/>
      </w:pPr>
      <w:r>
        <w:rPr>
          <w:rFonts w:ascii="仿宋_GB2312" w:hAnsi="仿宋_GB2312" w:eastAsia="仿宋_GB2312"/>
          <w:b w:val="0"/>
          <w:sz w:val="32"/>
        </w:rPr>
        <w:t>四、《财政拨款收入支出决算总表》</w:t>
      </w:r>
    </w:p>
    <w:p w14:paraId="2EF1725E">
      <w:pPr>
        <w:spacing w:line="240" w:lineRule="auto"/>
        <w:ind w:firstLine="640"/>
        <w:jc w:val="both"/>
      </w:pPr>
      <w:r>
        <w:rPr>
          <w:rFonts w:ascii="仿宋_GB2312" w:hAnsi="仿宋_GB2312" w:eastAsia="仿宋_GB2312"/>
          <w:b w:val="0"/>
          <w:sz w:val="32"/>
        </w:rPr>
        <w:t>五、《一般公共预算财政拨款支出决算表》</w:t>
      </w:r>
    </w:p>
    <w:p w14:paraId="708F2883">
      <w:pPr>
        <w:spacing w:line="240" w:lineRule="auto"/>
        <w:ind w:firstLine="640"/>
        <w:jc w:val="both"/>
      </w:pPr>
      <w:r>
        <w:rPr>
          <w:rFonts w:ascii="仿宋_GB2312" w:hAnsi="仿宋_GB2312" w:eastAsia="仿宋_GB2312"/>
          <w:b w:val="0"/>
          <w:sz w:val="32"/>
        </w:rPr>
        <w:t>六、《一般公共预算财政拨款基本支出决算表》</w:t>
      </w:r>
    </w:p>
    <w:p w14:paraId="047D1FA2">
      <w:pPr>
        <w:spacing w:line="240" w:lineRule="auto"/>
        <w:ind w:firstLine="640"/>
        <w:jc w:val="both"/>
      </w:pPr>
      <w:r>
        <w:rPr>
          <w:rFonts w:ascii="仿宋_GB2312" w:hAnsi="仿宋_GB2312" w:eastAsia="仿宋_GB2312"/>
          <w:b w:val="0"/>
          <w:sz w:val="32"/>
        </w:rPr>
        <w:t>七、《政府性基金预算财政拨款收入支出决算表》</w:t>
      </w:r>
    </w:p>
    <w:p w14:paraId="17814B58">
      <w:pPr>
        <w:spacing w:line="240" w:lineRule="auto"/>
        <w:ind w:firstLine="640"/>
        <w:jc w:val="both"/>
      </w:pPr>
      <w:r>
        <w:rPr>
          <w:rFonts w:ascii="仿宋_GB2312" w:hAnsi="仿宋_GB2312" w:eastAsia="仿宋_GB2312"/>
          <w:b w:val="0"/>
          <w:sz w:val="32"/>
        </w:rPr>
        <w:t>八、《国有资本经营预算财政拨款收入支出决算表》</w:t>
      </w:r>
    </w:p>
    <w:p w14:paraId="60CD66DF">
      <w:pPr>
        <w:spacing w:line="240" w:lineRule="auto"/>
        <w:ind w:firstLine="640"/>
        <w:jc w:val="both"/>
      </w:pPr>
      <w:r>
        <w:rPr>
          <w:rFonts w:ascii="仿宋_GB2312" w:hAnsi="仿宋_GB2312" w:eastAsia="仿宋_GB2312"/>
          <w:b w:val="0"/>
          <w:sz w:val="32"/>
        </w:rPr>
        <w:t>九、《财政拨款“三公”经费支出决算表》</w:t>
      </w:r>
    </w:p>
    <w:p w14:paraId="138B4DBA">
      <w:pPr>
        <w:spacing w:line="240" w:lineRule="auto"/>
        <w:ind w:firstLine="640"/>
        <w:jc w:val="both"/>
      </w:pPr>
    </w:p>
    <w:p w14:paraId="73EFEDC4">
      <w:pPr>
        <w:spacing w:line="240" w:lineRule="auto"/>
        <w:ind w:firstLine="640"/>
        <w:jc w:val="both"/>
      </w:pPr>
    </w:p>
    <w:p w14:paraId="3EFC9EB1">
      <w:pPr>
        <w:spacing w:line="240" w:lineRule="auto"/>
        <w:ind w:firstLine="640"/>
        <w:jc w:val="both"/>
      </w:pPr>
    </w:p>
    <w:p w14:paraId="58749A18">
      <w:pPr>
        <w:spacing w:line="240" w:lineRule="auto"/>
        <w:ind w:firstLine="640"/>
        <w:jc w:val="both"/>
      </w:pPr>
    </w:p>
    <w:p w14:paraId="4263F77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591009"/>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6027A"/>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5970</Words>
  <Characters>6739</Characters>
  <Lines>0</Lines>
  <Paragraphs>0</Paragraphs>
  <TotalTime>4</TotalTime>
  <ScaleCrop>false</ScaleCrop>
  <LinksUpToDate>false</LinksUpToDate>
  <CharactersWithSpaces>6749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