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中国人民政治协商会议疏附县委员会2024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C31B388">
      <w:r>
        <w:br w:type="page"/>
      </w:r>
    </w:p>
    <w:p w14:paraId="60F2C589">
      <w:pPr>
        <w:spacing w:line="640" w:lineRule="exact"/>
        <w:jc w:val="center"/>
        <w:outlineLvl w:val="1"/>
      </w:pPr>
      <w:r>
        <w:rPr>
          <w:rFonts w:ascii="黑体" w:hAnsi="黑体" w:eastAsia="黑体"/>
          <w:sz w:val="32"/>
        </w:rPr>
        <w:t>第一部分 单位概况</w:t>
      </w:r>
    </w:p>
    <w:p w14:paraId="1C91AA0C">
      <w:pPr>
        <w:spacing w:line="640" w:lineRule="exact"/>
        <w:ind w:firstLine="640"/>
        <w:jc w:val="both"/>
        <w:outlineLvl w:val="2"/>
      </w:pPr>
      <w:r>
        <w:rPr>
          <w:rFonts w:ascii="黑体" w:hAnsi="黑体" w:eastAsia="黑体"/>
          <w:sz w:val="32"/>
        </w:rPr>
        <w:t>一、主要职能</w:t>
      </w:r>
    </w:p>
    <w:p w14:paraId="36C2B65D">
      <w:pPr>
        <w:spacing w:line="580" w:lineRule="exact"/>
        <w:ind w:firstLine="640"/>
        <w:jc w:val="both"/>
      </w:pPr>
      <w:r>
        <w:rPr>
          <w:rFonts w:ascii="仿宋_GB2312" w:hAnsi="仿宋_GB2312" w:eastAsia="仿宋_GB2312"/>
          <w:sz w:val="32"/>
        </w:rPr>
        <w:t>政治协商、民主监督、</w:t>
      </w:r>
      <w:r>
        <w:rPr>
          <w:rFonts w:hint="eastAsia" w:ascii="仿宋_GB2312" w:hAnsi="仿宋_GB2312" w:eastAsia="仿宋_GB2312"/>
          <w:sz w:val="32"/>
          <w:lang w:eastAsia="zh-CN"/>
        </w:rPr>
        <w:t>参政议政</w:t>
      </w:r>
      <w:r>
        <w:rPr>
          <w:rFonts w:ascii="仿宋_GB2312" w:hAnsi="仿宋_GB2312" w:eastAsia="仿宋_GB2312"/>
          <w:sz w:val="32"/>
        </w:rPr>
        <w:t>。这三项职能是</w:t>
      </w:r>
      <w:r>
        <w:rPr>
          <w:rFonts w:hint="eastAsia" w:ascii="仿宋_GB2312" w:hAnsi="仿宋_GB2312" w:eastAsia="仿宋_GB2312"/>
          <w:sz w:val="32"/>
          <w:lang w:eastAsia="zh-CN"/>
        </w:rPr>
        <w:t>各</w:t>
      </w:r>
      <w:r>
        <w:rPr>
          <w:rFonts w:ascii="仿宋_GB2312" w:hAnsi="仿宋_GB2312" w:eastAsia="仿宋_GB2312"/>
          <w:sz w:val="32"/>
        </w:rPr>
        <w:t>党派团体，各族各界人士在中国政治体制中参与国事、发挥作用的重要内容和基本形式，体现了人民政协的性质和特点，是人民政协区别于其他政治组织的重要标志。具体为政治协商和民主监督，组织参加本届委员会的各团体和各界人士参政议政；负责政协的日常工作；负责委员会会议的筹备和会务及其决定事项的落实工作；负责政协会议工作，组织委员视察、培训等工作。</w:t>
      </w:r>
    </w:p>
    <w:p w14:paraId="3F39B65E">
      <w:pPr>
        <w:spacing w:line="640" w:lineRule="exact"/>
        <w:ind w:firstLine="640"/>
        <w:jc w:val="both"/>
        <w:outlineLvl w:val="2"/>
      </w:pPr>
      <w:r>
        <w:rPr>
          <w:rFonts w:ascii="黑体" w:hAnsi="黑体" w:eastAsia="黑体"/>
          <w:sz w:val="32"/>
        </w:rPr>
        <w:t>二、机构设置及人员情况</w:t>
      </w:r>
    </w:p>
    <w:p w14:paraId="02012701">
      <w:pPr>
        <w:spacing w:line="580" w:lineRule="exact"/>
        <w:ind w:firstLine="640"/>
        <w:jc w:val="both"/>
      </w:pPr>
      <w:r>
        <w:rPr>
          <w:rFonts w:ascii="仿宋_GB2312" w:hAnsi="仿宋_GB2312" w:eastAsia="仿宋_GB2312"/>
          <w:sz w:val="32"/>
        </w:rPr>
        <w:t>中国人民政治协商会议疏附县委员会2024年度，实有人数48人，其中：在职人员19人，增加4人；离休人员0人，增加0人；退休人员29人</w:t>
      </w:r>
      <w:r>
        <w:rPr>
          <w:rFonts w:hint="eastAsia" w:ascii="仿宋_GB2312" w:hAnsi="仿宋_GB2312" w:eastAsia="仿宋_GB2312"/>
          <w:sz w:val="32"/>
          <w:lang w:eastAsia="zh-CN"/>
        </w:rPr>
        <w:t>，</w:t>
      </w:r>
      <w:r>
        <w:rPr>
          <w:rFonts w:ascii="仿宋_GB2312" w:hAnsi="仿宋_GB2312" w:eastAsia="仿宋_GB2312"/>
          <w:sz w:val="32"/>
        </w:rPr>
        <w:t>增加4人。</w:t>
      </w:r>
    </w:p>
    <w:p w14:paraId="5FBB99D5">
      <w:pPr>
        <w:spacing w:line="580" w:lineRule="exact"/>
        <w:ind w:firstLine="640"/>
        <w:jc w:val="both"/>
      </w:pPr>
      <w:r>
        <w:rPr>
          <w:rFonts w:ascii="仿宋_GB2312" w:hAnsi="仿宋_GB2312" w:eastAsia="仿宋_GB2312"/>
          <w:sz w:val="32"/>
        </w:rPr>
        <w:t>中国人民政治协商会议疏附县委员会无下属预算单位，下设6个科室，分别是：办公室、委员联络室、提案委员会、科教文卫委员会、宣传学习和文史委员会、民主</w:t>
      </w:r>
      <w:r>
        <w:rPr>
          <w:rFonts w:hint="eastAsia" w:ascii="仿宋_GB2312" w:hAnsi="仿宋_GB2312" w:eastAsia="仿宋_GB2312"/>
          <w:sz w:val="32"/>
          <w:lang w:eastAsia="zh-CN"/>
        </w:rPr>
        <w:t>ZJ</w:t>
      </w:r>
      <w:r>
        <w:rPr>
          <w:rFonts w:ascii="仿宋_GB2312" w:hAnsi="仿宋_GB2312" w:eastAsia="仿宋_GB2312"/>
          <w:sz w:val="32"/>
        </w:rPr>
        <w:t>法制委员会。</w:t>
      </w:r>
    </w:p>
    <w:p w14:paraId="6DA47D98">
      <w:r>
        <w:br w:type="page"/>
      </w:r>
    </w:p>
    <w:p w14:paraId="43C75BD9">
      <w:pPr>
        <w:spacing w:line="240" w:lineRule="auto"/>
        <w:jc w:val="center"/>
        <w:outlineLvl w:val="1"/>
      </w:pPr>
      <w:r>
        <w:rPr>
          <w:rFonts w:ascii="黑体" w:hAnsi="黑体" w:eastAsia="黑体"/>
          <w:sz w:val="32"/>
        </w:rPr>
        <w:t>第二部分 部门决算情况说明</w:t>
      </w:r>
    </w:p>
    <w:p w14:paraId="1AC5B283">
      <w:pPr>
        <w:spacing w:line="640" w:lineRule="exact"/>
        <w:ind w:firstLine="640"/>
        <w:jc w:val="both"/>
        <w:outlineLvl w:val="2"/>
      </w:pPr>
      <w:r>
        <w:rPr>
          <w:rFonts w:ascii="黑体" w:hAnsi="黑体" w:eastAsia="黑体"/>
          <w:sz w:val="32"/>
        </w:rPr>
        <w:t>一、收入支出决算总体情况说明</w:t>
      </w:r>
    </w:p>
    <w:p w14:paraId="58C8267D">
      <w:pPr>
        <w:spacing w:line="580" w:lineRule="exact"/>
        <w:ind w:firstLine="640"/>
        <w:jc w:val="both"/>
      </w:pPr>
      <w:r>
        <w:rPr>
          <w:rFonts w:ascii="仿宋_GB2312" w:hAnsi="仿宋_GB2312" w:eastAsia="仿宋_GB2312"/>
          <w:b/>
          <w:sz w:val="32"/>
        </w:rPr>
        <w:t>2024年度收入总计499.06万元，</w:t>
      </w:r>
      <w:r>
        <w:rPr>
          <w:rFonts w:ascii="仿宋_GB2312" w:hAnsi="仿宋_GB2312" w:eastAsia="仿宋_GB2312"/>
          <w:b w:val="0"/>
          <w:sz w:val="32"/>
        </w:rPr>
        <w:t>其中：本年收入合计497.82万元，使用非财政拨款结余（含专用结余）0.00万元，年初结转和结余1.23万元。</w:t>
      </w:r>
    </w:p>
    <w:p w14:paraId="3E42A785">
      <w:pPr>
        <w:spacing w:line="580" w:lineRule="exact"/>
        <w:ind w:firstLine="640"/>
        <w:jc w:val="both"/>
      </w:pPr>
      <w:r>
        <w:rPr>
          <w:rFonts w:ascii="仿宋_GB2312" w:hAnsi="仿宋_GB2312" w:eastAsia="仿宋_GB2312"/>
          <w:b/>
          <w:sz w:val="32"/>
        </w:rPr>
        <w:t>2024年度支出总计499.06万元，</w:t>
      </w:r>
      <w:r>
        <w:rPr>
          <w:rFonts w:ascii="仿宋_GB2312" w:hAnsi="仿宋_GB2312" w:eastAsia="仿宋_GB2312"/>
          <w:b w:val="0"/>
          <w:sz w:val="32"/>
        </w:rPr>
        <w:t>其中：本年支出合计497.82万元，结余分配0.00万元，年末结转和结余1.23万元。</w:t>
      </w:r>
    </w:p>
    <w:p w14:paraId="2C457585">
      <w:pPr>
        <w:spacing w:line="580" w:lineRule="exact"/>
        <w:ind w:firstLine="640"/>
        <w:jc w:val="both"/>
      </w:pPr>
      <w:r>
        <w:rPr>
          <w:rFonts w:ascii="仿宋_GB2312" w:hAnsi="仿宋_GB2312" w:eastAsia="仿宋_GB2312"/>
          <w:b w:val="0"/>
          <w:sz w:val="32"/>
        </w:rPr>
        <w:t>收入支出总体与上年相比，增加77.75万元，增长18.45%，主要原因是：本年在职人员增加，人员工资调增，社保、公积金基数调增，人员经费增加，本年增加政协会议经费、政协视频会议系统年费项目等项目。</w:t>
      </w:r>
    </w:p>
    <w:p w14:paraId="690FC382">
      <w:pPr>
        <w:spacing w:line="640" w:lineRule="exact"/>
        <w:ind w:firstLine="640"/>
        <w:jc w:val="both"/>
        <w:outlineLvl w:val="2"/>
      </w:pPr>
      <w:r>
        <w:rPr>
          <w:rFonts w:ascii="黑体" w:hAnsi="黑体" w:eastAsia="黑体"/>
          <w:sz w:val="32"/>
        </w:rPr>
        <w:t>二、收入决算情况说明</w:t>
      </w:r>
    </w:p>
    <w:p w14:paraId="01A06EC7">
      <w:pPr>
        <w:spacing w:line="580" w:lineRule="exact"/>
        <w:ind w:firstLine="640"/>
        <w:jc w:val="both"/>
      </w:pPr>
      <w:r>
        <w:rPr>
          <w:rFonts w:ascii="仿宋_GB2312" w:hAnsi="仿宋_GB2312" w:eastAsia="仿宋_GB2312"/>
          <w:b/>
          <w:sz w:val="32"/>
        </w:rPr>
        <w:t>本年收入497.82万元，</w:t>
      </w:r>
      <w:r>
        <w:rPr>
          <w:rFonts w:ascii="仿宋_GB2312" w:hAnsi="仿宋_GB2312" w:eastAsia="仿宋_GB2312"/>
          <w:b w:val="0"/>
          <w:sz w:val="32"/>
        </w:rPr>
        <w:t>其中：财政拨款收入495.44万元，占99.52%；上级补助收入0.00万元，占0.00%；事业收入0.00万元，占0.00%；经营收入0.00万元，占0.00%；附属单位上缴收入0.00万元，占0.00%；其他收入2.38万元，占0.48%。</w:t>
      </w:r>
    </w:p>
    <w:p w14:paraId="06B659F9">
      <w:pPr>
        <w:spacing w:line="640" w:lineRule="exact"/>
        <w:ind w:firstLine="640"/>
        <w:jc w:val="both"/>
        <w:outlineLvl w:val="2"/>
      </w:pPr>
      <w:r>
        <w:rPr>
          <w:rFonts w:ascii="黑体" w:hAnsi="黑体" w:eastAsia="黑体"/>
          <w:sz w:val="32"/>
        </w:rPr>
        <w:t>三、支出决算情况说明</w:t>
      </w:r>
    </w:p>
    <w:p w14:paraId="1E10352A">
      <w:pPr>
        <w:spacing w:line="580" w:lineRule="exact"/>
        <w:ind w:firstLine="640"/>
        <w:jc w:val="both"/>
      </w:pPr>
      <w:r>
        <w:rPr>
          <w:rFonts w:ascii="仿宋_GB2312" w:hAnsi="仿宋_GB2312" w:eastAsia="仿宋_GB2312"/>
          <w:b/>
          <w:sz w:val="32"/>
        </w:rPr>
        <w:t>本年支出497.82万元，</w:t>
      </w:r>
      <w:r>
        <w:rPr>
          <w:rFonts w:ascii="仿宋_GB2312" w:hAnsi="仿宋_GB2312" w:eastAsia="仿宋_GB2312"/>
          <w:b w:val="0"/>
          <w:sz w:val="32"/>
        </w:rPr>
        <w:t>其中：基本支出460.78万元，占92.56%；项目支出37.04万元，占7.44%；上缴上级支出0.00万元，占0.00%；经营支出0.00万元，占0.00%；对附属单位补助支出0.00万元，占0.00%。</w:t>
      </w:r>
    </w:p>
    <w:p w14:paraId="7F0912FC">
      <w:pPr>
        <w:spacing w:line="640" w:lineRule="exact"/>
        <w:ind w:firstLine="640"/>
        <w:jc w:val="both"/>
        <w:outlineLvl w:val="2"/>
      </w:pPr>
      <w:r>
        <w:rPr>
          <w:rFonts w:ascii="黑体" w:hAnsi="黑体" w:eastAsia="黑体"/>
          <w:sz w:val="32"/>
        </w:rPr>
        <w:t>四、财政拨款收入支出决算总体情况说明</w:t>
      </w:r>
    </w:p>
    <w:p w14:paraId="51292A2B">
      <w:pPr>
        <w:spacing w:line="580" w:lineRule="exact"/>
        <w:ind w:firstLine="640"/>
        <w:jc w:val="both"/>
      </w:pPr>
      <w:r>
        <w:rPr>
          <w:rFonts w:ascii="仿宋_GB2312" w:hAnsi="仿宋_GB2312" w:eastAsia="仿宋_GB2312"/>
          <w:b/>
          <w:sz w:val="32"/>
        </w:rPr>
        <w:t>2024年度财政拨款收入总计496.68万元，</w:t>
      </w:r>
      <w:r>
        <w:rPr>
          <w:rFonts w:ascii="仿宋_GB2312" w:hAnsi="仿宋_GB2312" w:eastAsia="仿宋_GB2312"/>
          <w:b w:val="0"/>
          <w:sz w:val="32"/>
        </w:rPr>
        <w:t>其中：年初财政拨款结转和结余1.23万元，本年财政拨款收入495.44万元。</w:t>
      </w:r>
      <w:r>
        <w:rPr>
          <w:rFonts w:ascii="仿宋_GB2312" w:hAnsi="仿宋_GB2312" w:eastAsia="仿宋_GB2312"/>
          <w:b/>
          <w:sz w:val="32"/>
        </w:rPr>
        <w:t>财政拨款支出总计496.68万元，</w:t>
      </w:r>
      <w:r>
        <w:rPr>
          <w:rFonts w:ascii="仿宋_GB2312" w:hAnsi="仿宋_GB2312" w:eastAsia="仿宋_GB2312"/>
          <w:b w:val="0"/>
          <w:sz w:val="32"/>
        </w:rPr>
        <w:t>其中：年末财政拨款结转和结余1.23万元，本年财政拨款支出495.44万元。</w:t>
      </w:r>
    </w:p>
    <w:p w14:paraId="65DD18B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增加75.37万元，增长17.89%，主要原因是：本年在职人员增加，人员工资调增，社保、公积金基数调增，人员经费增加，本年增加政协会议经费、政协视频会议系统年费项目等项目。</w:t>
      </w:r>
      <w:r>
        <w:rPr>
          <w:rFonts w:ascii="仿宋_GB2312" w:hAnsi="仿宋_GB2312" w:eastAsia="仿宋_GB2312"/>
          <w:b/>
          <w:sz w:val="32"/>
        </w:rPr>
        <w:t>与年初预算相比，</w:t>
      </w:r>
      <w:r>
        <w:rPr>
          <w:rFonts w:ascii="仿宋_GB2312" w:hAnsi="仿宋_GB2312" w:eastAsia="仿宋_GB2312"/>
          <w:b w:val="0"/>
          <w:sz w:val="32"/>
        </w:rPr>
        <w:t>年初预算数461.74万元，决算数496.68万元，预决算差异率7.57%，主要原因是：年中追加人员工资、社保、公积金基数调增部分资金，年中追加政协会议经费、政协视频会议系统年费项目等，导致预决算存在差异。</w:t>
      </w:r>
    </w:p>
    <w:p w14:paraId="411BC867">
      <w:pPr>
        <w:spacing w:line="640" w:lineRule="exact"/>
        <w:ind w:firstLine="640"/>
        <w:jc w:val="both"/>
        <w:outlineLvl w:val="2"/>
      </w:pPr>
      <w:r>
        <w:rPr>
          <w:rFonts w:ascii="黑体" w:hAnsi="黑体" w:eastAsia="黑体"/>
          <w:sz w:val="32"/>
        </w:rPr>
        <w:t>五、一般公共预算财政拨款支出决算情况说明</w:t>
      </w:r>
    </w:p>
    <w:p w14:paraId="75F12E7B">
      <w:pPr>
        <w:spacing w:line="640" w:lineRule="exact"/>
        <w:ind w:firstLine="640"/>
        <w:jc w:val="both"/>
        <w:outlineLvl w:val="3"/>
      </w:pPr>
      <w:r>
        <w:rPr>
          <w:rFonts w:ascii="楷体_GB2312" w:hAnsi="楷体_GB2312" w:eastAsia="楷体_GB2312"/>
          <w:b/>
          <w:sz w:val="32"/>
        </w:rPr>
        <w:t>（一）一般公共预算财政拨款支出决算总体情况</w:t>
      </w:r>
    </w:p>
    <w:p w14:paraId="39AFA44F">
      <w:pPr>
        <w:spacing w:line="580" w:lineRule="exact"/>
        <w:ind w:firstLine="640"/>
        <w:jc w:val="both"/>
      </w:pPr>
      <w:r>
        <w:rPr>
          <w:rFonts w:ascii="仿宋_GB2312" w:hAnsi="仿宋_GB2312" w:eastAsia="仿宋_GB2312"/>
          <w:b/>
          <w:sz w:val="32"/>
        </w:rPr>
        <w:t>2024年度一般公共预算财政拨款支出495.44万元，</w:t>
      </w:r>
      <w:r>
        <w:rPr>
          <w:rFonts w:ascii="仿宋_GB2312" w:hAnsi="仿宋_GB2312" w:eastAsia="仿宋_GB2312"/>
          <w:b w:val="0"/>
          <w:sz w:val="32"/>
        </w:rPr>
        <w:t>占本年支出合计的99.52%。</w:t>
      </w:r>
      <w:r>
        <w:rPr>
          <w:rFonts w:ascii="仿宋_GB2312" w:hAnsi="仿宋_GB2312" w:eastAsia="仿宋_GB2312"/>
          <w:b/>
          <w:sz w:val="32"/>
        </w:rPr>
        <w:t>与上年相比，</w:t>
      </w:r>
      <w:r>
        <w:rPr>
          <w:rFonts w:ascii="仿宋_GB2312" w:hAnsi="仿宋_GB2312" w:eastAsia="仿宋_GB2312"/>
          <w:b w:val="0"/>
          <w:sz w:val="32"/>
        </w:rPr>
        <w:t>增加74.13万元，增长17.60%，主要原因是：本年在职人员增加，人员工资调增，社保、公积金基数调增，人员经费增加，本年增加政协会议经费、政协视频会议系统年费项目等项目。</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年初预算数461.74万元，决算数495.44万元，预决算差异率7.30%，主要原因是：年中追加人员工资、社保、公积金基数调增部分资金，年中追加政协会议经费、政协视频会议系统年费项目等，导致预决算存在差异。</w:t>
      </w:r>
    </w:p>
    <w:p w14:paraId="76EEE70F">
      <w:pPr>
        <w:spacing w:line="640" w:lineRule="exact"/>
        <w:ind w:firstLine="640"/>
        <w:jc w:val="both"/>
        <w:outlineLvl w:val="3"/>
      </w:pPr>
      <w:r>
        <w:rPr>
          <w:rFonts w:ascii="楷体_GB2312" w:hAnsi="楷体_GB2312" w:eastAsia="楷体_GB2312"/>
          <w:b/>
          <w:sz w:val="32"/>
        </w:rPr>
        <w:t>（二）一般公共预算财政拨款支出决算结构情况</w:t>
      </w:r>
    </w:p>
    <w:p w14:paraId="0E28BBA4">
      <w:pPr>
        <w:spacing w:line="580" w:lineRule="exact"/>
        <w:ind w:firstLine="640"/>
        <w:jc w:val="both"/>
      </w:pPr>
      <w:r>
        <w:rPr>
          <w:rFonts w:ascii="仿宋_GB2312" w:hAnsi="仿宋_GB2312" w:eastAsia="仿宋_GB2312"/>
          <w:b w:val="0"/>
          <w:sz w:val="32"/>
        </w:rPr>
        <w:t>1.一般公共服务支出(类)337.40万元</w:t>
      </w:r>
      <w:r>
        <w:rPr>
          <w:rFonts w:hint="eastAsia" w:ascii="仿宋_GB2312" w:hAnsi="仿宋_GB2312" w:eastAsia="仿宋_GB2312"/>
          <w:b w:val="0"/>
          <w:sz w:val="32"/>
          <w:lang w:eastAsia="zh-CN"/>
        </w:rPr>
        <w:t>，</w:t>
      </w:r>
      <w:r>
        <w:rPr>
          <w:rFonts w:ascii="仿宋_GB2312" w:hAnsi="仿宋_GB2312" w:eastAsia="仿宋_GB2312"/>
          <w:b w:val="0"/>
          <w:sz w:val="32"/>
        </w:rPr>
        <w:t>占68.10%。</w:t>
      </w:r>
    </w:p>
    <w:p w14:paraId="3ADE91A2">
      <w:pPr>
        <w:spacing w:line="580" w:lineRule="exact"/>
        <w:ind w:firstLine="640"/>
        <w:jc w:val="both"/>
      </w:pPr>
      <w:r>
        <w:rPr>
          <w:rFonts w:ascii="仿宋_GB2312" w:hAnsi="仿宋_GB2312" w:eastAsia="仿宋_GB2312"/>
          <w:b w:val="0"/>
          <w:sz w:val="32"/>
        </w:rPr>
        <w:t>2.社会保障和就业支出(类)111.34万元</w:t>
      </w:r>
      <w:r>
        <w:rPr>
          <w:rFonts w:hint="eastAsia" w:ascii="仿宋_GB2312" w:hAnsi="仿宋_GB2312" w:eastAsia="仿宋_GB2312"/>
          <w:b w:val="0"/>
          <w:sz w:val="32"/>
          <w:lang w:eastAsia="zh-CN"/>
        </w:rPr>
        <w:t>，</w:t>
      </w:r>
      <w:r>
        <w:rPr>
          <w:rFonts w:ascii="仿宋_GB2312" w:hAnsi="仿宋_GB2312" w:eastAsia="仿宋_GB2312"/>
          <w:b w:val="0"/>
          <w:sz w:val="32"/>
        </w:rPr>
        <w:t>占22.47%。</w:t>
      </w:r>
    </w:p>
    <w:p w14:paraId="040D44EF">
      <w:pPr>
        <w:spacing w:line="580" w:lineRule="exact"/>
        <w:ind w:firstLine="640"/>
        <w:jc w:val="both"/>
      </w:pPr>
      <w:r>
        <w:rPr>
          <w:rFonts w:ascii="仿宋_GB2312" w:hAnsi="仿宋_GB2312" w:eastAsia="仿宋_GB2312"/>
          <w:b w:val="0"/>
          <w:sz w:val="32"/>
        </w:rPr>
        <w:t>3.卫生健康支出(类)18.05万元</w:t>
      </w:r>
      <w:r>
        <w:rPr>
          <w:rFonts w:hint="eastAsia" w:ascii="仿宋_GB2312" w:hAnsi="仿宋_GB2312" w:eastAsia="仿宋_GB2312"/>
          <w:b w:val="0"/>
          <w:sz w:val="32"/>
          <w:lang w:eastAsia="zh-CN"/>
        </w:rPr>
        <w:t>，</w:t>
      </w:r>
      <w:r>
        <w:rPr>
          <w:rFonts w:ascii="仿宋_GB2312" w:hAnsi="仿宋_GB2312" w:eastAsia="仿宋_GB2312"/>
          <w:b w:val="0"/>
          <w:sz w:val="32"/>
        </w:rPr>
        <w:t>占3.64%。</w:t>
      </w:r>
    </w:p>
    <w:p w14:paraId="3AE6EE42">
      <w:pPr>
        <w:spacing w:line="580" w:lineRule="exact"/>
        <w:ind w:firstLine="640"/>
        <w:jc w:val="both"/>
      </w:pPr>
      <w:r>
        <w:rPr>
          <w:rFonts w:ascii="仿宋_GB2312" w:hAnsi="仿宋_GB2312" w:eastAsia="仿宋_GB2312"/>
          <w:b w:val="0"/>
          <w:sz w:val="32"/>
        </w:rPr>
        <w:t>4.住房保障支出(类)27.60万元</w:t>
      </w:r>
      <w:r>
        <w:rPr>
          <w:rFonts w:hint="eastAsia" w:ascii="仿宋_GB2312" w:hAnsi="仿宋_GB2312" w:eastAsia="仿宋_GB2312"/>
          <w:b w:val="0"/>
          <w:sz w:val="32"/>
          <w:lang w:eastAsia="zh-CN"/>
        </w:rPr>
        <w:t>，</w:t>
      </w:r>
      <w:r>
        <w:rPr>
          <w:rFonts w:ascii="仿宋_GB2312" w:hAnsi="仿宋_GB2312" w:eastAsia="仿宋_GB2312"/>
          <w:b w:val="0"/>
          <w:sz w:val="32"/>
        </w:rPr>
        <w:t>占5.57%。</w:t>
      </w:r>
    </w:p>
    <w:p w14:paraId="54D69FC8">
      <w:pPr>
        <w:spacing w:line="580" w:lineRule="exact"/>
        <w:ind w:firstLine="640"/>
        <w:jc w:val="both"/>
      </w:pPr>
      <w:r>
        <w:rPr>
          <w:rFonts w:ascii="仿宋_GB2312" w:hAnsi="仿宋_GB2312" w:eastAsia="仿宋_GB2312"/>
          <w:b w:val="0"/>
          <w:sz w:val="32"/>
        </w:rPr>
        <w:t>5.其他支出(类)1.05万元</w:t>
      </w:r>
      <w:r>
        <w:rPr>
          <w:rFonts w:hint="eastAsia" w:ascii="仿宋_GB2312" w:hAnsi="仿宋_GB2312" w:eastAsia="仿宋_GB2312"/>
          <w:b w:val="0"/>
          <w:sz w:val="32"/>
          <w:lang w:eastAsia="zh-CN"/>
        </w:rPr>
        <w:t>，</w:t>
      </w:r>
      <w:r>
        <w:rPr>
          <w:rFonts w:ascii="仿宋_GB2312" w:hAnsi="仿宋_GB2312" w:eastAsia="仿宋_GB2312"/>
          <w:b w:val="0"/>
          <w:sz w:val="32"/>
        </w:rPr>
        <w:t>占0.21%。</w:t>
      </w:r>
    </w:p>
    <w:p w14:paraId="62E9D953">
      <w:pPr>
        <w:spacing w:line="640" w:lineRule="exact"/>
        <w:ind w:firstLine="640"/>
        <w:jc w:val="both"/>
        <w:outlineLvl w:val="3"/>
      </w:pPr>
      <w:r>
        <w:rPr>
          <w:rFonts w:ascii="楷体_GB2312" w:hAnsi="楷体_GB2312" w:eastAsia="楷体_GB2312"/>
          <w:b/>
          <w:sz w:val="32"/>
        </w:rPr>
        <w:t>（三）一般公共预算财政拨款支出决算具体情况</w:t>
      </w:r>
    </w:p>
    <w:p w14:paraId="7A12B499">
      <w:pPr>
        <w:spacing w:line="580" w:lineRule="exact"/>
        <w:ind w:firstLine="640"/>
        <w:jc w:val="both"/>
      </w:pPr>
      <w:r>
        <w:rPr>
          <w:rFonts w:ascii="仿宋_GB2312" w:hAnsi="仿宋_GB2312" w:eastAsia="仿宋_GB2312"/>
          <w:b w:val="0"/>
          <w:sz w:val="32"/>
        </w:rPr>
        <w:t>1.一般公共服务支出(类)政协事务(款)行政运行(项):支出决算数为303.79万元，比上年决算增加4.64万元，增长1.55%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主要原因是：本年新增在职人员，人员经费增加，导致经费较上年有所增加。</w:t>
      </w:r>
    </w:p>
    <w:p w14:paraId="12A38BFE">
      <w:pPr>
        <w:spacing w:line="580" w:lineRule="exact"/>
        <w:ind w:firstLine="640"/>
        <w:jc w:val="both"/>
      </w:pPr>
      <w:r>
        <w:rPr>
          <w:rFonts w:ascii="仿宋_GB2312" w:hAnsi="仿宋_GB2312" w:eastAsia="仿宋_GB2312"/>
          <w:b w:val="0"/>
          <w:sz w:val="32"/>
        </w:rPr>
        <w:t>2.一般公共服务支出(类)政协事务(款)一般行政管理事务(项):支出决算数为17.72万元，比上年决算增加17.21万元，增长3,374.51%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主要原因是：本年增加单位自聘保安2024年岗位补贴及社保部分项目、政协视频会议系统年费项目等项目。</w:t>
      </w:r>
    </w:p>
    <w:p w14:paraId="5364C4F8">
      <w:pPr>
        <w:spacing w:line="580" w:lineRule="exact"/>
        <w:ind w:firstLine="640"/>
        <w:jc w:val="both"/>
      </w:pPr>
      <w:r>
        <w:rPr>
          <w:rFonts w:ascii="仿宋_GB2312" w:hAnsi="仿宋_GB2312" w:eastAsia="仿宋_GB2312"/>
          <w:b w:val="0"/>
          <w:sz w:val="32"/>
        </w:rPr>
        <w:t>3.一般公共服务支出(类)政协事务(款)政协会议(项):支出决算数为10.54万元，比上年决算增加10.54万元，增长100.00%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主要原因是：本年增加政协会议经费。</w:t>
      </w:r>
    </w:p>
    <w:p w14:paraId="65745AB6">
      <w:pPr>
        <w:spacing w:line="580" w:lineRule="exact"/>
        <w:ind w:firstLine="640"/>
        <w:jc w:val="both"/>
      </w:pPr>
      <w:r>
        <w:rPr>
          <w:rFonts w:ascii="仿宋_GB2312" w:hAnsi="仿宋_GB2312" w:eastAsia="仿宋_GB2312"/>
          <w:b w:val="0"/>
          <w:sz w:val="32"/>
        </w:rPr>
        <w:t>4.一般公共服务支出(类)政协事务(款)其他政协事务支出(项):支出决算数为5.36万元，比上年决算增加1.95万元，增长57.18%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主要原因是：本年自治区基层政协补助经费较上年增加。</w:t>
      </w:r>
    </w:p>
    <w:p w14:paraId="37F97561">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5.社会保障和就业支出(类)行政事业单位养老支出(款)行政单位离退休(项):支出决算数为46.03万元，比上年决算增加16.53万元，增长56.03%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主要原因是：本年退休人员增加，退休费支出增加。</w:t>
      </w:r>
    </w:p>
    <w:p w14:paraId="296B0D04">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6.社会保障和就业支出(类)行政事业单位养老支出(款)机关事业单位基本养老保险缴费支出(项):支出决算数为34.33万元，比上年决算减少0.28万元，下降0.81%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主要原因是：本年在职人员调入调出，人员职级不同，缴费基数不同，导致养老保险缴费较上年减少。</w:t>
      </w:r>
    </w:p>
    <w:p w14:paraId="68B97075">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7.社会保障和就业支出(类)行政事业单位养老支出(款)机关事业单位职业年金缴费支出(项):支出决算数为30.98万元，比上年决算增加23.48万元，增长313.07%</w:t>
      </w:r>
      <w:r>
        <w:rPr>
          <w:rFonts w:hint="eastAsia" w:ascii="仿宋_GB2312" w:hAnsi="仿宋_GB2312" w:eastAsia="仿宋_GB2312"/>
          <w:b w:val="0"/>
          <w:sz w:val="32"/>
          <w:lang w:eastAsia="zh-CN"/>
        </w:rPr>
        <w:t>，</w:t>
      </w:r>
      <w:r>
        <w:rPr>
          <w:rFonts w:ascii="仿宋_GB2312" w:hAnsi="仿宋_GB2312" w:eastAsia="仿宋_GB2312"/>
          <w:b w:val="0"/>
          <w:sz w:val="32"/>
        </w:rPr>
        <w:t>主要原因是：本单位新增退休人员</w:t>
      </w:r>
      <w:r>
        <w:rPr>
          <w:rFonts w:hint="eastAsia" w:ascii="仿宋_GB2312" w:hAnsi="仿宋_GB2312" w:eastAsia="仿宋_GB2312"/>
          <w:b w:val="0"/>
          <w:sz w:val="32"/>
          <w:lang w:val="en-US" w:eastAsia="zh-CN"/>
        </w:rPr>
        <w:t>较上年增加</w:t>
      </w:r>
      <w:r>
        <w:rPr>
          <w:rFonts w:ascii="仿宋_GB2312" w:hAnsi="仿宋_GB2312" w:eastAsia="仿宋_GB2312"/>
          <w:b w:val="0"/>
          <w:sz w:val="32"/>
        </w:rPr>
        <w:t>，职业年金缴费支出增加。</w:t>
      </w:r>
    </w:p>
    <w:p w14:paraId="6D4AD705">
      <w:pPr>
        <w:spacing w:line="580" w:lineRule="exact"/>
        <w:ind w:firstLine="640"/>
        <w:jc w:val="both"/>
      </w:pPr>
      <w:r>
        <w:rPr>
          <w:rFonts w:ascii="仿宋_GB2312" w:hAnsi="仿宋_GB2312" w:eastAsia="仿宋_GB2312"/>
          <w:b w:val="0"/>
          <w:sz w:val="32"/>
        </w:rPr>
        <w:t>8.卫生健康支出(类)行政事业单位医疗(款)行政单位医疗(项):支出决算数为14.59万元，比上年决算增加0.64万元，增长4.59%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主要原因是：本年在职人员工资基数调增，医疗缴费基数上涨，相应支出增加。</w:t>
      </w:r>
    </w:p>
    <w:p w14:paraId="2D635857">
      <w:pPr>
        <w:spacing w:line="580" w:lineRule="exact"/>
        <w:ind w:firstLine="640"/>
        <w:jc w:val="both"/>
      </w:pPr>
      <w:r>
        <w:rPr>
          <w:rFonts w:ascii="仿宋_GB2312" w:hAnsi="仿宋_GB2312" w:eastAsia="仿宋_GB2312"/>
          <w:b w:val="0"/>
          <w:sz w:val="32"/>
        </w:rPr>
        <w:t>9.卫生健康支出(类)行政事业单位医疗(款)公务员医疗补助(项):支出决算数为3.46万元，比上年决算减少0.67万元，下降16.22%</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主要原因是：本年在职人员调入调出，人员职级不同，缴费基数不同，导致公务员医疗补助较上年减少。</w:t>
      </w:r>
    </w:p>
    <w:p w14:paraId="36991DC0">
      <w:pPr>
        <w:spacing w:line="580" w:lineRule="exact"/>
        <w:ind w:firstLine="640"/>
        <w:jc w:val="both"/>
      </w:pPr>
      <w:r>
        <w:rPr>
          <w:rFonts w:ascii="仿宋_GB2312" w:hAnsi="仿宋_GB2312" w:eastAsia="仿宋_GB2312"/>
          <w:b w:val="0"/>
          <w:sz w:val="32"/>
        </w:rPr>
        <w:t>10.住房保障支出(类)住房改革支出(款)住房公积金(项):支出决算数为27.60万元，比上年决算增加0.01万元，增长0.04%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主要原因是：本年在职人员增加，住房公积金支出较上年增加。</w:t>
      </w:r>
    </w:p>
    <w:p w14:paraId="30F82224">
      <w:pPr>
        <w:spacing w:line="580" w:lineRule="exact"/>
        <w:ind w:firstLine="640"/>
        <w:jc w:val="both"/>
      </w:pPr>
      <w:r>
        <w:rPr>
          <w:rFonts w:ascii="仿宋_GB2312" w:hAnsi="仿宋_GB2312" w:eastAsia="仿宋_GB2312"/>
          <w:b w:val="0"/>
          <w:sz w:val="32"/>
        </w:rPr>
        <w:t>11.其他支出(类)其他支出(款)其他支出(项):支出决算数为1.05万元，比上年决算增加0.08万元，增长8.25%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主要原因是：本年为民办实事项目经费支出较上年增加。</w:t>
      </w:r>
    </w:p>
    <w:p w14:paraId="24EFC8D9">
      <w:pPr>
        <w:spacing w:line="640" w:lineRule="exact"/>
        <w:ind w:firstLine="640"/>
        <w:jc w:val="both"/>
        <w:outlineLvl w:val="2"/>
      </w:pPr>
      <w:r>
        <w:rPr>
          <w:rFonts w:ascii="黑体" w:hAnsi="黑体" w:eastAsia="黑体"/>
          <w:sz w:val="32"/>
        </w:rPr>
        <w:t>六、一般公共预算财政拨款基本支出决算情况说明</w:t>
      </w:r>
    </w:p>
    <w:p w14:paraId="2A2BB6C6">
      <w:pPr>
        <w:spacing w:line="580" w:lineRule="exact"/>
        <w:ind w:firstLine="640"/>
        <w:jc w:val="both"/>
      </w:pPr>
      <w:r>
        <w:rPr>
          <w:rFonts w:ascii="仿宋_GB2312" w:hAnsi="仿宋_GB2312" w:eastAsia="仿宋_GB2312"/>
          <w:b w:val="0"/>
          <w:sz w:val="32"/>
        </w:rPr>
        <w:t>2024年度一般公共预算财政拨款基本支出460.78万元，其中：</w:t>
      </w:r>
      <w:r>
        <w:rPr>
          <w:rFonts w:ascii="仿宋_GB2312" w:hAnsi="仿宋_GB2312" w:eastAsia="仿宋_GB2312"/>
          <w:b/>
          <w:sz w:val="32"/>
        </w:rPr>
        <w:t>人员经费431.63万元，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包括：基本工资、津贴补贴、奖金、机关事业单位基本养老保险缴费、职业年金缴费、职工基本医疗保险缴费、公务员医疗补助缴费、其他社会保障缴费、住房公积金、其他工资福利支出、退休费、奖励金。</w:t>
      </w:r>
    </w:p>
    <w:p w14:paraId="01AF1938">
      <w:pPr>
        <w:spacing w:line="580" w:lineRule="exact"/>
        <w:ind w:firstLine="640"/>
        <w:jc w:val="both"/>
      </w:pPr>
      <w:r>
        <w:rPr>
          <w:rFonts w:ascii="仿宋_GB2312" w:hAnsi="仿宋_GB2312" w:eastAsia="仿宋_GB2312"/>
          <w:b/>
          <w:sz w:val="32"/>
        </w:rPr>
        <w:t>公用经费29.15万元，</w:t>
      </w:r>
      <w:r>
        <w:rPr>
          <w:rFonts w:ascii="仿宋_GB2312" w:hAnsi="仿宋_GB2312" w:eastAsia="仿宋_GB2312"/>
          <w:b w:val="0"/>
          <w:sz w:val="32"/>
        </w:rPr>
        <w:t>包括：办公费、水费、电费、邮电费、取暖费、差旅费、公务用车运行维护费。</w:t>
      </w:r>
    </w:p>
    <w:p w14:paraId="49FC4C4E">
      <w:pPr>
        <w:spacing w:line="640" w:lineRule="exact"/>
        <w:ind w:firstLine="640"/>
        <w:jc w:val="both"/>
        <w:outlineLvl w:val="2"/>
      </w:pPr>
      <w:r>
        <w:rPr>
          <w:rFonts w:ascii="黑体" w:hAnsi="黑体" w:eastAsia="黑体"/>
          <w:sz w:val="32"/>
        </w:rPr>
        <w:t>七、政府性基金预算财政拨款收入支出决算情况说明</w:t>
      </w:r>
    </w:p>
    <w:p w14:paraId="7BD480B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71157E5">
      <w:pPr>
        <w:spacing w:line="640" w:lineRule="exact"/>
        <w:ind w:firstLine="640"/>
        <w:jc w:val="both"/>
        <w:outlineLvl w:val="2"/>
      </w:pPr>
      <w:r>
        <w:rPr>
          <w:rFonts w:ascii="黑体" w:hAnsi="黑体" w:eastAsia="黑体"/>
          <w:sz w:val="32"/>
        </w:rPr>
        <w:t>八、国有资本经营预算财政拨款收入支出决算情况说明</w:t>
      </w:r>
    </w:p>
    <w:p w14:paraId="563FAE9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B4DF974">
      <w:pPr>
        <w:spacing w:line="640" w:lineRule="exact"/>
        <w:ind w:firstLine="640"/>
        <w:jc w:val="both"/>
        <w:outlineLvl w:val="2"/>
      </w:pPr>
      <w:r>
        <w:rPr>
          <w:rFonts w:ascii="黑体" w:hAnsi="黑体" w:eastAsia="黑体"/>
          <w:sz w:val="32"/>
        </w:rPr>
        <w:t>九、财政拨款“三公”经费支出决算情况说明</w:t>
      </w:r>
    </w:p>
    <w:p w14:paraId="1194CE81">
      <w:pPr>
        <w:spacing w:line="580" w:lineRule="exact"/>
        <w:ind w:firstLine="640"/>
        <w:jc w:val="both"/>
      </w:pPr>
      <w:r>
        <w:rPr>
          <w:rFonts w:ascii="仿宋_GB2312" w:hAnsi="仿宋_GB2312" w:eastAsia="仿宋_GB2312"/>
          <w:b/>
          <w:sz w:val="32"/>
        </w:rPr>
        <w:t>2024年度财政拨款“三公”经费支出13.46万元，</w:t>
      </w:r>
      <w:r>
        <w:rPr>
          <w:rFonts w:ascii="仿宋_GB2312" w:hAnsi="仿宋_GB2312" w:eastAsia="仿宋_GB2312"/>
          <w:b w:val="0"/>
          <w:sz w:val="32"/>
        </w:rPr>
        <w:t>比上年增加3.31万元，增长32.64%，主要原因是：本年支付以前年度车辆维修、保养等费用。其中：因公出国（境）费支出0.00万元，占0.00%，比上年增加0.00万元，增长0.00%，主要原因是：2023年与2024年均未安排因公出国（境）费支出。公务用车购置及运行维护费支出12.22万元，占90.79%，比上年增加3.42万元，增长38.86%，主要原因是：本年支付以前年度车辆维修、保养等费用。公务接待费支出1.23万元，占9.14%，比上年减少0.11万元，下降8.21%，主要原因是：严格落实中央八项规定精神，厉行节约，减少公务接待费。</w:t>
      </w:r>
    </w:p>
    <w:p w14:paraId="0BD3265B">
      <w:pPr>
        <w:spacing w:line="580" w:lineRule="exact"/>
        <w:ind w:firstLine="640"/>
        <w:jc w:val="both"/>
      </w:pPr>
      <w:r>
        <w:rPr>
          <w:rFonts w:ascii="仿宋_GB2312" w:hAnsi="仿宋_GB2312" w:eastAsia="仿宋_GB2312"/>
          <w:b/>
          <w:sz w:val="32"/>
        </w:rPr>
        <w:t>具体情况如下：</w:t>
      </w:r>
    </w:p>
    <w:p w14:paraId="6B8A03E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4B05108">
      <w:pPr>
        <w:spacing w:line="580" w:lineRule="exact"/>
        <w:ind w:firstLine="640"/>
        <w:jc w:val="both"/>
      </w:pPr>
      <w:r>
        <w:rPr>
          <w:rFonts w:ascii="仿宋_GB2312" w:hAnsi="仿宋_GB2312" w:eastAsia="仿宋_GB2312"/>
          <w:b w:val="0"/>
          <w:sz w:val="32"/>
        </w:rPr>
        <w:t>公务用车购置及运行维护费12.22万元，其中：公务用车购置费0.00万元，公务用车运行维护费12.22万元。公务用车运行维护费开支内容包括车辆加油费、维修费、保险费、审车费、过路费等。公务用车购置数0辆，公务用车保有量5辆。国有资产占用情况中固定资产车辆5辆，与公务用车保有量差异原因是：本单位固定资产车辆与公务用车保有量一致无差异。</w:t>
      </w:r>
    </w:p>
    <w:p w14:paraId="33276CBC">
      <w:pPr>
        <w:spacing w:line="580" w:lineRule="exact"/>
        <w:ind w:firstLine="640"/>
        <w:jc w:val="both"/>
      </w:pPr>
      <w:r>
        <w:rPr>
          <w:rFonts w:ascii="仿宋_GB2312" w:hAnsi="仿宋_GB2312" w:eastAsia="仿宋_GB2312"/>
          <w:b w:val="0"/>
          <w:sz w:val="32"/>
        </w:rPr>
        <w:t>公务接待费1.23万元，开支内容包括接待陕西省政协、湖南省政协、湖北省政协等其他全国各地政协来我县学习交流的公务接待费用。单位全年安排的国内公务接待7批次，101人次。</w:t>
      </w:r>
    </w:p>
    <w:p w14:paraId="0EA9D33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13.46万元，决算数13.46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12.22万元，决算数12.22万元，预决算差异率0.00%，主要原因是：严格按照预算执行，预决算无差异。公务接待费全年预算数1.23万元，决算数1.23万元，预决算差异率0.00%，主要原因是：严格按照预算执行，预决算无差异。</w:t>
      </w:r>
    </w:p>
    <w:p w14:paraId="66FFAFBA">
      <w:pPr>
        <w:spacing w:line="640" w:lineRule="exact"/>
        <w:ind w:firstLine="640"/>
        <w:jc w:val="both"/>
        <w:outlineLvl w:val="2"/>
      </w:pPr>
      <w:r>
        <w:rPr>
          <w:rFonts w:ascii="黑体" w:hAnsi="黑体" w:eastAsia="黑体"/>
          <w:sz w:val="32"/>
        </w:rPr>
        <w:t>十、其他重要事项的情况说明</w:t>
      </w:r>
    </w:p>
    <w:p w14:paraId="222C694F">
      <w:pPr>
        <w:spacing w:line="640" w:lineRule="exact"/>
        <w:ind w:firstLine="640"/>
        <w:jc w:val="both"/>
        <w:outlineLvl w:val="3"/>
      </w:pPr>
      <w:r>
        <w:rPr>
          <w:rFonts w:ascii="楷体_GB2312" w:hAnsi="楷体_GB2312" w:eastAsia="楷体_GB2312"/>
          <w:b/>
          <w:sz w:val="32"/>
        </w:rPr>
        <w:t>（一）机关运行经费及公用经费支出情况</w:t>
      </w:r>
    </w:p>
    <w:p w14:paraId="66D2E94D">
      <w:pPr>
        <w:spacing w:line="580" w:lineRule="exact"/>
        <w:ind w:firstLine="640"/>
        <w:jc w:val="both"/>
      </w:pPr>
      <w:r>
        <w:rPr>
          <w:rFonts w:ascii="仿宋_GB2312" w:hAnsi="仿宋_GB2312" w:eastAsia="仿宋_GB2312"/>
          <w:b w:val="0"/>
          <w:sz w:val="32"/>
        </w:rPr>
        <w:t>2024年度中国人民政治协商会议疏附县委员会（行政单位和参照公务员法管理事业单位）机关运行经费支出29.15万元，比上年增加11.35万元，增长63.76%，主要原因是：本年办公费、邮电费、取暖费、差旅费、公务用车运行维护费增加，导致机关运行经费较上年增加。</w:t>
      </w:r>
    </w:p>
    <w:p w14:paraId="5AFA1069">
      <w:pPr>
        <w:spacing w:line="640" w:lineRule="exact"/>
        <w:ind w:firstLine="640"/>
        <w:jc w:val="both"/>
        <w:outlineLvl w:val="3"/>
      </w:pPr>
      <w:r>
        <w:rPr>
          <w:rFonts w:ascii="楷体_GB2312" w:hAnsi="楷体_GB2312" w:eastAsia="楷体_GB2312"/>
          <w:b/>
          <w:sz w:val="32"/>
        </w:rPr>
        <w:t>（二）政府采购情况</w:t>
      </w:r>
    </w:p>
    <w:p w14:paraId="2DFF35A7">
      <w:pPr>
        <w:spacing w:line="580" w:lineRule="exact"/>
        <w:ind w:firstLine="640"/>
        <w:jc w:val="both"/>
      </w:pPr>
      <w:r>
        <w:rPr>
          <w:rFonts w:ascii="仿宋_GB2312" w:hAnsi="仿宋_GB2312" w:eastAsia="仿宋_GB2312"/>
          <w:b w:val="0"/>
          <w:sz w:val="32"/>
        </w:rPr>
        <w:t>2024年度政府采购支出总额0.66万元，其中：政府采购货物支出0.66万元、政府采购工程支出0.00万元、政府采购服务支出0.00万元。</w:t>
      </w:r>
    </w:p>
    <w:p w14:paraId="6F66FCA9">
      <w:pPr>
        <w:spacing w:line="580" w:lineRule="exact"/>
        <w:ind w:firstLine="640"/>
        <w:jc w:val="both"/>
      </w:pPr>
      <w:r>
        <w:rPr>
          <w:rFonts w:ascii="仿宋_GB2312" w:hAnsi="仿宋_GB2312" w:eastAsia="仿宋_GB2312"/>
          <w:b w:val="0"/>
          <w:sz w:val="32"/>
        </w:rPr>
        <w:t>授予中小企业合同金额0.66万元，占政府采购支出总额的100.00%，其中：授予小微企业合同金额0.66万元，占政府采购支出总额的100.00%。</w:t>
      </w:r>
    </w:p>
    <w:p w14:paraId="142B6AE7">
      <w:pPr>
        <w:spacing w:line="640" w:lineRule="exact"/>
        <w:ind w:firstLine="640"/>
        <w:jc w:val="both"/>
        <w:outlineLvl w:val="3"/>
      </w:pPr>
      <w:r>
        <w:rPr>
          <w:rFonts w:ascii="楷体_GB2312" w:hAnsi="楷体_GB2312" w:eastAsia="楷体_GB2312"/>
          <w:b/>
          <w:sz w:val="32"/>
        </w:rPr>
        <w:t>（三）国有资产占用情况说明</w:t>
      </w:r>
    </w:p>
    <w:p w14:paraId="1406F7CA">
      <w:pPr>
        <w:spacing w:line="580" w:lineRule="exact"/>
        <w:ind w:firstLine="640"/>
        <w:jc w:val="both"/>
      </w:pPr>
      <w:r>
        <w:rPr>
          <w:rFonts w:ascii="仿宋_GB2312" w:hAnsi="仿宋_GB2312" w:eastAsia="仿宋_GB2312"/>
          <w:b w:val="0"/>
          <w:sz w:val="32"/>
        </w:rPr>
        <w:t>截至2024年12月31日，房屋0.00平方米，价值0.00万元。车辆5辆，价值111.24万元，其中：副部（省）级及以上领导用车0辆、主要负责人用车0辆、机要通信用车0辆、应急保障用车0辆、执法执勤用车0辆、特种专业技术用车0辆、离退休干部服务用车0辆、其他用车5辆，其他用车主要是：一般公务用车。单价100万元（含）以上设备（不含车辆）0台（套）。</w:t>
      </w:r>
    </w:p>
    <w:p w14:paraId="7FDC18BE">
      <w:pPr>
        <w:spacing w:line="640" w:lineRule="exact"/>
        <w:ind w:firstLine="640"/>
        <w:jc w:val="both"/>
        <w:outlineLvl w:val="2"/>
      </w:pPr>
      <w:r>
        <w:rPr>
          <w:rFonts w:ascii="黑体" w:hAnsi="黑体" w:eastAsia="黑体"/>
          <w:sz w:val="32"/>
        </w:rPr>
        <w:t>十一、预算绩效的情况说明</w:t>
      </w:r>
    </w:p>
    <w:p w14:paraId="4AFF680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根据预算绩效管理要求，本单位2024年度预算绩效管理形成整体支出绩效自评表1个，全年预算总额509.97万元，实际执行总额497.82万元；预算绩效评价项目</w:t>
      </w:r>
      <w:r>
        <w:rPr>
          <w:rFonts w:hint="eastAsia" w:ascii="仿宋_GB2312" w:hAnsi="仿宋_GB2312" w:eastAsia="仿宋_GB2312"/>
          <w:b w:val="0"/>
          <w:sz w:val="32"/>
          <w:lang w:val="en-US" w:eastAsia="zh-CN"/>
        </w:rPr>
        <w:t>5</w:t>
      </w:r>
      <w:r>
        <w:rPr>
          <w:rFonts w:ascii="仿宋_GB2312" w:hAnsi="仿宋_GB2312" w:eastAsia="仿宋_GB2312"/>
          <w:b w:val="0"/>
          <w:sz w:val="32"/>
        </w:rPr>
        <w:t>个，全年预算数</w:t>
      </w:r>
      <w:r>
        <w:rPr>
          <w:rFonts w:hint="eastAsia" w:ascii="仿宋_GB2312" w:hAnsi="仿宋_GB2312" w:eastAsia="仿宋_GB2312"/>
          <w:b w:val="0"/>
          <w:sz w:val="32"/>
        </w:rPr>
        <w:t>44.48</w:t>
      </w:r>
      <w:r>
        <w:rPr>
          <w:rFonts w:ascii="仿宋_GB2312" w:hAnsi="仿宋_GB2312" w:eastAsia="仿宋_GB2312"/>
          <w:b w:val="0"/>
          <w:sz w:val="32"/>
        </w:rPr>
        <w:t>万元，全年执行数33.05万元。预算绩效管理取得的成效：一是实现预算绩效管理从被动到主动的转变。单位通过抓实预算绩效管理各环节，有效推动预算单位管理理念向“我要有绩效”转变，积极主动参加绩效培训。二是实现绩效管理手段从线下到线上的转变。信息化系统覆盖预算绩效管理全过程，实现绩效管理智能化。建成事前绩效评估、绩效目标管理、绩效运行监督管理、绩效评价管理、绩效评价结果应用“五位一体”的全流程闭环信息化管理平台。发现的问题及原因：一是绩效目标设定不科学。目标与实际需求脱节，存在“为设目标而设目标”的情况，指标模糊、不可量化（如“提升服务质量”“加强管理水平”等表述缺乏具体标准）。目标与部门职能、战略规划匹配度低，导致预算执行与核心任务偏离。二是绩效评价流于形式。评价指标设计不合理，侧重合规性（如资金是否拨付到位），忽视效果性（如是否解决实际问题）；部分指标过于繁琐，缺乏针对性。评价过程“走过场”，依赖书面材料，实地调研不足，难以反映真实绩效；第三方评价独立性不足，受委托方影响较大。下一步改进措施：一是着力抓组织建制度，强化预算绩效管理实施保障。成立预算绩效管理工作领导小组，明确工作任务和职责分工，为顺利实施预算绩效管理工作提供组织保障，形成“预算决策有评估、预算编制有目标、预算执行有监督、预算完成有评价、评价结果有应用”的预算绩效管理工作体系，实现</w:t>
      </w:r>
      <w:r>
        <w:rPr>
          <w:rFonts w:hint="eastAsia" w:ascii="仿宋_GB2312" w:hAnsi="仿宋_GB2312" w:eastAsia="仿宋_GB2312"/>
          <w:b w:val="0"/>
          <w:sz w:val="32"/>
          <w:lang w:eastAsia="zh-CN"/>
        </w:rPr>
        <w:t>预算绩效管理</w:t>
      </w:r>
      <w:r>
        <w:rPr>
          <w:rFonts w:ascii="仿宋_GB2312" w:hAnsi="仿宋_GB2312" w:eastAsia="仿宋_GB2312"/>
          <w:b w:val="0"/>
          <w:sz w:val="32"/>
        </w:rPr>
        <w:t>一体化。二是着力抓同步重监督，强化绩效预算全程管理。坚持绩效目标与预算编制同步安排，加强绩效管理与预算管理的有机融合，将绩效目标作为项目入库和预算安排的前置条件，实现绩效目标与部门预算同步编制、同步审核。三是着力抓监管提质效，强化绩效管理的约束力。对项目管理情况进行自查评价，并对绩效评价发现的项目资金管理方面存在的问题和不足及时加以整改，不断增强各项资金使用效益。具体附整体支出绩效自评表，项目支出绩效自评表和评价报告。</w:t>
      </w:r>
    </w:p>
    <w:p w14:paraId="3905DFD3">
      <w:r>
        <w:br w:type="page"/>
      </w:r>
    </w:p>
    <w:tbl>
      <w:tblPr>
        <w:tblStyle w:val="9"/>
        <w:tblW w:w="0" w:type="auto"/>
        <w:tblInd w:w="0" w:type="dxa"/>
        <w:tblLayout w:type="fixed"/>
        <w:tblCellMar>
          <w:top w:w="0" w:type="dxa"/>
          <w:left w:w="108" w:type="dxa"/>
          <w:bottom w:w="0" w:type="dxa"/>
          <w:right w:w="108" w:type="dxa"/>
        </w:tblCellMar>
      </w:tblPr>
      <w:tblGrid>
        <w:gridCol w:w="983"/>
        <w:gridCol w:w="768"/>
        <w:gridCol w:w="301"/>
        <w:gridCol w:w="1326"/>
        <w:gridCol w:w="933"/>
        <w:gridCol w:w="1094"/>
        <w:gridCol w:w="613"/>
        <w:gridCol w:w="863"/>
        <w:gridCol w:w="983"/>
        <w:gridCol w:w="983"/>
      </w:tblGrid>
      <w:tr w14:paraId="1348ADDA">
        <w:tblPrEx>
          <w:tblCellMar>
            <w:top w:w="0" w:type="dxa"/>
            <w:left w:w="108" w:type="dxa"/>
            <w:bottom w:w="0" w:type="dxa"/>
            <w:right w:w="108" w:type="dxa"/>
          </w:tblCellMar>
        </w:tblPrEx>
        <w:tc>
          <w:tcPr>
            <w:tcW w:w="8847" w:type="dxa"/>
            <w:gridSpan w:val="10"/>
            <w:vAlign w:val="center"/>
          </w:tcPr>
          <w:p w14:paraId="1FE1BE1D">
            <w:pPr>
              <w:jc w:val="center"/>
            </w:pPr>
            <w:r>
              <w:rPr>
                <w:rFonts w:ascii="宋体" w:hAnsi="宋体" w:eastAsia="宋体"/>
                <w:sz w:val="24"/>
              </w:rPr>
              <w:t>单位整体支出绩效自评表</w:t>
            </w:r>
          </w:p>
        </w:tc>
      </w:tr>
      <w:tr w14:paraId="6208883C">
        <w:tblPrEx>
          <w:tblCellMar>
            <w:top w:w="0" w:type="dxa"/>
            <w:left w:w="108" w:type="dxa"/>
            <w:bottom w:w="0" w:type="dxa"/>
            <w:right w:w="108" w:type="dxa"/>
          </w:tblCellMar>
        </w:tblPrEx>
        <w:tc>
          <w:tcPr>
            <w:tcW w:w="8847" w:type="dxa"/>
            <w:gridSpan w:val="10"/>
            <w:vAlign w:val="center"/>
          </w:tcPr>
          <w:p w14:paraId="00D7CDAE">
            <w:pPr>
              <w:jc w:val="center"/>
            </w:pPr>
            <w:r>
              <w:rPr>
                <w:rFonts w:ascii="宋体" w:hAnsi="宋体" w:eastAsia="宋体"/>
                <w:sz w:val="24"/>
              </w:rPr>
              <w:t>（2024年度）</w:t>
            </w:r>
          </w:p>
        </w:tc>
      </w:tr>
      <w:tr w14:paraId="61FD1E0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2B6FD">
            <w:pPr>
              <w:jc w:val="center"/>
            </w:pPr>
            <w:r>
              <w:rPr>
                <w:rFonts w:ascii="宋体" w:hAnsi="宋体" w:eastAsia="宋体"/>
                <w:sz w:val="16"/>
              </w:rPr>
              <w:t>单位名称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717F34DF">
            <w:pPr>
              <w:jc w:val="center"/>
            </w:pPr>
            <w:r>
              <w:rPr>
                <w:rFonts w:ascii="宋体" w:hAnsi="宋体" w:eastAsia="宋体"/>
                <w:sz w:val="16"/>
              </w:rPr>
              <w:t>中国人民政治协商会议疏附县委员会</w:t>
            </w:r>
          </w:p>
        </w:tc>
      </w:tr>
      <w:tr w14:paraId="34F8FF4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87C77">
            <w:pPr>
              <w:jc w:val="center"/>
            </w:pPr>
            <w:r>
              <w:rPr>
                <w:rFonts w:ascii="宋体" w:hAnsi="宋体" w:eastAsia="宋体"/>
                <w:sz w:val="16"/>
              </w:rPr>
              <w:t>部门资金（万元）</w:t>
            </w:r>
          </w:p>
        </w:tc>
        <w:tc>
          <w:tcPr>
            <w:tcW w:w="10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5231A">
            <w:pPr>
              <w:jc w:val="center"/>
            </w:pPr>
            <w:r>
              <w:rPr>
                <w:rFonts w:ascii="宋体" w:hAnsi="宋体" w:eastAsia="宋体"/>
                <w:sz w:val="16"/>
              </w:rPr>
              <w:t>资金来源</w:t>
            </w:r>
          </w:p>
        </w:tc>
        <w:tc>
          <w:tcPr>
            <w:tcW w:w="1326" w:type="dxa"/>
            <w:tcBorders>
              <w:top w:val="single" w:color="auto" w:sz="10" w:space="0"/>
              <w:left w:val="single" w:color="auto" w:sz="10" w:space="0"/>
              <w:bottom w:val="single" w:color="auto" w:sz="10" w:space="0"/>
              <w:right w:val="single" w:color="auto" w:sz="10" w:space="0"/>
              <w:insideV w:val="single" w:sz="10" w:space="0"/>
            </w:tcBorders>
            <w:vAlign w:val="center"/>
          </w:tcPr>
          <w:p w14:paraId="58A079DD">
            <w:pPr>
              <w:jc w:val="center"/>
            </w:pPr>
            <w:r>
              <w:rPr>
                <w:rFonts w:ascii="宋体" w:hAnsi="宋体" w:eastAsia="宋体"/>
                <w:sz w:val="16"/>
              </w:rPr>
              <w:t>年初预算数</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797497A8">
            <w:pPr>
              <w:jc w:val="center"/>
            </w:pPr>
            <w:r>
              <w:rPr>
                <w:rFonts w:ascii="宋体" w:hAnsi="宋体" w:eastAsia="宋体"/>
                <w:sz w:val="16"/>
              </w:rPr>
              <w:t>预算数（调整后）</w:t>
            </w:r>
          </w:p>
        </w:tc>
        <w:tc>
          <w:tcPr>
            <w:tcW w:w="1094" w:type="dxa"/>
            <w:tcBorders>
              <w:top w:val="single" w:color="auto" w:sz="10" w:space="0"/>
              <w:left w:val="single" w:color="auto" w:sz="10" w:space="0"/>
              <w:bottom w:val="single" w:color="auto" w:sz="10" w:space="0"/>
              <w:right w:val="single" w:color="auto" w:sz="10" w:space="0"/>
              <w:insideV w:val="single" w:sz="10" w:space="0"/>
            </w:tcBorders>
            <w:vAlign w:val="center"/>
          </w:tcPr>
          <w:p w14:paraId="1123631C">
            <w:pPr>
              <w:jc w:val="center"/>
            </w:pPr>
            <w:r>
              <w:rPr>
                <w:rFonts w:ascii="宋体" w:hAnsi="宋体" w:eastAsia="宋体"/>
                <w:sz w:val="16"/>
              </w:rPr>
              <w:t>执行数</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592E6E6">
            <w:pPr>
              <w:jc w:val="center"/>
            </w:pPr>
            <w:r>
              <w:rPr>
                <w:rFonts w:ascii="宋体" w:hAnsi="宋体" w:eastAsia="宋体"/>
                <w:sz w:val="16"/>
              </w:rPr>
              <w:t>分值权重</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26D3AB47">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A195B">
            <w:pPr>
              <w:jc w:val="center"/>
            </w:pPr>
            <w:r>
              <w:rPr>
                <w:rFonts w:ascii="宋体" w:hAnsi="宋体" w:eastAsia="宋体"/>
                <w:sz w:val="16"/>
              </w:rPr>
              <w:t>得分</w:t>
            </w:r>
          </w:p>
        </w:tc>
      </w:tr>
      <w:tr w14:paraId="5E4F9E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CFB3B0"/>
        </w:tc>
        <w:tc>
          <w:tcPr>
            <w:tcW w:w="10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D8769">
            <w:pPr>
              <w:jc w:val="center"/>
            </w:pPr>
            <w:r>
              <w:rPr>
                <w:rFonts w:ascii="宋体" w:hAnsi="宋体" w:eastAsia="宋体"/>
                <w:sz w:val="16"/>
              </w:rPr>
              <w:t>年度总资金：</w:t>
            </w:r>
          </w:p>
        </w:tc>
        <w:tc>
          <w:tcPr>
            <w:tcW w:w="1326" w:type="dxa"/>
            <w:tcBorders>
              <w:top w:val="single" w:color="auto" w:sz="10" w:space="0"/>
              <w:left w:val="single" w:color="auto" w:sz="10" w:space="0"/>
              <w:bottom w:val="single" w:color="auto" w:sz="10" w:space="0"/>
              <w:right w:val="single" w:color="auto" w:sz="10" w:space="0"/>
              <w:insideV w:val="single" w:sz="10" w:space="0"/>
            </w:tcBorders>
            <w:vAlign w:val="center"/>
          </w:tcPr>
          <w:p w14:paraId="4233CB7D">
            <w:pPr>
              <w:jc w:val="center"/>
            </w:pPr>
            <w:r>
              <w:rPr>
                <w:rFonts w:ascii="宋体" w:hAnsi="宋体" w:eastAsia="宋体"/>
                <w:sz w:val="16"/>
              </w:rPr>
              <w:t>461.74</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5B626341">
            <w:pPr>
              <w:jc w:val="center"/>
            </w:pPr>
            <w:r>
              <w:rPr>
                <w:rFonts w:ascii="宋体" w:hAnsi="宋体" w:eastAsia="宋体"/>
                <w:sz w:val="16"/>
              </w:rPr>
              <w:t>509.97</w:t>
            </w:r>
          </w:p>
        </w:tc>
        <w:tc>
          <w:tcPr>
            <w:tcW w:w="1094" w:type="dxa"/>
            <w:tcBorders>
              <w:top w:val="single" w:color="auto" w:sz="10" w:space="0"/>
              <w:left w:val="single" w:color="auto" w:sz="10" w:space="0"/>
              <w:bottom w:val="single" w:color="auto" w:sz="10" w:space="0"/>
              <w:right w:val="single" w:color="auto" w:sz="10" w:space="0"/>
              <w:insideV w:val="single" w:sz="10" w:space="0"/>
            </w:tcBorders>
            <w:vAlign w:val="center"/>
          </w:tcPr>
          <w:p w14:paraId="40DC40AE">
            <w:pPr>
              <w:jc w:val="center"/>
            </w:pPr>
            <w:r>
              <w:rPr>
                <w:rFonts w:ascii="宋体" w:hAnsi="宋体" w:eastAsia="宋体"/>
                <w:sz w:val="16"/>
              </w:rPr>
              <w:t>497.82</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896ACBC">
            <w:pPr>
              <w:jc w:val="center"/>
            </w:pPr>
            <w:r>
              <w:rPr>
                <w:rFonts w:ascii="宋体" w:hAnsi="宋体" w:eastAsia="宋体"/>
                <w:sz w:val="16"/>
              </w:rPr>
              <w:t>10</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5E3CD031">
            <w:pPr>
              <w:jc w:val="center"/>
            </w:pPr>
            <w:r>
              <w:rPr>
                <w:rFonts w:ascii="宋体" w:hAnsi="宋体" w:eastAsia="宋体"/>
                <w:sz w:val="16"/>
              </w:rPr>
              <w:t>97.62%</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100F5">
            <w:pPr>
              <w:jc w:val="center"/>
            </w:pPr>
            <w:r>
              <w:rPr>
                <w:rFonts w:ascii="宋体" w:hAnsi="宋体" w:eastAsia="宋体"/>
                <w:sz w:val="16"/>
              </w:rPr>
              <w:t>9.76</w:t>
            </w:r>
          </w:p>
        </w:tc>
      </w:tr>
      <w:tr w14:paraId="4CB37F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7AD29"/>
        </w:tc>
        <w:tc>
          <w:tcPr>
            <w:tcW w:w="10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B5C6E">
            <w:pPr>
              <w:jc w:val="center"/>
            </w:pPr>
            <w:r>
              <w:rPr>
                <w:rFonts w:ascii="宋体" w:hAnsi="宋体" w:eastAsia="宋体"/>
                <w:sz w:val="16"/>
              </w:rPr>
              <w:t>上级资金：</w:t>
            </w:r>
          </w:p>
        </w:tc>
        <w:tc>
          <w:tcPr>
            <w:tcW w:w="1326" w:type="dxa"/>
            <w:tcBorders>
              <w:top w:val="single" w:color="auto" w:sz="10" w:space="0"/>
              <w:left w:val="single" w:color="auto" w:sz="10" w:space="0"/>
              <w:bottom w:val="single" w:color="auto" w:sz="10" w:space="0"/>
              <w:right w:val="single" w:color="auto" w:sz="10" w:space="0"/>
              <w:insideV w:val="single" w:sz="10" w:space="0"/>
            </w:tcBorders>
            <w:vAlign w:val="center"/>
          </w:tcPr>
          <w:p w14:paraId="11CE35A2">
            <w:pPr>
              <w:jc w:val="center"/>
            </w:pPr>
            <w:r>
              <w:rPr>
                <w:rFonts w:ascii="宋体" w:hAnsi="宋体" w:eastAsia="宋体"/>
                <w:sz w:val="16"/>
              </w:rPr>
              <w:t>6.59</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7C91CF12">
            <w:pPr>
              <w:jc w:val="center"/>
            </w:pPr>
            <w:r>
              <w:rPr>
                <w:rFonts w:ascii="宋体" w:hAnsi="宋体" w:eastAsia="宋体"/>
                <w:sz w:val="16"/>
              </w:rPr>
              <w:t>6.59</w:t>
            </w:r>
          </w:p>
        </w:tc>
        <w:tc>
          <w:tcPr>
            <w:tcW w:w="1094" w:type="dxa"/>
            <w:tcBorders>
              <w:top w:val="single" w:color="auto" w:sz="10" w:space="0"/>
              <w:left w:val="single" w:color="auto" w:sz="10" w:space="0"/>
              <w:bottom w:val="single" w:color="auto" w:sz="10" w:space="0"/>
              <w:right w:val="single" w:color="auto" w:sz="10" w:space="0"/>
              <w:insideV w:val="single" w:sz="10" w:space="0"/>
            </w:tcBorders>
            <w:vAlign w:val="center"/>
          </w:tcPr>
          <w:p w14:paraId="4F21F0FE">
            <w:pPr>
              <w:jc w:val="center"/>
            </w:pPr>
            <w:r>
              <w:rPr>
                <w:rFonts w:ascii="宋体" w:hAnsi="宋体" w:eastAsia="宋体"/>
                <w:sz w:val="16"/>
              </w:rPr>
              <w:t>5.36</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BE7B313">
            <w:pPr>
              <w:jc w:val="center"/>
            </w:pPr>
            <w:r>
              <w:rPr>
                <w:rFonts w:ascii="宋体" w:hAnsi="宋体" w:eastAsia="宋体"/>
                <w:sz w:val="16"/>
              </w:rPr>
              <w:t>—</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537AE91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9B33F">
            <w:pPr>
              <w:jc w:val="center"/>
            </w:pPr>
            <w:r>
              <w:rPr>
                <w:rFonts w:ascii="宋体" w:hAnsi="宋体" w:eastAsia="宋体"/>
                <w:sz w:val="16"/>
              </w:rPr>
              <w:t>—</w:t>
            </w:r>
          </w:p>
        </w:tc>
      </w:tr>
      <w:tr w14:paraId="13D529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3C2266"/>
        </w:tc>
        <w:tc>
          <w:tcPr>
            <w:tcW w:w="10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D1D92">
            <w:pPr>
              <w:jc w:val="center"/>
            </w:pPr>
            <w:r>
              <w:rPr>
                <w:rFonts w:ascii="宋体" w:hAnsi="宋体" w:eastAsia="宋体"/>
                <w:sz w:val="16"/>
              </w:rPr>
              <w:t>本级资金：</w:t>
            </w:r>
          </w:p>
        </w:tc>
        <w:tc>
          <w:tcPr>
            <w:tcW w:w="1326" w:type="dxa"/>
            <w:tcBorders>
              <w:top w:val="single" w:color="auto" w:sz="10" w:space="0"/>
              <w:left w:val="single" w:color="auto" w:sz="10" w:space="0"/>
              <w:bottom w:val="single" w:color="auto" w:sz="10" w:space="0"/>
              <w:right w:val="single" w:color="auto" w:sz="10" w:space="0"/>
              <w:insideV w:val="single" w:sz="10" w:space="0"/>
            </w:tcBorders>
            <w:vAlign w:val="center"/>
          </w:tcPr>
          <w:p w14:paraId="683D57C9">
            <w:pPr>
              <w:jc w:val="center"/>
            </w:pPr>
            <w:r>
              <w:rPr>
                <w:rFonts w:ascii="宋体" w:hAnsi="宋体" w:eastAsia="宋体"/>
                <w:sz w:val="16"/>
              </w:rPr>
              <w:t>455.15</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53A4A1A4">
            <w:pPr>
              <w:jc w:val="center"/>
            </w:pPr>
            <w:r>
              <w:rPr>
                <w:rFonts w:ascii="宋体" w:hAnsi="宋体" w:eastAsia="宋体"/>
                <w:sz w:val="16"/>
              </w:rPr>
              <w:t>503.38</w:t>
            </w:r>
          </w:p>
        </w:tc>
        <w:tc>
          <w:tcPr>
            <w:tcW w:w="1094" w:type="dxa"/>
            <w:tcBorders>
              <w:top w:val="single" w:color="auto" w:sz="10" w:space="0"/>
              <w:left w:val="single" w:color="auto" w:sz="10" w:space="0"/>
              <w:bottom w:val="single" w:color="auto" w:sz="10" w:space="0"/>
              <w:right w:val="single" w:color="auto" w:sz="10" w:space="0"/>
              <w:insideV w:val="single" w:sz="10" w:space="0"/>
            </w:tcBorders>
            <w:vAlign w:val="center"/>
          </w:tcPr>
          <w:p w14:paraId="479BF7DD">
            <w:pPr>
              <w:jc w:val="center"/>
            </w:pPr>
            <w:r>
              <w:rPr>
                <w:rFonts w:ascii="宋体" w:hAnsi="宋体" w:eastAsia="宋体"/>
                <w:sz w:val="16"/>
              </w:rPr>
              <w:t>492.46</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7ED02AF">
            <w:pPr>
              <w:jc w:val="center"/>
            </w:pPr>
            <w:r>
              <w:rPr>
                <w:rFonts w:ascii="宋体" w:hAnsi="宋体" w:eastAsia="宋体"/>
                <w:sz w:val="16"/>
              </w:rPr>
              <w:t>—</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35393AD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351B7">
            <w:pPr>
              <w:jc w:val="center"/>
            </w:pPr>
            <w:r>
              <w:rPr>
                <w:rFonts w:ascii="宋体" w:hAnsi="宋体" w:eastAsia="宋体"/>
                <w:sz w:val="16"/>
              </w:rPr>
              <w:t>—</w:t>
            </w:r>
          </w:p>
        </w:tc>
      </w:tr>
      <w:tr w14:paraId="5B2F72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D71558"/>
        </w:tc>
        <w:tc>
          <w:tcPr>
            <w:tcW w:w="10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6E511">
            <w:pPr>
              <w:jc w:val="center"/>
            </w:pPr>
            <w:r>
              <w:rPr>
                <w:rFonts w:ascii="宋体" w:hAnsi="宋体" w:eastAsia="宋体"/>
                <w:sz w:val="16"/>
              </w:rPr>
              <w:t>其他资金：</w:t>
            </w:r>
          </w:p>
        </w:tc>
        <w:tc>
          <w:tcPr>
            <w:tcW w:w="1326" w:type="dxa"/>
            <w:tcBorders>
              <w:top w:val="single" w:color="auto" w:sz="10" w:space="0"/>
              <w:left w:val="single" w:color="auto" w:sz="10" w:space="0"/>
              <w:bottom w:val="single" w:color="auto" w:sz="10" w:space="0"/>
              <w:right w:val="single" w:color="auto" w:sz="10" w:space="0"/>
              <w:insideV w:val="single" w:sz="10" w:space="0"/>
            </w:tcBorders>
            <w:vAlign w:val="center"/>
          </w:tcPr>
          <w:p w14:paraId="03E3603A">
            <w:pPr>
              <w:jc w:val="center"/>
            </w:pPr>
            <w:r>
              <w:rPr>
                <w:rFonts w:ascii="宋体" w:hAnsi="宋体" w:eastAsia="宋体"/>
                <w:sz w:val="16"/>
              </w:rPr>
              <w:t>0.00</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39A66F05">
            <w:pPr>
              <w:jc w:val="center"/>
            </w:pPr>
            <w:r>
              <w:rPr>
                <w:rFonts w:ascii="宋体" w:hAnsi="宋体" w:eastAsia="宋体"/>
                <w:sz w:val="16"/>
              </w:rPr>
              <w:t>0.00</w:t>
            </w:r>
          </w:p>
        </w:tc>
        <w:tc>
          <w:tcPr>
            <w:tcW w:w="1094" w:type="dxa"/>
            <w:tcBorders>
              <w:top w:val="single" w:color="auto" w:sz="10" w:space="0"/>
              <w:left w:val="single" w:color="auto" w:sz="10" w:space="0"/>
              <w:bottom w:val="single" w:color="auto" w:sz="10" w:space="0"/>
              <w:right w:val="single" w:color="auto" w:sz="10" w:space="0"/>
              <w:insideV w:val="single" w:sz="10" w:space="0"/>
            </w:tcBorders>
            <w:vAlign w:val="center"/>
          </w:tcPr>
          <w:p w14:paraId="107EB7AC">
            <w:pPr>
              <w:jc w:val="center"/>
            </w:pPr>
            <w:r>
              <w:rPr>
                <w:rFonts w:ascii="宋体" w:hAnsi="宋体" w:eastAsia="宋体"/>
                <w:sz w:val="16"/>
              </w:rPr>
              <w:t>0.00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7E76B5E">
            <w:pPr>
              <w:jc w:val="center"/>
            </w:pPr>
            <w:r>
              <w:rPr>
                <w:rFonts w:ascii="宋体" w:hAnsi="宋体" w:eastAsia="宋体"/>
                <w:sz w:val="16"/>
              </w:rPr>
              <w:t>—</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4B394E9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285D7">
            <w:pPr>
              <w:jc w:val="center"/>
            </w:pPr>
            <w:r>
              <w:rPr>
                <w:rFonts w:ascii="宋体" w:hAnsi="宋体" w:eastAsia="宋体"/>
                <w:sz w:val="16"/>
              </w:rPr>
              <w:t>—</w:t>
            </w:r>
          </w:p>
        </w:tc>
      </w:tr>
      <w:tr w14:paraId="7B4160F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429A0">
            <w:pPr>
              <w:jc w:val="center"/>
            </w:pPr>
            <w:r>
              <w:rPr>
                <w:rFonts w:ascii="宋体" w:hAnsi="宋体" w:eastAsia="宋体"/>
                <w:sz w:val="16"/>
              </w:rPr>
              <w:t>年度总体目标</w:t>
            </w:r>
          </w:p>
        </w:tc>
        <w:tc>
          <w:tcPr>
            <w:tcW w:w="33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C6D6E2">
            <w:pPr>
              <w:jc w:val="center"/>
            </w:pPr>
            <w:r>
              <w:rPr>
                <w:rFonts w:ascii="宋体" w:hAnsi="宋体" w:eastAsia="宋体"/>
                <w:sz w:val="16"/>
              </w:rPr>
              <w:t>预期目标</w:t>
            </w:r>
          </w:p>
        </w:tc>
        <w:tc>
          <w:tcPr>
            <w:tcW w:w="453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B901F0">
            <w:pPr>
              <w:jc w:val="center"/>
            </w:pPr>
            <w:r>
              <w:rPr>
                <w:rFonts w:ascii="宋体" w:hAnsi="宋体" w:eastAsia="宋体"/>
                <w:sz w:val="16"/>
              </w:rPr>
              <w:t>实际完成情况</w:t>
            </w:r>
          </w:p>
        </w:tc>
      </w:tr>
      <w:tr w14:paraId="435A5B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31EA7B"/>
        </w:tc>
        <w:tc>
          <w:tcPr>
            <w:tcW w:w="33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FB3106">
            <w:pPr>
              <w:jc w:val="both"/>
            </w:pPr>
            <w:r>
              <w:rPr>
                <w:rFonts w:ascii="宋体" w:hAnsi="宋体" w:eastAsia="宋体"/>
                <w:sz w:val="16"/>
              </w:rPr>
              <w:t>把牢履职为民的工作导向，抓住就业、安居、医疗等民生领域的实际问题，召开季度专题协商座谈会，认真倾听疏附县各族各界群众呼声，向疏附县委、人民政府如实反映群众愿望，协助县委、县人民政府办好民生实事和“关键小事”让疏附县各族群众的获得感成色更足，幸福感可持续，安全感更有保障。</w:t>
            </w:r>
          </w:p>
        </w:tc>
        <w:tc>
          <w:tcPr>
            <w:tcW w:w="453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62E78C">
            <w:pPr>
              <w:jc w:val="both"/>
            </w:pPr>
            <w:r>
              <w:rPr>
                <w:rFonts w:ascii="宋体" w:hAnsi="宋体" w:eastAsia="宋体"/>
                <w:sz w:val="16"/>
              </w:rPr>
              <w:t>2024年以来，在县委的坚强领导下，政协疏附县第十五届委员会坚持以习近平新时代中国特色社会主义思想为指导，贯彻落实党的二十大、</w:t>
            </w:r>
            <w:r>
              <w:rPr>
                <w:rFonts w:hint="eastAsia" w:ascii="宋体" w:hAnsi="宋体"/>
                <w:sz w:val="16"/>
                <w:lang w:eastAsia="zh-CN"/>
              </w:rPr>
              <w:t>党的二十届三中全会</w:t>
            </w:r>
            <w:r>
              <w:rPr>
                <w:rFonts w:ascii="宋体" w:hAnsi="宋体" w:eastAsia="宋体"/>
                <w:sz w:val="16"/>
              </w:rPr>
              <w:t>精神，深入贯彻落实习近平总书记关于人民政协工作的重要讲话指示精神，完成年度绩效目标全县政协常委会会议4次，开展“界别座谈会”4次，组织委员进行学习培训考察2次，提案办复率100%，全区各民主党派和各界别人士参政议政提案报告12篇，完整准确全面贯彻新时代党的治疆方略特别是社会稳定和长治久安总目标，紧紧围绕县委重点工作任务，不断完善建言资政和凝聚共识双向发力机制，充分发挥专门协商机构的作用。</w:t>
            </w:r>
          </w:p>
        </w:tc>
      </w:tr>
      <w:tr w14:paraId="2BDABB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907A9">
            <w:pPr>
              <w:jc w:val="center"/>
            </w:pPr>
            <w:r>
              <w:rPr>
                <w:rFonts w:ascii="宋体" w:hAnsi="宋体" w:eastAsia="宋体"/>
                <w:sz w:val="16"/>
              </w:rPr>
              <w:t>一级指标</w:t>
            </w:r>
          </w:p>
        </w:tc>
        <w:tc>
          <w:tcPr>
            <w:tcW w:w="10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F54F2">
            <w:pPr>
              <w:jc w:val="center"/>
            </w:pPr>
            <w:r>
              <w:rPr>
                <w:rFonts w:ascii="宋体" w:hAnsi="宋体" w:eastAsia="宋体"/>
                <w:sz w:val="16"/>
              </w:rPr>
              <w:t>二级指标</w:t>
            </w:r>
          </w:p>
        </w:tc>
        <w:tc>
          <w:tcPr>
            <w:tcW w:w="1326" w:type="dxa"/>
            <w:tcBorders>
              <w:top w:val="single" w:color="auto" w:sz="10" w:space="0"/>
              <w:left w:val="single" w:color="auto" w:sz="10" w:space="0"/>
              <w:bottom w:val="single" w:color="auto" w:sz="10" w:space="0"/>
              <w:right w:val="single" w:color="auto" w:sz="10" w:space="0"/>
              <w:insideV w:val="single" w:sz="10" w:space="0"/>
            </w:tcBorders>
            <w:vAlign w:val="center"/>
          </w:tcPr>
          <w:p w14:paraId="15A33E64">
            <w:pPr>
              <w:jc w:val="center"/>
            </w:pPr>
            <w:r>
              <w:rPr>
                <w:rFonts w:ascii="宋体" w:hAnsi="宋体" w:eastAsia="宋体"/>
                <w:sz w:val="16"/>
              </w:rPr>
              <w:t>三级指标</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3931A892">
            <w:pPr>
              <w:jc w:val="center"/>
            </w:pPr>
            <w:r>
              <w:rPr>
                <w:rFonts w:ascii="宋体" w:hAnsi="宋体" w:eastAsia="宋体"/>
                <w:sz w:val="16"/>
              </w:rPr>
              <w:t>指标值</w:t>
            </w:r>
          </w:p>
        </w:tc>
        <w:tc>
          <w:tcPr>
            <w:tcW w:w="1094" w:type="dxa"/>
            <w:tcBorders>
              <w:top w:val="single" w:color="auto" w:sz="10" w:space="0"/>
              <w:left w:val="single" w:color="auto" w:sz="10" w:space="0"/>
              <w:bottom w:val="single" w:color="auto" w:sz="10" w:space="0"/>
              <w:right w:val="single" w:color="auto" w:sz="10" w:space="0"/>
              <w:insideV w:val="single" w:sz="10" w:space="0"/>
            </w:tcBorders>
            <w:vAlign w:val="center"/>
          </w:tcPr>
          <w:p w14:paraId="09900B27">
            <w:pPr>
              <w:jc w:val="center"/>
            </w:pPr>
            <w:r>
              <w:rPr>
                <w:rFonts w:ascii="宋体" w:hAnsi="宋体" w:eastAsia="宋体"/>
                <w:sz w:val="16"/>
              </w:rPr>
              <w:t>指标值设定依据</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8232B95">
            <w:pPr>
              <w:jc w:val="center"/>
            </w:pPr>
            <w:r>
              <w:rPr>
                <w:rFonts w:ascii="宋体" w:hAnsi="宋体" w:eastAsia="宋体"/>
                <w:sz w:val="16"/>
              </w:rPr>
              <w:t>分值权重</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78779B2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22B9E">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52995">
            <w:pPr>
              <w:jc w:val="center"/>
            </w:pPr>
            <w:r>
              <w:rPr>
                <w:rFonts w:ascii="宋体" w:hAnsi="宋体" w:eastAsia="宋体"/>
                <w:sz w:val="16"/>
              </w:rPr>
              <w:t>得分</w:t>
            </w:r>
          </w:p>
        </w:tc>
      </w:tr>
      <w:tr w14:paraId="702492D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646D4">
            <w:pPr>
              <w:jc w:val="center"/>
            </w:pPr>
            <w:r>
              <w:rPr>
                <w:rFonts w:ascii="宋体" w:hAnsi="宋体" w:eastAsia="宋体"/>
                <w:sz w:val="16"/>
              </w:rPr>
              <w:t>履职效能</w:t>
            </w:r>
          </w:p>
        </w:tc>
        <w:tc>
          <w:tcPr>
            <w:tcW w:w="1069" w:type="dxa"/>
            <w:gridSpan w:val="2"/>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2CB94">
            <w:pPr>
              <w:jc w:val="center"/>
            </w:pPr>
            <w:r>
              <w:rPr>
                <w:rFonts w:ascii="宋体" w:hAnsi="宋体" w:eastAsia="宋体"/>
                <w:sz w:val="16"/>
              </w:rPr>
              <w:t>质量指标</w:t>
            </w:r>
          </w:p>
        </w:tc>
        <w:tc>
          <w:tcPr>
            <w:tcW w:w="1326" w:type="dxa"/>
            <w:tcBorders>
              <w:top w:val="single" w:color="auto" w:sz="10" w:space="0"/>
              <w:left w:val="single" w:color="auto" w:sz="10" w:space="0"/>
              <w:bottom w:val="single" w:color="auto" w:sz="10" w:space="0"/>
              <w:right w:val="single" w:color="auto" w:sz="10" w:space="0"/>
              <w:insideV w:val="single" w:sz="10" w:space="0"/>
            </w:tcBorders>
            <w:vAlign w:val="center"/>
          </w:tcPr>
          <w:p w14:paraId="6F393128">
            <w:pPr>
              <w:jc w:val="center"/>
            </w:pPr>
            <w:r>
              <w:rPr>
                <w:rFonts w:ascii="宋体" w:hAnsi="宋体" w:eastAsia="宋体"/>
                <w:sz w:val="16"/>
              </w:rPr>
              <w:t>提案办复率%</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6DB141E9">
            <w:pPr>
              <w:jc w:val="center"/>
            </w:pPr>
            <w:r>
              <w:rPr>
                <w:rFonts w:ascii="宋体" w:hAnsi="宋体" w:eastAsia="宋体"/>
                <w:sz w:val="16"/>
              </w:rPr>
              <w:t>=100%</w:t>
            </w:r>
          </w:p>
        </w:tc>
        <w:tc>
          <w:tcPr>
            <w:tcW w:w="1094" w:type="dxa"/>
            <w:tcBorders>
              <w:top w:val="single" w:color="auto" w:sz="10" w:space="0"/>
              <w:left w:val="single" w:color="auto" w:sz="10" w:space="0"/>
              <w:bottom w:val="single" w:color="auto" w:sz="10" w:space="0"/>
              <w:right w:val="single" w:color="auto" w:sz="10" w:space="0"/>
              <w:insideV w:val="single" w:sz="10" w:space="0"/>
            </w:tcBorders>
            <w:vAlign w:val="center"/>
          </w:tcPr>
          <w:p w14:paraId="3E7AF2C1">
            <w:pPr>
              <w:jc w:val="center"/>
            </w:pPr>
            <w:r>
              <w:rPr>
                <w:rFonts w:ascii="宋体" w:hAnsi="宋体" w:eastAsia="宋体"/>
                <w:sz w:val="16"/>
              </w:rPr>
              <w:t>疏附县政协2024年工作计划</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AEC043E">
            <w:pPr>
              <w:jc w:val="center"/>
            </w:pPr>
            <w:r>
              <w:rPr>
                <w:rFonts w:ascii="宋体" w:hAnsi="宋体" w:eastAsia="宋体"/>
                <w:sz w:val="16"/>
              </w:rPr>
              <w:t>20</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6FEB40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AA9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05644">
            <w:pPr>
              <w:jc w:val="center"/>
            </w:pPr>
            <w:r>
              <w:rPr>
                <w:rFonts w:ascii="宋体" w:hAnsi="宋体" w:eastAsia="宋体"/>
                <w:sz w:val="16"/>
              </w:rPr>
              <w:t>20</w:t>
            </w:r>
          </w:p>
        </w:tc>
      </w:tr>
      <w:tr w14:paraId="0A369E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AA6E7F"/>
        </w:tc>
        <w:tc>
          <w:tcPr>
            <w:tcW w:w="1069" w:type="dxa"/>
            <w:gridSpan w:val="2"/>
            <w:vMerge w:val="continue"/>
            <w:tcBorders>
              <w:top w:val="single" w:color="auto" w:sz="10" w:space="0"/>
              <w:left w:val="single" w:color="auto" w:sz="10" w:space="0"/>
              <w:bottom w:val="single" w:color="auto" w:sz="10" w:space="0"/>
              <w:right w:val="single" w:color="auto" w:sz="10" w:space="0"/>
              <w:insideV w:val="single" w:sz="10" w:space="0"/>
            </w:tcBorders>
          </w:tcPr>
          <w:p w14:paraId="263288E0"/>
        </w:tc>
        <w:tc>
          <w:tcPr>
            <w:tcW w:w="1326" w:type="dxa"/>
            <w:tcBorders>
              <w:top w:val="single" w:color="auto" w:sz="10" w:space="0"/>
              <w:left w:val="single" w:color="auto" w:sz="10" w:space="0"/>
              <w:bottom w:val="single" w:color="auto" w:sz="10" w:space="0"/>
              <w:right w:val="single" w:color="auto" w:sz="10" w:space="0"/>
              <w:insideV w:val="single" w:sz="10" w:space="0"/>
            </w:tcBorders>
            <w:vAlign w:val="center"/>
          </w:tcPr>
          <w:p w14:paraId="1BF10A0C">
            <w:pPr>
              <w:jc w:val="center"/>
            </w:pPr>
            <w:r>
              <w:rPr>
                <w:rFonts w:ascii="宋体" w:hAnsi="宋体" w:eastAsia="宋体"/>
                <w:sz w:val="16"/>
              </w:rPr>
              <w:t>全县政协</w:t>
            </w:r>
            <w:r>
              <w:rPr>
                <w:rFonts w:hint="eastAsia" w:ascii="宋体" w:hAnsi="宋体"/>
                <w:sz w:val="16"/>
                <w:lang w:eastAsia="zh-CN"/>
              </w:rPr>
              <w:t>常委会会议</w:t>
            </w:r>
            <w:r>
              <w:rPr>
                <w:rFonts w:ascii="宋体" w:hAnsi="宋体" w:eastAsia="宋体"/>
                <w:sz w:val="16"/>
              </w:rPr>
              <w:t>（次）</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2B6DE888">
            <w:pPr>
              <w:jc w:val="center"/>
            </w:pPr>
            <w:r>
              <w:rPr>
                <w:rFonts w:ascii="宋体" w:hAnsi="宋体" w:eastAsia="宋体"/>
                <w:sz w:val="16"/>
              </w:rPr>
              <w:t>&gt;=4次</w:t>
            </w:r>
          </w:p>
        </w:tc>
        <w:tc>
          <w:tcPr>
            <w:tcW w:w="1094" w:type="dxa"/>
            <w:tcBorders>
              <w:top w:val="single" w:color="auto" w:sz="10" w:space="0"/>
              <w:left w:val="single" w:color="auto" w:sz="10" w:space="0"/>
              <w:bottom w:val="single" w:color="auto" w:sz="10" w:space="0"/>
              <w:right w:val="single" w:color="auto" w:sz="10" w:space="0"/>
              <w:insideV w:val="single" w:sz="10" w:space="0"/>
            </w:tcBorders>
            <w:vAlign w:val="center"/>
          </w:tcPr>
          <w:p w14:paraId="4DF85979">
            <w:pPr>
              <w:jc w:val="center"/>
            </w:pPr>
            <w:r>
              <w:rPr>
                <w:rFonts w:ascii="宋体" w:hAnsi="宋体" w:eastAsia="宋体"/>
                <w:sz w:val="16"/>
              </w:rPr>
              <w:t>疏附县政协2024年工作计划</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7561904">
            <w:pPr>
              <w:jc w:val="center"/>
            </w:pPr>
            <w:r>
              <w:rPr>
                <w:rFonts w:ascii="宋体" w:hAnsi="宋体" w:eastAsia="宋体"/>
                <w:sz w:val="16"/>
              </w:rPr>
              <w:t>15</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4E9204EA">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B11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FBC2D">
            <w:pPr>
              <w:jc w:val="center"/>
            </w:pPr>
            <w:r>
              <w:rPr>
                <w:rFonts w:ascii="宋体" w:hAnsi="宋体" w:eastAsia="宋体"/>
                <w:sz w:val="16"/>
              </w:rPr>
              <w:t>15</w:t>
            </w:r>
          </w:p>
        </w:tc>
      </w:tr>
      <w:tr w14:paraId="4A8921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D8F4F4"/>
        </w:tc>
        <w:tc>
          <w:tcPr>
            <w:tcW w:w="1069" w:type="dxa"/>
            <w:gridSpan w:val="2"/>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7BF40">
            <w:pPr>
              <w:jc w:val="center"/>
            </w:pPr>
            <w:r>
              <w:rPr>
                <w:rFonts w:ascii="宋体" w:hAnsi="宋体" w:eastAsia="宋体"/>
                <w:sz w:val="16"/>
              </w:rPr>
              <w:t>数量指标</w:t>
            </w:r>
          </w:p>
        </w:tc>
        <w:tc>
          <w:tcPr>
            <w:tcW w:w="1326" w:type="dxa"/>
            <w:tcBorders>
              <w:top w:val="single" w:color="auto" w:sz="10" w:space="0"/>
              <w:left w:val="single" w:color="auto" w:sz="10" w:space="0"/>
              <w:bottom w:val="single" w:color="auto" w:sz="10" w:space="0"/>
              <w:right w:val="single" w:color="auto" w:sz="10" w:space="0"/>
              <w:insideV w:val="single" w:sz="10" w:space="0"/>
            </w:tcBorders>
            <w:vAlign w:val="center"/>
          </w:tcPr>
          <w:p w14:paraId="444540C6">
            <w:pPr>
              <w:jc w:val="center"/>
            </w:pPr>
            <w:r>
              <w:rPr>
                <w:rFonts w:ascii="宋体" w:hAnsi="宋体" w:eastAsia="宋体"/>
                <w:sz w:val="16"/>
              </w:rPr>
              <w:t>开展“界别座谈会”（次）</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68285A5D">
            <w:pPr>
              <w:jc w:val="center"/>
            </w:pPr>
            <w:r>
              <w:rPr>
                <w:rFonts w:ascii="宋体" w:hAnsi="宋体" w:eastAsia="宋体"/>
                <w:sz w:val="16"/>
              </w:rPr>
              <w:t>&gt;=4次</w:t>
            </w:r>
          </w:p>
        </w:tc>
        <w:tc>
          <w:tcPr>
            <w:tcW w:w="1094" w:type="dxa"/>
            <w:tcBorders>
              <w:top w:val="single" w:color="auto" w:sz="10" w:space="0"/>
              <w:left w:val="single" w:color="auto" w:sz="10" w:space="0"/>
              <w:bottom w:val="single" w:color="auto" w:sz="10" w:space="0"/>
              <w:right w:val="single" w:color="auto" w:sz="10" w:space="0"/>
              <w:insideV w:val="single" w:sz="10" w:space="0"/>
            </w:tcBorders>
            <w:vAlign w:val="center"/>
          </w:tcPr>
          <w:p w14:paraId="54B11DBC">
            <w:pPr>
              <w:jc w:val="center"/>
            </w:pPr>
            <w:r>
              <w:rPr>
                <w:rFonts w:ascii="宋体" w:hAnsi="宋体" w:eastAsia="宋体"/>
                <w:sz w:val="16"/>
              </w:rPr>
              <w:t>疏附县政协2024年工作计划</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0BE7DAD">
            <w:pPr>
              <w:jc w:val="center"/>
            </w:pPr>
            <w:r>
              <w:rPr>
                <w:rFonts w:ascii="宋体" w:hAnsi="宋体" w:eastAsia="宋体"/>
                <w:sz w:val="16"/>
              </w:rPr>
              <w:t>15</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6AE09F87">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C0B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EED79">
            <w:pPr>
              <w:jc w:val="center"/>
            </w:pPr>
            <w:r>
              <w:rPr>
                <w:rFonts w:ascii="宋体" w:hAnsi="宋体" w:eastAsia="宋体"/>
                <w:sz w:val="16"/>
              </w:rPr>
              <w:t>15</w:t>
            </w:r>
          </w:p>
        </w:tc>
      </w:tr>
      <w:tr w14:paraId="0F0BAC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0D261C"/>
        </w:tc>
        <w:tc>
          <w:tcPr>
            <w:tcW w:w="1069" w:type="dxa"/>
            <w:gridSpan w:val="2"/>
            <w:vMerge w:val="continue"/>
            <w:tcBorders>
              <w:top w:val="single" w:color="auto" w:sz="10" w:space="0"/>
              <w:left w:val="single" w:color="auto" w:sz="10" w:space="0"/>
              <w:bottom w:val="single" w:color="auto" w:sz="10" w:space="0"/>
              <w:right w:val="single" w:color="auto" w:sz="10" w:space="0"/>
              <w:insideV w:val="single" w:sz="10" w:space="0"/>
            </w:tcBorders>
          </w:tcPr>
          <w:p w14:paraId="490A35E0"/>
        </w:tc>
        <w:tc>
          <w:tcPr>
            <w:tcW w:w="1326" w:type="dxa"/>
            <w:tcBorders>
              <w:top w:val="single" w:color="auto" w:sz="10" w:space="0"/>
              <w:left w:val="single" w:color="auto" w:sz="10" w:space="0"/>
              <w:bottom w:val="single" w:color="auto" w:sz="10" w:space="0"/>
              <w:right w:val="single" w:color="auto" w:sz="10" w:space="0"/>
              <w:insideV w:val="single" w:sz="10" w:space="0"/>
            </w:tcBorders>
            <w:vAlign w:val="center"/>
          </w:tcPr>
          <w:p w14:paraId="68DCD4BE">
            <w:pPr>
              <w:jc w:val="center"/>
            </w:pPr>
            <w:r>
              <w:rPr>
                <w:rFonts w:ascii="宋体" w:hAnsi="宋体" w:eastAsia="宋体"/>
                <w:sz w:val="16"/>
              </w:rPr>
              <w:t>组织委员进行学习培训考察（次）</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5B4D8B83">
            <w:pPr>
              <w:jc w:val="center"/>
            </w:pPr>
            <w:r>
              <w:rPr>
                <w:rFonts w:ascii="宋体" w:hAnsi="宋体" w:eastAsia="宋体"/>
                <w:sz w:val="16"/>
              </w:rPr>
              <w:t>&gt;=2次</w:t>
            </w:r>
          </w:p>
        </w:tc>
        <w:tc>
          <w:tcPr>
            <w:tcW w:w="1094" w:type="dxa"/>
            <w:tcBorders>
              <w:top w:val="single" w:color="auto" w:sz="10" w:space="0"/>
              <w:left w:val="single" w:color="auto" w:sz="10" w:space="0"/>
              <w:bottom w:val="single" w:color="auto" w:sz="10" w:space="0"/>
              <w:right w:val="single" w:color="auto" w:sz="10" w:space="0"/>
              <w:insideV w:val="single" w:sz="10" w:space="0"/>
            </w:tcBorders>
            <w:vAlign w:val="center"/>
          </w:tcPr>
          <w:p w14:paraId="6EDDD746">
            <w:pPr>
              <w:jc w:val="center"/>
            </w:pPr>
            <w:r>
              <w:rPr>
                <w:rFonts w:ascii="宋体" w:hAnsi="宋体" w:eastAsia="宋体"/>
                <w:sz w:val="16"/>
              </w:rPr>
              <w:t>疏附县政协2024年工作计划</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C7EB51D">
            <w:pPr>
              <w:jc w:val="center"/>
            </w:pPr>
            <w:r>
              <w:rPr>
                <w:rFonts w:ascii="宋体" w:hAnsi="宋体" w:eastAsia="宋体"/>
                <w:sz w:val="16"/>
              </w:rPr>
              <w:t>20</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641A508E">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0C6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7888D">
            <w:pPr>
              <w:jc w:val="center"/>
            </w:pPr>
            <w:r>
              <w:rPr>
                <w:rFonts w:ascii="宋体" w:hAnsi="宋体" w:eastAsia="宋体"/>
                <w:sz w:val="16"/>
              </w:rPr>
              <w:t>20</w:t>
            </w:r>
          </w:p>
        </w:tc>
      </w:tr>
      <w:tr w14:paraId="0AA96C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329267"/>
        </w:tc>
        <w:tc>
          <w:tcPr>
            <w:tcW w:w="768" w:type="dxa"/>
            <w:tcBorders>
              <w:top w:val="single" w:color="auto" w:sz="10" w:space="0"/>
              <w:left w:val="single" w:color="auto" w:sz="10" w:space="0"/>
              <w:bottom w:val="single" w:color="auto" w:sz="10" w:space="0"/>
              <w:right w:val="single" w:color="auto" w:sz="10" w:space="0"/>
              <w:insideV w:val="single" w:sz="10" w:space="0"/>
            </w:tcBorders>
          </w:tcPr>
          <w:p w14:paraId="1D3B28E0"/>
        </w:tc>
        <w:tc>
          <w:tcPr>
            <w:tcW w:w="16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FD5E1">
            <w:pPr>
              <w:jc w:val="center"/>
            </w:pPr>
            <w:r>
              <w:rPr>
                <w:rFonts w:ascii="宋体" w:hAnsi="宋体" w:eastAsia="宋体"/>
                <w:sz w:val="16"/>
              </w:rPr>
              <w:t>全区各民主党派和各界别人士参政议政提案报告（篇）</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377CFBC2">
            <w:pPr>
              <w:jc w:val="center"/>
            </w:pPr>
            <w:r>
              <w:rPr>
                <w:rFonts w:ascii="宋体" w:hAnsi="宋体" w:eastAsia="宋体"/>
                <w:sz w:val="16"/>
              </w:rPr>
              <w:t>&gt;=12篇</w:t>
            </w:r>
          </w:p>
        </w:tc>
        <w:tc>
          <w:tcPr>
            <w:tcW w:w="1094" w:type="dxa"/>
            <w:tcBorders>
              <w:top w:val="single" w:color="auto" w:sz="10" w:space="0"/>
              <w:left w:val="single" w:color="auto" w:sz="10" w:space="0"/>
              <w:bottom w:val="single" w:color="auto" w:sz="10" w:space="0"/>
              <w:right w:val="single" w:color="auto" w:sz="10" w:space="0"/>
              <w:insideV w:val="single" w:sz="10" w:space="0"/>
            </w:tcBorders>
            <w:vAlign w:val="center"/>
          </w:tcPr>
          <w:p w14:paraId="0A37BAC1">
            <w:pPr>
              <w:jc w:val="center"/>
            </w:pPr>
            <w:r>
              <w:rPr>
                <w:rFonts w:ascii="宋体" w:hAnsi="宋体" w:eastAsia="宋体"/>
                <w:sz w:val="16"/>
              </w:rPr>
              <w:t>疏附县政协2024年工作计划</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9AAD0F9">
            <w:pPr>
              <w:jc w:val="center"/>
            </w:pPr>
            <w:r>
              <w:rPr>
                <w:rFonts w:ascii="宋体" w:hAnsi="宋体" w:eastAsia="宋体"/>
                <w:sz w:val="16"/>
              </w:rPr>
              <w:t>20</w:t>
            </w:r>
          </w:p>
        </w:tc>
        <w:tc>
          <w:tcPr>
            <w:tcW w:w="863" w:type="dxa"/>
            <w:tcBorders>
              <w:top w:val="single" w:color="auto" w:sz="10" w:space="0"/>
              <w:left w:val="single" w:color="auto" w:sz="10" w:space="0"/>
              <w:bottom w:val="single" w:color="auto" w:sz="10" w:space="0"/>
              <w:right w:val="single" w:color="auto" w:sz="10" w:space="0"/>
              <w:insideV w:val="single" w:sz="10" w:space="0"/>
            </w:tcBorders>
            <w:vAlign w:val="center"/>
          </w:tcPr>
          <w:p w14:paraId="6D9C259D">
            <w:pPr>
              <w:jc w:val="center"/>
            </w:pPr>
            <w:r>
              <w:rPr>
                <w:rFonts w:ascii="宋体" w:hAnsi="宋体" w:eastAsia="宋体"/>
                <w:sz w:val="16"/>
              </w:rPr>
              <w:t>12篇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659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76191">
            <w:pPr>
              <w:jc w:val="center"/>
            </w:pPr>
            <w:r>
              <w:rPr>
                <w:rFonts w:ascii="宋体" w:hAnsi="宋体" w:eastAsia="宋体"/>
                <w:sz w:val="16"/>
              </w:rPr>
              <w:t>20</w:t>
            </w:r>
          </w:p>
        </w:tc>
      </w:tr>
    </w:tbl>
    <w:p w14:paraId="5E84A37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BF6F289">
        <w:tblPrEx>
          <w:tblCellMar>
            <w:top w:w="0" w:type="dxa"/>
            <w:left w:w="108" w:type="dxa"/>
            <w:bottom w:w="0" w:type="dxa"/>
            <w:right w:w="108" w:type="dxa"/>
          </w:tblCellMar>
        </w:tblPrEx>
        <w:tc>
          <w:tcPr>
            <w:tcW w:w="8848" w:type="dxa"/>
            <w:gridSpan w:val="14"/>
            <w:vAlign w:val="center"/>
          </w:tcPr>
          <w:p w14:paraId="30E85F98">
            <w:pPr>
              <w:jc w:val="center"/>
            </w:pPr>
            <w:r>
              <w:rPr>
                <w:rFonts w:ascii="宋体" w:hAnsi="宋体" w:eastAsia="宋体"/>
                <w:sz w:val="24"/>
              </w:rPr>
              <w:t>项目支出绩效自评表</w:t>
            </w:r>
          </w:p>
        </w:tc>
      </w:tr>
      <w:tr w14:paraId="4A0B6CE6">
        <w:tblPrEx>
          <w:tblCellMar>
            <w:top w:w="0" w:type="dxa"/>
            <w:left w:w="108" w:type="dxa"/>
            <w:bottom w:w="0" w:type="dxa"/>
            <w:right w:w="108" w:type="dxa"/>
          </w:tblCellMar>
        </w:tblPrEx>
        <w:tc>
          <w:tcPr>
            <w:tcW w:w="8848" w:type="dxa"/>
            <w:gridSpan w:val="14"/>
            <w:vAlign w:val="center"/>
          </w:tcPr>
          <w:p w14:paraId="20E96C61">
            <w:pPr>
              <w:jc w:val="center"/>
            </w:pPr>
            <w:r>
              <w:rPr>
                <w:rFonts w:ascii="宋体" w:hAnsi="宋体" w:eastAsia="宋体"/>
                <w:sz w:val="24"/>
              </w:rPr>
              <w:t>(2024年度)</w:t>
            </w:r>
          </w:p>
        </w:tc>
      </w:tr>
      <w:tr w14:paraId="2251B1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F9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672FFA">
            <w:pPr>
              <w:jc w:val="center"/>
            </w:pPr>
            <w:r>
              <w:rPr>
                <w:rFonts w:ascii="宋体" w:hAnsi="宋体" w:eastAsia="宋体"/>
                <w:sz w:val="16"/>
              </w:rPr>
              <w:t>2024年自治区基层政协补助经费项目</w:t>
            </w:r>
          </w:p>
        </w:tc>
      </w:tr>
      <w:tr w14:paraId="3D525E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69FC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07F488">
            <w:pPr>
              <w:jc w:val="center"/>
            </w:pPr>
            <w:r>
              <w:rPr>
                <w:rFonts w:ascii="宋体" w:hAnsi="宋体" w:eastAsia="宋体"/>
                <w:sz w:val="16"/>
              </w:rPr>
              <w:t>中国人民政治协商会议疏附县委员会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5E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914F47">
            <w:pPr>
              <w:jc w:val="center"/>
            </w:pPr>
            <w:r>
              <w:rPr>
                <w:rFonts w:ascii="宋体" w:hAnsi="宋体" w:eastAsia="宋体"/>
                <w:sz w:val="16"/>
              </w:rPr>
              <w:t>中国人民政治协商会议疏附县委员会</w:t>
            </w:r>
          </w:p>
        </w:tc>
      </w:tr>
      <w:tr w14:paraId="22F28A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D2C5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E486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842D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562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C8A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44BB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D91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4D198">
            <w:pPr>
              <w:jc w:val="center"/>
            </w:pPr>
            <w:r>
              <w:rPr>
                <w:rFonts w:ascii="宋体" w:hAnsi="宋体" w:eastAsia="宋体"/>
                <w:sz w:val="16"/>
              </w:rPr>
              <w:t>得分</w:t>
            </w:r>
          </w:p>
        </w:tc>
      </w:tr>
      <w:tr w14:paraId="3A875D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475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43F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265B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CBDD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3787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834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0D93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655D5">
            <w:pPr>
              <w:jc w:val="center"/>
            </w:pPr>
            <w:r>
              <w:rPr>
                <w:rFonts w:ascii="宋体" w:hAnsi="宋体" w:eastAsia="宋体"/>
                <w:sz w:val="16"/>
              </w:rPr>
              <w:t>10.00分</w:t>
            </w:r>
          </w:p>
        </w:tc>
      </w:tr>
      <w:tr w14:paraId="45863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2BD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FB6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4958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53CE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7642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3BA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6109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C997">
            <w:pPr>
              <w:jc w:val="center"/>
            </w:pPr>
            <w:r>
              <w:rPr>
                <w:rFonts w:ascii="宋体" w:hAnsi="宋体" w:eastAsia="宋体"/>
                <w:sz w:val="16"/>
              </w:rPr>
              <w:t>—</w:t>
            </w:r>
          </w:p>
        </w:tc>
      </w:tr>
      <w:tr w14:paraId="079714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7D8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44C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CEB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E64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CF3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FFF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615E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F04A">
            <w:pPr>
              <w:jc w:val="center"/>
            </w:pPr>
            <w:r>
              <w:rPr>
                <w:rFonts w:ascii="宋体" w:hAnsi="宋体" w:eastAsia="宋体"/>
                <w:sz w:val="16"/>
              </w:rPr>
              <w:t>—</w:t>
            </w:r>
          </w:p>
        </w:tc>
      </w:tr>
      <w:tr w14:paraId="095AC9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BE7F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6EE5B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A70501">
            <w:pPr>
              <w:jc w:val="center"/>
            </w:pPr>
            <w:r>
              <w:rPr>
                <w:rFonts w:ascii="宋体" w:hAnsi="宋体" w:eastAsia="宋体"/>
                <w:sz w:val="16"/>
              </w:rPr>
              <w:t>实际完成情况</w:t>
            </w:r>
          </w:p>
        </w:tc>
      </w:tr>
      <w:tr w14:paraId="197D8B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2BCE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E8E6B3">
            <w:pPr>
              <w:jc w:val="both"/>
            </w:pPr>
            <w:r>
              <w:rPr>
                <w:rFonts w:ascii="宋体" w:hAnsi="宋体" w:eastAsia="宋体"/>
                <w:sz w:val="16"/>
              </w:rPr>
              <w:t>此项经费用途有三：一是组织政协委员调查研究、协商议政和民主监督活动，助推自治区重点领域和重大改革举措落实。二是开展“两支队伍”培训1次，参加培训人数为129人，会议培训天数为10天，提高政协委员和政协干部的政治把握能力和履职尽责能力。三是弥补本级经费不足和改善办公条件；通过实施本项目，有效确保基层政协工作正常运转、提高政协委员工作积极性，专款专用，进一步激发广大基层政协工作者履职尽责的热情和动力，同时确保政协工作在基层有效开展活动和加强阵地建设提供必要的资金保障，切实做到有机构，有人员，有经费，有制度，有设备，有场地，有活动，有载体，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0A8D6E">
            <w:pPr>
              <w:jc w:val="both"/>
            </w:pPr>
            <w:r>
              <w:rPr>
                <w:rFonts w:hint="eastAsia" w:ascii="宋体" w:hAnsi="宋体"/>
                <w:sz w:val="16"/>
                <w:lang w:eastAsia="zh-CN"/>
              </w:rPr>
              <w:t>截至</w:t>
            </w:r>
            <w:r>
              <w:rPr>
                <w:rFonts w:ascii="宋体" w:hAnsi="宋体" w:eastAsia="宋体"/>
                <w:sz w:val="16"/>
              </w:rPr>
              <w:t>2024年12月31日，全年预算数5万元，全年执行数5万元，执行率100%。办公经费成本4.2万元；项目完成时间2024年12月25日；会议培训天数10天；资金拨付及时率100%；有效确保基层政协工作正常运转、提高政协委员工作积极性；培训出勤率100%；开展培训成本0.8万元；组织政协委员培训次数1次；培训参与人数129人；项目的实施确保基层政协工作正常运转、提高政协委员工作积极性，受益人员满意度达到95%。</w:t>
            </w:r>
          </w:p>
        </w:tc>
      </w:tr>
      <w:tr w14:paraId="60B66D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9FBB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3A7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D11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CC9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42C6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1E64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D52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DBE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24D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75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C69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543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DE6D3">
            <w:pPr>
              <w:jc w:val="center"/>
            </w:pPr>
            <w:r>
              <w:rPr>
                <w:rFonts w:ascii="宋体" w:hAnsi="宋体" w:eastAsia="宋体"/>
                <w:sz w:val="16"/>
              </w:rPr>
              <w:t>偏差原因分析及改进措施</w:t>
            </w:r>
          </w:p>
        </w:tc>
      </w:tr>
      <w:tr w14:paraId="4B59B6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0C3E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ECEC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B48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79A49">
            <w:pPr>
              <w:jc w:val="center"/>
            </w:pPr>
            <w:r>
              <w:rPr>
                <w:rFonts w:ascii="宋体" w:hAnsi="宋体" w:eastAsia="宋体"/>
                <w:sz w:val="16"/>
              </w:rPr>
              <w:t>组织政协委员培训次数（次）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503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F2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1AB8">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832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8F9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F39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948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CBE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30715">
            <w:pPr>
              <w:jc w:val="center"/>
            </w:pPr>
          </w:p>
        </w:tc>
      </w:tr>
      <w:tr w14:paraId="4B89D0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B9B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E15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A1D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E033D">
            <w:pPr>
              <w:jc w:val="center"/>
            </w:pPr>
            <w:r>
              <w:rPr>
                <w:rFonts w:ascii="宋体" w:hAnsi="宋体" w:eastAsia="宋体"/>
                <w:sz w:val="16"/>
              </w:rPr>
              <w:t>培训参与人数（人）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30A87">
            <w:pPr>
              <w:jc w:val="center"/>
            </w:pPr>
            <w:r>
              <w:rPr>
                <w:rFonts w:ascii="宋体" w:hAnsi="宋体" w:eastAsia="宋体"/>
                <w:sz w:val="16"/>
              </w:rPr>
              <w:t>&gt;=129人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550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4A960">
            <w:pPr>
              <w:jc w:val="center"/>
            </w:pPr>
            <w:r>
              <w:rPr>
                <w:rFonts w:ascii="宋体" w:hAnsi="宋体" w:eastAsia="宋体"/>
                <w:sz w:val="16"/>
              </w:rPr>
              <w: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D842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4C1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207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6D02">
            <w:pPr>
              <w:jc w:val="center"/>
            </w:pPr>
            <w:r>
              <w:rPr>
                <w:rFonts w:ascii="宋体" w:hAnsi="宋体" w:eastAsia="宋体"/>
                <w:sz w:val="16"/>
              </w:rPr>
              <w:t>=129人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D1C2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7EB81">
            <w:pPr>
              <w:jc w:val="center"/>
            </w:pPr>
          </w:p>
        </w:tc>
      </w:tr>
      <w:tr w14:paraId="7FB79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F3D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B23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24F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ADBB">
            <w:pPr>
              <w:jc w:val="center"/>
            </w:pPr>
            <w:r>
              <w:rPr>
                <w:rFonts w:ascii="宋体" w:hAnsi="宋体" w:eastAsia="宋体"/>
                <w:sz w:val="16"/>
              </w:rPr>
              <w:t>会议培训天数（天）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31CD">
            <w:pPr>
              <w:jc w:val="center"/>
            </w:pPr>
            <w:r>
              <w:rPr>
                <w:rFonts w:ascii="宋体" w:hAnsi="宋体" w:eastAsia="宋体"/>
                <w:sz w:val="16"/>
              </w:rPr>
              <w:t>&gt;=10天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A6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2C64D">
            <w:pPr>
              <w:jc w:val="center"/>
            </w:pPr>
            <w:r>
              <w:rPr>
                <w:rFonts w:ascii="宋体" w:hAnsi="宋体" w:eastAsia="宋体"/>
                <w:sz w:val="16"/>
              </w:rPr>
              <w: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DEA0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3F9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A7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E694">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906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07EA0">
            <w:pPr>
              <w:jc w:val="center"/>
            </w:pPr>
          </w:p>
        </w:tc>
      </w:tr>
      <w:tr w14:paraId="3C1E66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ED2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EBD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1B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50303">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175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29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4A2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BD39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897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49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5F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0881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A984B">
            <w:pPr>
              <w:jc w:val="center"/>
            </w:pPr>
          </w:p>
        </w:tc>
      </w:tr>
      <w:tr w14:paraId="5D3492A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62E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01D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E655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DDA2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F8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760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C40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90E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0BB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C6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DC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C7A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E53E0">
            <w:pPr>
              <w:jc w:val="center"/>
            </w:pPr>
          </w:p>
        </w:tc>
      </w:tr>
      <w:tr w14:paraId="4140DF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3EB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3AC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61B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F62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3C01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81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55C0">
            <w:pPr>
              <w:jc w:val="center"/>
            </w:pPr>
            <w:r>
              <w:rPr>
                <w:rFonts w:ascii="宋体" w:hAnsi="宋体" w:eastAsia="宋体"/>
                <w:sz w:val="16"/>
              </w:rPr>
              <w:t>2023年12月15日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A31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547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3D1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EA3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C5F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FF3DF">
            <w:pPr>
              <w:jc w:val="center"/>
            </w:pPr>
          </w:p>
        </w:tc>
      </w:tr>
      <w:tr w14:paraId="7224F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24E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7D68A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49D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B7D7">
            <w:pPr>
              <w:jc w:val="center"/>
            </w:pPr>
            <w:r>
              <w:rPr>
                <w:rFonts w:ascii="宋体" w:hAnsi="宋体" w:eastAsia="宋体"/>
                <w:sz w:val="16"/>
              </w:rPr>
              <w:t>开展培训成本（万元）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FEB9F">
            <w:pPr>
              <w:jc w:val="center"/>
            </w:pPr>
            <w:r>
              <w:rPr>
                <w:rFonts w:ascii="宋体" w:hAnsi="宋体" w:eastAsia="宋体"/>
                <w:sz w:val="16"/>
              </w:rPr>
              <w:t>&lt;=0.8万元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AA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4EE2">
            <w:pPr>
              <w:jc w:val="center"/>
            </w:pPr>
            <w:r>
              <w:rPr>
                <w:rFonts w:ascii="宋体" w:hAnsi="宋体" w:eastAsia="宋体"/>
                <w:sz w:val="16"/>
              </w:rPr>
              <w:t>0.54万元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FC3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A9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A2B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C425">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F7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2557B">
            <w:pPr>
              <w:jc w:val="center"/>
            </w:pPr>
          </w:p>
        </w:tc>
      </w:tr>
      <w:tr w14:paraId="662B1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C97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C1E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B43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290D1">
            <w:pPr>
              <w:jc w:val="center"/>
            </w:pPr>
            <w:r>
              <w:rPr>
                <w:rFonts w:ascii="宋体" w:hAnsi="宋体" w:eastAsia="宋体"/>
                <w:sz w:val="16"/>
              </w:rPr>
              <w:t>办公经费成本（万元）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ADA8">
            <w:pPr>
              <w:jc w:val="center"/>
            </w:pPr>
            <w:r>
              <w:rPr>
                <w:rFonts w:ascii="宋体" w:hAnsi="宋体" w:eastAsia="宋体"/>
                <w:sz w:val="16"/>
              </w:rPr>
              <w:t>&lt;=4.2万元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9B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B79E7">
            <w:pPr>
              <w:jc w:val="center"/>
            </w:pPr>
            <w:r>
              <w:rPr>
                <w:rFonts w:ascii="宋体" w:hAnsi="宋体" w:eastAsia="宋体"/>
                <w:sz w:val="16"/>
              </w:rPr>
              <w:t>4.46万元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DF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2E1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867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A562B">
            <w:pPr>
              <w:jc w:val="center"/>
            </w:pPr>
            <w:r>
              <w:rPr>
                <w:rFonts w:ascii="宋体" w:hAnsi="宋体" w:eastAsia="宋体"/>
                <w:sz w:val="16"/>
              </w:rPr>
              <w:t>=4.2万元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58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DE75B">
            <w:pPr>
              <w:jc w:val="center"/>
            </w:pPr>
          </w:p>
        </w:tc>
      </w:tr>
      <w:tr w14:paraId="6C6B0B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E51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1F85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AD1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14BA">
            <w:pPr>
              <w:jc w:val="center"/>
            </w:pPr>
            <w:r>
              <w:rPr>
                <w:rFonts w:ascii="宋体" w:hAnsi="宋体" w:eastAsia="宋体"/>
                <w:sz w:val="16"/>
              </w:rPr>
              <w:t>确保基层政协工作正常运转、提高政协委员工作积极性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AC2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07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6860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69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25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70C68">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4EEDA">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635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35E34">
            <w:pPr>
              <w:jc w:val="center"/>
            </w:pPr>
          </w:p>
        </w:tc>
      </w:tr>
      <w:tr w14:paraId="3E99C6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BEC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BC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97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6A0A">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B5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F5B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4AA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67B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8D6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717A">
            <w:pPr>
              <w:jc w:val="center"/>
            </w:pPr>
            <w:r>
              <w:rPr>
                <w:rFonts w:ascii="宋体" w:hAnsi="宋体" w:eastAsia="宋体"/>
                <w:sz w:val="16"/>
              </w:rPr>
              <w:t>说明材料</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2D40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CBD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B93CA">
            <w:pPr>
              <w:jc w:val="center"/>
            </w:pPr>
          </w:p>
        </w:tc>
      </w:tr>
      <w:tr w14:paraId="459DCAF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0893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F7B2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FAE37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C3AC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CD87730"/>
        </w:tc>
      </w:tr>
    </w:tbl>
    <w:p w14:paraId="1ACA41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8449727">
        <w:tblPrEx>
          <w:tblCellMar>
            <w:top w:w="0" w:type="dxa"/>
            <w:left w:w="108" w:type="dxa"/>
            <w:bottom w:w="0" w:type="dxa"/>
            <w:right w:w="108" w:type="dxa"/>
          </w:tblCellMar>
        </w:tblPrEx>
        <w:tc>
          <w:tcPr>
            <w:tcW w:w="8848" w:type="dxa"/>
            <w:gridSpan w:val="14"/>
            <w:vAlign w:val="center"/>
          </w:tcPr>
          <w:p w14:paraId="5BD3FE75">
            <w:pPr>
              <w:jc w:val="center"/>
            </w:pPr>
            <w:r>
              <w:rPr>
                <w:rFonts w:ascii="宋体" w:hAnsi="宋体" w:eastAsia="宋体"/>
                <w:sz w:val="24"/>
              </w:rPr>
              <w:t>项目支出绩效自评表</w:t>
            </w:r>
          </w:p>
        </w:tc>
      </w:tr>
      <w:tr w14:paraId="2A2142D1">
        <w:tblPrEx>
          <w:tblCellMar>
            <w:top w:w="0" w:type="dxa"/>
            <w:left w:w="108" w:type="dxa"/>
            <w:bottom w:w="0" w:type="dxa"/>
            <w:right w:w="108" w:type="dxa"/>
          </w:tblCellMar>
        </w:tblPrEx>
        <w:tc>
          <w:tcPr>
            <w:tcW w:w="8848" w:type="dxa"/>
            <w:gridSpan w:val="14"/>
            <w:vAlign w:val="center"/>
          </w:tcPr>
          <w:p w14:paraId="0009DB45">
            <w:pPr>
              <w:jc w:val="center"/>
            </w:pPr>
            <w:r>
              <w:rPr>
                <w:rFonts w:ascii="宋体" w:hAnsi="宋体" w:eastAsia="宋体"/>
                <w:sz w:val="24"/>
              </w:rPr>
              <w:t>(2024年度)</w:t>
            </w:r>
          </w:p>
        </w:tc>
      </w:tr>
      <w:tr w14:paraId="559474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D3F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9F7AF4">
            <w:pPr>
              <w:jc w:val="center"/>
            </w:pPr>
            <w:r>
              <w:rPr>
                <w:rFonts w:ascii="宋体" w:hAnsi="宋体" w:eastAsia="宋体"/>
                <w:sz w:val="16"/>
              </w:rPr>
              <w:t>单位自聘保安2024年岗位补贴及社保部分项目</w:t>
            </w:r>
          </w:p>
        </w:tc>
      </w:tr>
      <w:tr w14:paraId="573829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8E0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D7DB9A">
            <w:pPr>
              <w:jc w:val="center"/>
            </w:pPr>
            <w:r>
              <w:rPr>
                <w:rFonts w:ascii="宋体" w:hAnsi="宋体" w:eastAsia="宋体"/>
                <w:sz w:val="16"/>
              </w:rPr>
              <w:t>中国人民政治协商会议疏附县委员会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ED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7FCD80">
            <w:pPr>
              <w:jc w:val="center"/>
            </w:pPr>
            <w:r>
              <w:rPr>
                <w:rFonts w:ascii="宋体" w:hAnsi="宋体" w:eastAsia="宋体"/>
                <w:sz w:val="16"/>
              </w:rPr>
              <w:t>中国人民政治协商会议疏附县委员会</w:t>
            </w:r>
          </w:p>
        </w:tc>
      </w:tr>
      <w:tr w14:paraId="21D73D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E28D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92F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10CC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B1FA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50D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42FC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82C5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6853">
            <w:pPr>
              <w:jc w:val="center"/>
            </w:pPr>
            <w:r>
              <w:rPr>
                <w:rFonts w:ascii="宋体" w:hAnsi="宋体" w:eastAsia="宋体"/>
                <w:sz w:val="16"/>
              </w:rPr>
              <w:t>得分</w:t>
            </w:r>
          </w:p>
        </w:tc>
      </w:tr>
      <w:tr w14:paraId="5C5D85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F96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A99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88996">
            <w:pPr>
              <w:jc w:val="center"/>
            </w:pPr>
            <w:r>
              <w:rPr>
                <w:rFonts w:ascii="宋体" w:hAnsi="宋体" w:eastAsia="宋体"/>
                <w:sz w:val="16"/>
              </w:rPr>
              <w:t>6.22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535A8">
            <w:pPr>
              <w:jc w:val="center"/>
            </w:pPr>
            <w:r>
              <w:rPr>
                <w:rFonts w:ascii="宋体" w:hAnsi="宋体" w:eastAsia="宋体"/>
                <w:sz w:val="16"/>
              </w:rPr>
              <w:t>6.05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EA494">
            <w:pPr>
              <w:jc w:val="center"/>
            </w:pPr>
            <w:r>
              <w:rPr>
                <w:rFonts w:ascii="宋体" w:hAnsi="宋体" w:eastAsia="宋体"/>
                <w:sz w:val="16"/>
              </w:rPr>
              <w:t>6.05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88B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040E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A08C8">
            <w:pPr>
              <w:jc w:val="center"/>
            </w:pPr>
            <w:r>
              <w:rPr>
                <w:rFonts w:ascii="宋体" w:hAnsi="宋体" w:eastAsia="宋体"/>
                <w:sz w:val="16"/>
              </w:rPr>
              <w:t>10.00分</w:t>
            </w:r>
          </w:p>
        </w:tc>
      </w:tr>
      <w:tr w14:paraId="1F9D1F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2D3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7E8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DDA63">
            <w:pPr>
              <w:jc w:val="center"/>
            </w:pPr>
            <w:r>
              <w:rPr>
                <w:rFonts w:ascii="宋体" w:hAnsi="宋体" w:eastAsia="宋体"/>
                <w:sz w:val="16"/>
              </w:rPr>
              <w:t>6.22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3E785">
            <w:pPr>
              <w:jc w:val="center"/>
            </w:pPr>
            <w:r>
              <w:rPr>
                <w:rFonts w:ascii="宋体" w:hAnsi="宋体" w:eastAsia="宋体"/>
                <w:sz w:val="16"/>
              </w:rPr>
              <w:t>6.05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B1DA5">
            <w:pPr>
              <w:jc w:val="center"/>
            </w:pPr>
            <w:r>
              <w:rPr>
                <w:rFonts w:ascii="宋体" w:hAnsi="宋体" w:eastAsia="宋体"/>
                <w:sz w:val="16"/>
              </w:rPr>
              <w:t>6.05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9C8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A5D8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7F881">
            <w:pPr>
              <w:jc w:val="center"/>
            </w:pPr>
            <w:r>
              <w:rPr>
                <w:rFonts w:ascii="宋体" w:hAnsi="宋体" w:eastAsia="宋体"/>
                <w:sz w:val="16"/>
              </w:rPr>
              <w:t>—</w:t>
            </w:r>
          </w:p>
        </w:tc>
      </w:tr>
      <w:tr w14:paraId="12EE6D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AA4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1AF3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A43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29C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1F6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707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EC5E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9B84B">
            <w:pPr>
              <w:jc w:val="center"/>
            </w:pPr>
            <w:r>
              <w:rPr>
                <w:rFonts w:ascii="宋体" w:hAnsi="宋体" w:eastAsia="宋体"/>
                <w:sz w:val="16"/>
              </w:rPr>
              <w:t>—</w:t>
            </w:r>
          </w:p>
        </w:tc>
      </w:tr>
      <w:tr w14:paraId="6D93D8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09DA6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E6621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92EF7E">
            <w:pPr>
              <w:jc w:val="center"/>
            </w:pPr>
            <w:r>
              <w:rPr>
                <w:rFonts w:ascii="宋体" w:hAnsi="宋体" w:eastAsia="宋体"/>
                <w:sz w:val="16"/>
              </w:rPr>
              <w:t>实际完成情况</w:t>
            </w:r>
          </w:p>
        </w:tc>
      </w:tr>
      <w:tr w14:paraId="105532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D7AF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1BC4F3">
            <w:pPr>
              <w:jc w:val="both"/>
            </w:pPr>
            <w:r>
              <w:rPr>
                <w:rFonts w:ascii="宋体" w:hAnsi="宋体" w:eastAsia="宋体"/>
                <w:sz w:val="16"/>
              </w:rPr>
              <w:t>本项目主要保障</w:t>
            </w:r>
            <w:bookmarkStart w:id="0" w:name="_GoBack"/>
            <w:r>
              <w:rPr>
                <w:rFonts w:hint="eastAsia" w:ascii="宋体" w:hAnsi="宋体"/>
                <w:sz w:val="16"/>
                <w:lang w:eastAsia="zh-CN"/>
              </w:rPr>
              <w:t>本单位</w:t>
            </w:r>
            <w:bookmarkEnd w:id="0"/>
            <w:r>
              <w:rPr>
                <w:rFonts w:ascii="宋体" w:hAnsi="宋体" w:eastAsia="宋体"/>
                <w:sz w:val="16"/>
              </w:rPr>
              <w:t>1名保安人员和1名保洁人员工资，社保补贴，医疗保险补贴等，有效提高保安人员工作积极性、生活质量，持续保障保安人员日常生活，保安人员满意度预计能达到95%以上。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4A4C94">
            <w:pPr>
              <w:jc w:val="both"/>
            </w:pPr>
            <w:r>
              <w:rPr>
                <w:rFonts w:hint="eastAsia" w:ascii="宋体" w:hAnsi="宋体"/>
                <w:sz w:val="16"/>
                <w:lang w:eastAsia="zh-CN"/>
              </w:rPr>
              <w:t>截至</w:t>
            </w:r>
            <w:r>
              <w:rPr>
                <w:rFonts w:ascii="宋体" w:hAnsi="宋体" w:eastAsia="宋体"/>
                <w:sz w:val="16"/>
              </w:rPr>
              <w:t>2024年12月31日，本项目全年预算数6.05万元，全年执行数6.05万元，全年执行率100%。项目完成时间2024年12月25日；发放补助次数12次；保安保洁满意度95%；有效</w:t>
            </w:r>
            <w:r>
              <w:rPr>
                <w:rFonts w:hint="eastAsia" w:ascii="宋体" w:hAnsi="宋体"/>
                <w:sz w:val="16"/>
                <w:lang w:eastAsia="zh-CN"/>
              </w:rPr>
              <w:t>提升</w:t>
            </w:r>
            <w:r>
              <w:rPr>
                <w:rFonts w:ascii="宋体" w:hAnsi="宋体" w:eastAsia="宋体"/>
                <w:sz w:val="16"/>
              </w:rPr>
              <w:t>保安人员工作积极性；补助发放及时率100%；发放补助人数2人；保安保洁平均月工资2519元/月；补助覆盖率100%，项目的实施提升保安人员工作积极性，保安保洁满意度达到100%。</w:t>
            </w:r>
          </w:p>
        </w:tc>
      </w:tr>
      <w:tr w14:paraId="6C5D7B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927E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52C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B42E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0A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C2F2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274F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FBE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07E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A02B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C2C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1FD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E62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01665">
            <w:pPr>
              <w:jc w:val="center"/>
            </w:pPr>
            <w:r>
              <w:rPr>
                <w:rFonts w:ascii="宋体" w:hAnsi="宋体" w:eastAsia="宋体"/>
                <w:sz w:val="16"/>
              </w:rPr>
              <w:t>偏差原因分析及改进措施</w:t>
            </w:r>
          </w:p>
        </w:tc>
      </w:tr>
      <w:tr w14:paraId="523353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8688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4736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C580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BA9BE">
            <w:pPr>
              <w:jc w:val="center"/>
            </w:pPr>
            <w:r>
              <w:rPr>
                <w:rFonts w:ascii="宋体" w:hAnsi="宋体" w:eastAsia="宋体"/>
                <w:sz w:val="16"/>
              </w:rPr>
              <w:t>发放补助人数（人）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F035">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8C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F0860">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10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145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07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DD9AF">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076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1BDD0">
            <w:pPr>
              <w:jc w:val="center"/>
            </w:pPr>
          </w:p>
        </w:tc>
      </w:tr>
      <w:tr w14:paraId="62F74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509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120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D32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FCDB">
            <w:pPr>
              <w:jc w:val="center"/>
            </w:pPr>
            <w:r>
              <w:rPr>
                <w:rFonts w:ascii="宋体" w:hAnsi="宋体" w:eastAsia="宋体"/>
                <w:sz w:val="16"/>
              </w:rPr>
              <w:t>发放补助次数（次）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482B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D70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A074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C53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07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46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6F575">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E6D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1C2F9">
            <w:pPr>
              <w:jc w:val="center"/>
            </w:pPr>
          </w:p>
        </w:tc>
      </w:tr>
      <w:tr w14:paraId="37D35E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662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54A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FC7C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6E12B">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69A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15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9E2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B1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34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28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7ED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A21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F653E">
            <w:pPr>
              <w:jc w:val="center"/>
            </w:pPr>
          </w:p>
        </w:tc>
      </w:tr>
      <w:tr w14:paraId="183C90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AD5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3A8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657D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43946">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B7E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77B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4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E676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7F6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CDE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1C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E758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2C5B5">
            <w:pPr>
              <w:jc w:val="center"/>
            </w:pPr>
          </w:p>
        </w:tc>
      </w:tr>
      <w:tr w14:paraId="15488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379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9A4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52E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0405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950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FA7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91501">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3C7A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E41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BD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43D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FCF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265B7">
            <w:pPr>
              <w:jc w:val="center"/>
            </w:pPr>
          </w:p>
        </w:tc>
      </w:tr>
      <w:tr w14:paraId="6ECDB3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4C3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744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138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90BB">
            <w:pPr>
              <w:jc w:val="center"/>
            </w:pPr>
            <w:r>
              <w:rPr>
                <w:rFonts w:ascii="宋体" w:hAnsi="宋体" w:eastAsia="宋体"/>
                <w:sz w:val="16"/>
              </w:rPr>
              <w:t>保安保洁平均月工资（元/月）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C2E6">
            <w:pPr>
              <w:jc w:val="center"/>
            </w:pPr>
            <w:r>
              <w:rPr>
                <w:rFonts w:ascii="宋体" w:hAnsi="宋体" w:eastAsia="宋体"/>
                <w:sz w:val="16"/>
              </w:rPr>
              <w:t>&lt;=2519元/月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38A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B27C">
            <w:pPr>
              <w:jc w:val="center"/>
            </w:pPr>
            <w:r>
              <w:rPr>
                <w:rFonts w:ascii="宋体" w:hAnsi="宋体" w:eastAsia="宋体"/>
                <w:sz w:val="16"/>
              </w:rPr>
              <w:t>2519元/月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7F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3F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FD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89CB2">
            <w:pPr>
              <w:jc w:val="center"/>
            </w:pPr>
            <w:r>
              <w:rPr>
                <w:rFonts w:ascii="宋体" w:hAnsi="宋体" w:eastAsia="宋体"/>
                <w:sz w:val="16"/>
              </w:rPr>
              <w:t>=2519元/月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51C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72492">
            <w:pPr>
              <w:jc w:val="center"/>
            </w:pPr>
          </w:p>
        </w:tc>
      </w:tr>
      <w:tr w14:paraId="5B9EB2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8D7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EC4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A5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0623">
            <w:pPr>
              <w:jc w:val="center"/>
            </w:pPr>
            <w:r>
              <w:rPr>
                <w:rFonts w:ascii="宋体" w:hAnsi="宋体" w:eastAsia="宋体"/>
                <w:sz w:val="16"/>
              </w:rPr>
              <w:t>提升保安人员工作积极性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FFB5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7E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592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9F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F3C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96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78C8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50C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335CB">
            <w:pPr>
              <w:jc w:val="center"/>
            </w:pPr>
          </w:p>
        </w:tc>
      </w:tr>
      <w:tr w14:paraId="5F42B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757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E4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B0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B799">
            <w:pPr>
              <w:jc w:val="center"/>
            </w:pPr>
            <w:r>
              <w:rPr>
                <w:rFonts w:ascii="宋体" w:hAnsi="宋体" w:eastAsia="宋体"/>
                <w:sz w:val="16"/>
              </w:rPr>
              <w:t>保安保洁满意度（%）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8D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9C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8C1A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26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44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D5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B11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7E5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8E854">
            <w:pPr>
              <w:jc w:val="center"/>
            </w:pPr>
          </w:p>
        </w:tc>
      </w:tr>
      <w:tr w14:paraId="58ABD75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5E628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1A0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41F5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81B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78798F2"/>
        </w:tc>
      </w:tr>
    </w:tbl>
    <w:p w14:paraId="25E44E94">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8"/>
        <w:gridCol w:w="626"/>
        <w:gridCol w:w="626"/>
        <w:gridCol w:w="696"/>
        <w:gridCol w:w="632"/>
        <w:gridCol w:w="618"/>
        <w:gridCol w:w="630"/>
      </w:tblGrid>
      <w:tr w14:paraId="6BCBCAB7">
        <w:tblPrEx>
          <w:tblCellMar>
            <w:top w:w="0" w:type="dxa"/>
            <w:left w:w="108" w:type="dxa"/>
            <w:bottom w:w="0" w:type="dxa"/>
            <w:right w:w="108" w:type="dxa"/>
          </w:tblCellMar>
        </w:tblPrEx>
        <w:tc>
          <w:tcPr>
            <w:tcW w:w="8848" w:type="dxa"/>
            <w:gridSpan w:val="14"/>
            <w:vAlign w:val="center"/>
          </w:tcPr>
          <w:p w14:paraId="173516F1">
            <w:pPr>
              <w:jc w:val="center"/>
            </w:pPr>
            <w:r>
              <w:rPr>
                <w:rFonts w:ascii="宋体" w:hAnsi="宋体" w:eastAsia="宋体"/>
                <w:sz w:val="24"/>
              </w:rPr>
              <w:t>项目支出绩效自评表</w:t>
            </w:r>
          </w:p>
        </w:tc>
      </w:tr>
      <w:tr w14:paraId="7CFBDD30">
        <w:tblPrEx>
          <w:tblCellMar>
            <w:top w:w="0" w:type="dxa"/>
            <w:left w:w="108" w:type="dxa"/>
            <w:bottom w:w="0" w:type="dxa"/>
            <w:right w:w="108" w:type="dxa"/>
          </w:tblCellMar>
        </w:tblPrEx>
        <w:tc>
          <w:tcPr>
            <w:tcW w:w="8848" w:type="dxa"/>
            <w:gridSpan w:val="14"/>
            <w:vAlign w:val="center"/>
          </w:tcPr>
          <w:p w14:paraId="09C07127">
            <w:pPr>
              <w:jc w:val="center"/>
            </w:pPr>
            <w:r>
              <w:rPr>
                <w:rFonts w:ascii="宋体" w:hAnsi="宋体" w:eastAsia="宋体"/>
                <w:sz w:val="24"/>
              </w:rPr>
              <w:t>(2024年度)</w:t>
            </w:r>
          </w:p>
        </w:tc>
      </w:tr>
      <w:tr w14:paraId="19C2A6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A15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EFEF3E">
            <w:pPr>
              <w:jc w:val="center"/>
            </w:pPr>
            <w:r>
              <w:rPr>
                <w:rFonts w:ascii="宋体" w:hAnsi="宋体" w:eastAsia="宋体"/>
                <w:sz w:val="16"/>
              </w:rPr>
              <w:t>疏附县政协化解历年欠款项目</w:t>
            </w:r>
          </w:p>
        </w:tc>
      </w:tr>
      <w:tr w14:paraId="36CF39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952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A4CA67">
            <w:pPr>
              <w:jc w:val="center"/>
            </w:pPr>
            <w:r>
              <w:rPr>
                <w:rFonts w:ascii="宋体" w:hAnsi="宋体" w:eastAsia="宋体"/>
                <w:sz w:val="16"/>
              </w:rPr>
              <w:t>中国人民政治协商会议疏附县委员会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09CB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55B491">
            <w:pPr>
              <w:jc w:val="center"/>
            </w:pPr>
            <w:r>
              <w:rPr>
                <w:rFonts w:ascii="宋体" w:hAnsi="宋体" w:eastAsia="宋体"/>
                <w:sz w:val="16"/>
              </w:rPr>
              <w:t>中国人民政治协商会议疏附县委员会</w:t>
            </w:r>
          </w:p>
        </w:tc>
      </w:tr>
      <w:tr w14:paraId="647AA6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C3FB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ECD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0C8E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2BF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ADD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F7BE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FCC1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5F9E">
            <w:pPr>
              <w:jc w:val="center"/>
            </w:pPr>
            <w:r>
              <w:rPr>
                <w:rFonts w:ascii="宋体" w:hAnsi="宋体" w:eastAsia="宋体"/>
                <w:sz w:val="16"/>
              </w:rPr>
              <w:t>得分</w:t>
            </w:r>
          </w:p>
        </w:tc>
      </w:tr>
      <w:tr w14:paraId="6E164D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2A6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E60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9E370">
            <w:pPr>
              <w:jc w:val="center"/>
            </w:pPr>
            <w:r>
              <w:rPr>
                <w:rFonts w:ascii="宋体" w:hAnsi="宋体" w:eastAsia="宋体"/>
                <w:sz w:val="16"/>
              </w:rPr>
              <w:t>26.43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F13A8">
            <w:pPr>
              <w:jc w:val="center"/>
            </w:pPr>
            <w:r>
              <w:rPr>
                <w:rFonts w:ascii="宋体" w:hAnsi="宋体" w:eastAsia="宋体"/>
                <w:sz w:val="16"/>
              </w:rPr>
              <w:t>26.43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8DCF3">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B14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11A28">
            <w:pPr>
              <w:jc w:val="center"/>
            </w:pPr>
            <w:r>
              <w:rPr>
                <w:rFonts w:ascii="宋体" w:hAnsi="宋体" w:eastAsia="宋体"/>
                <w:sz w:val="16"/>
              </w:rPr>
              <w:t>83.24%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76EF">
            <w:pPr>
              <w:jc w:val="center"/>
            </w:pPr>
            <w:r>
              <w:rPr>
                <w:rFonts w:ascii="宋体" w:hAnsi="宋体" w:eastAsia="宋体"/>
                <w:sz w:val="16"/>
              </w:rPr>
              <w:t>5.81分</w:t>
            </w:r>
          </w:p>
        </w:tc>
      </w:tr>
      <w:tr w14:paraId="62EACA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0AB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4551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012A8">
            <w:pPr>
              <w:jc w:val="center"/>
            </w:pPr>
            <w:r>
              <w:rPr>
                <w:rFonts w:ascii="宋体" w:hAnsi="宋体" w:eastAsia="宋体"/>
                <w:sz w:val="16"/>
              </w:rPr>
              <w:t>26.43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86685">
            <w:pPr>
              <w:jc w:val="center"/>
            </w:pPr>
            <w:r>
              <w:rPr>
                <w:rFonts w:ascii="宋体" w:hAnsi="宋体" w:eastAsia="宋体"/>
                <w:sz w:val="16"/>
              </w:rPr>
              <w:t>26.43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67DA5">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F76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728C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ACFC">
            <w:pPr>
              <w:jc w:val="center"/>
            </w:pPr>
            <w:r>
              <w:rPr>
                <w:rFonts w:ascii="宋体" w:hAnsi="宋体" w:eastAsia="宋体"/>
                <w:sz w:val="16"/>
              </w:rPr>
              <w:t>—</w:t>
            </w:r>
          </w:p>
        </w:tc>
      </w:tr>
      <w:tr w14:paraId="30A511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197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A30A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CF9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BE8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025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D07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DE1A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DDB3A">
            <w:pPr>
              <w:jc w:val="center"/>
            </w:pPr>
            <w:r>
              <w:rPr>
                <w:rFonts w:ascii="宋体" w:hAnsi="宋体" w:eastAsia="宋体"/>
                <w:sz w:val="16"/>
              </w:rPr>
              <w:t>—</w:t>
            </w:r>
          </w:p>
        </w:tc>
      </w:tr>
      <w:tr w14:paraId="782B55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5107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612C3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7953DD">
            <w:pPr>
              <w:jc w:val="center"/>
            </w:pPr>
            <w:r>
              <w:rPr>
                <w:rFonts w:ascii="宋体" w:hAnsi="宋体" w:eastAsia="宋体"/>
                <w:sz w:val="16"/>
              </w:rPr>
              <w:t>实际完成情况</w:t>
            </w:r>
          </w:p>
        </w:tc>
      </w:tr>
      <w:tr w14:paraId="3DA100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895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C0526B">
            <w:pPr>
              <w:jc w:val="both"/>
            </w:pPr>
            <w:r>
              <w:rPr>
                <w:rFonts w:ascii="宋体" w:hAnsi="宋体" w:eastAsia="宋体"/>
                <w:sz w:val="16"/>
              </w:rPr>
              <w:t>用于偿还2022年至今历年欠款：用于偿还疏附县电信公司2023年、2024年2年政协视频会议系统年费共计5.66</w:t>
            </w:r>
            <w:r>
              <w:rPr>
                <w:rFonts w:hint="eastAsia" w:ascii="宋体" w:hAnsi="宋体"/>
                <w:sz w:val="16"/>
                <w:lang w:eastAsia="zh-CN"/>
              </w:rPr>
              <w:t>万元</w:t>
            </w:r>
            <w:r>
              <w:rPr>
                <w:rFonts w:ascii="宋体" w:hAnsi="宋体" w:eastAsia="宋体"/>
                <w:sz w:val="16"/>
              </w:rPr>
              <w:t>；用于偿还喀什金桥建筑工程有限公司2022年10月维修办公大楼电路电缆维修项目共计5.06万元；用于偿还2023年政协十五届三次全体会议经费欠款14.48万元；用于偿还2023年在疏附县机关生活服务中心公务接待费欠款1.23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2DFE21">
            <w:pPr>
              <w:jc w:val="both"/>
            </w:pPr>
            <w:r>
              <w:rPr>
                <w:rFonts w:hint="eastAsia" w:ascii="宋体" w:hAnsi="宋体"/>
                <w:sz w:val="16"/>
                <w:lang w:eastAsia="zh-CN"/>
              </w:rPr>
              <w:t>截至</w:t>
            </w:r>
            <w:r>
              <w:rPr>
                <w:rFonts w:ascii="宋体" w:hAnsi="宋体" w:eastAsia="宋体"/>
                <w:sz w:val="16"/>
              </w:rPr>
              <w:t>2024年12月31日，本项目全年预算数26.43万元，全年执行数22万元，执行率83.2%。当年债务还款完成率96.9%；偿还债务项目数量4个；2023年机关生活服务中心公务接待项目1.23万元；有效化解防范化解政府机关与民营企业间经济纠纷；所欠债务公司（企业）数量4个；项目完成时间2024年12月25日前；2023年政协会议经费项目10.05万元；2022年办公大楼电路电缆维修项目5.06万元；政协视频会议系统2023、2024年费5.66万元，项目的实施防范化解政府机关与民营企业间经济纠纷。</w:t>
            </w:r>
          </w:p>
        </w:tc>
      </w:tr>
      <w:tr w14:paraId="7DC019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5987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1E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FBA7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87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3AE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678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EC8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D14B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C6C3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877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AA31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179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AAEDF">
            <w:pPr>
              <w:jc w:val="center"/>
            </w:pPr>
            <w:r>
              <w:rPr>
                <w:rFonts w:ascii="宋体" w:hAnsi="宋体" w:eastAsia="宋体"/>
                <w:sz w:val="16"/>
              </w:rPr>
              <w:t>偏差原因分析及改进措施</w:t>
            </w:r>
          </w:p>
        </w:tc>
      </w:tr>
      <w:tr w14:paraId="63ED01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7A0A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BF95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177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4648D">
            <w:pPr>
              <w:jc w:val="center"/>
            </w:pPr>
            <w:r>
              <w:rPr>
                <w:rFonts w:ascii="宋体" w:hAnsi="宋体" w:eastAsia="宋体"/>
                <w:sz w:val="16"/>
              </w:rPr>
              <w:t>偿还债务项目数量（个）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BA99B">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76E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445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26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2C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88D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789F">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B21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08657">
            <w:pPr>
              <w:jc w:val="center"/>
            </w:pPr>
          </w:p>
        </w:tc>
      </w:tr>
      <w:tr w14:paraId="4F864B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4C1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97D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C48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1892">
            <w:pPr>
              <w:jc w:val="center"/>
            </w:pPr>
            <w:r>
              <w:rPr>
                <w:rFonts w:ascii="宋体" w:hAnsi="宋体" w:eastAsia="宋体"/>
                <w:sz w:val="16"/>
              </w:rPr>
              <w:t>所欠债务公司（企业）数量（个）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8C64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6F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7C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BF56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E9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70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14FD">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AD7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3BFB1">
            <w:pPr>
              <w:jc w:val="center"/>
            </w:pPr>
          </w:p>
        </w:tc>
      </w:tr>
      <w:tr w14:paraId="5CCCA1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CB0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464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85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B2E6">
            <w:pPr>
              <w:jc w:val="center"/>
            </w:pPr>
            <w:r>
              <w:rPr>
                <w:rFonts w:ascii="宋体" w:hAnsi="宋体" w:eastAsia="宋体"/>
                <w:sz w:val="16"/>
              </w:rPr>
              <w:t>当年债务还款完成率（%）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B8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C0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AFD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7F0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D5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4A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5A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C06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A5F9E">
            <w:pPr>
              <w:jc w:val="center"/>
            </w:pPr>
          </w:p>
        </w:tc>
      </w:tr>
      <w:tr w14:paraId="396CC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5BA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58F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68CC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4544">
            <w:pPr>
              <w:jc w:val="center"/>
            </w:pPr>
            <w:r>
              <w:rPr>
                <w:rFonts w:ascii="宋体" w:hAnsi="宋体" w:eastAsia="宋体"/>
                <w:sz w:val="16"/>
              </w:rPr>
              <w:t>欠款按期偿还率（%）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D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CBB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C1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5A5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10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AA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A1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C1B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C7C59">
            <w:pPr>
              <w:jc w:val="center"/>
            </w:pPr>
          </w:p>
        </w:tc>
      </w:tr>
      <w:tr w14:paraId="0CD32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B77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EA2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44E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55F8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9C98">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8C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240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830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9CF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032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4A02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1175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868F8">
            <w:pPr>
              <w:jc w:val="center"/>
            </w:pPr>
          </w:p>
        </w:tc>
      </w:tr>
      <w:tr w14:paraId="02BC4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37B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F468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2EC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0469">
            <w:pPr>
              <w:jc w:val="center"/>
            </w:pPr>
            <w:r>
              <w:rPr>
                <w:rFonts w:ascii="宋体" w:hAnsi="宋体" w:eastAsia="宋体"/>
                <w:sz w:val="16"/>
              </w:rPr>
              <w:t>政协视频会议系统2023、2024年费（万元）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2A35">
            <w:pPr>
              <w:jc w:val="center"/>
            </w:pPr>
            <w:r>
              <w:rPr>
                <w:rFonts w:ascii="宋体" w:hAnsi="宋体" w:eastAsia="宋体"/>
                <w:sz w:val="16"/>
              </w:rPr>
              <w:t>&lt;=5.66万元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B63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10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2FC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A47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01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9193F">
            <w:pPr>
              <w:jc w:val="center"/>
            </w:pPr>
            <w:r>
              <w:rPr>
                <w:rFonts w:ascii="宋体" w:hAnsi="宋体" w:eastAsia="宋体"/>
                <w:sz w:val="16"/>
              </w:rPr>
              <w:t>=5.66万元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7B7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5C6DF">
            <w:pPr>
              <w:jc w:val="center"/>
            </w:pPr>
          </w:p>
        </w:tc>
      </w:tr>
      <w:tr w14:paraId="71D8A7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F0C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EC4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C85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11CB2">
            <w:pPr>
              <w:jc w:val="center"/>
            </w:pPr>
            <w:r>
              <w:rPr>
                <w:rFonts w:ascii="宋体" w:hAnsi="宋体" w:eastAsia="宋体"/>
                <w:sz w:val="16"/>
              </w:rPr>
              <w:t>2022年办公大楼电路电缆维修项目（万元）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D2E5E">
            <w:pPr>
              <w:jc w:val="center"/>
            </w:pPr>
            <w:r>
              <w:rPr>
                <w:rFonts w:ascii="宋体" w:hAnsi="宋体" w:eastAsia="宋体"/>
                <w:sz w:val="16"/>
              </w:rPr>
              <w:t>&lt;=5.06万元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F11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EC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AF5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A7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95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EB79A">
            <w:pPr>
              <w:jc w:val="center"/>
            </w:pPr>
            <w:r>
              <w:rPr>
                <w:rFonts w:ascii="宋体" w:hAnsi="宋体" w:eastAsia="宋体"/>
                <w:sz w:val="16"/>
              </w:rPr>
              <w:t>=5.06万元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D8B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13761">
            <w:pPr>
              <w:jc w:val="center"/>
            </w:pPr>
          </w:p>
        </w:tc>
      </w:tr>
      <w:tr w14:paraId="09B2FC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BB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1BF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731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B480">
            <w:pPr>
              <w:jc w:val="center"/>
            </w:pPr>
            <w:r>
              <w:rPr>
                <w:rFonts w:ascii="宋体" w:hAnsi="宋体" w:eastAsia="宋体"/>
                <w:sz w:val="16"/>
              </w:rPr>
              <w:t>2023年机关生活服务中心公务接待项目（万元）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A034">
            <w:pPr>
              <w:jc w:val="center"/>
            </w:pPr>
            <w:r>
              <w:rPr>
                <w:rFonts w:ascii="宋体" w:hAnsi="宋体" w:eastAsia="宋体"/>
                <w:sz w:val="16"/>
              </w:rPr>
              <w:t>&lt;=1.23万元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268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862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4E6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6E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63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997B">
            <w:pPr>
              <w:jc w:val="center"/>
            </w:pPr>
            <w:r>
              <w:rPr>
                <w:rFonts w:ascii="宋体" w:hAnsi="宋体" w:eastAsia="宋体"/>
                <w:sz w:val="16"/>
              </w:rPr>
              <w:t>=1.23万元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D11AE">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88D65">
            <w:pPr>
              <w:jc w:val="center"/>
            </w:pPr>
          </w:p>
        </w:tc>
      </w:tr>
      <w:tr w14:paraId="4C26B6F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E14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0E3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634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79628">
            <w:pPr>
              <w:jc w:val="center"/>
            </w:pPr>
            <w:r>
              <w:rPr>
                <w:rFonts w:ascii="宋体" w:hAnsi="宋体" w:eastAsia="宋体"/>
                <w:sz w:val="16"/>
              </w:rPr>
              <w:t>2023年政协会议经费项目(万元）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339F">
            <w:pPr>
              <w:jc w:val="center"/>
            </w:pPr>
            <w:r>
              <w:rPr>
                <w:rFonts w:ascii="宋体" w:hAnsi="宋体" w:eastAsia="宋体"/>
                <w:sz w:val="16"/>
              </w:rPr>
              <w:t>&lt;=14.48万元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12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91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94D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A2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F4B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5EC77">
            <w:pPr>
              <w:jc w:val="center"/>
            </w:pPr>
            <w:r>
              <w:rPr>
                <w:rFonts w:ascii="宋体" w:hAnsi="宋体" w:eastAsia="宋体"/>
                <w:sz w:val="16"/>
              </w:rPr>
              <w:t>=10.05万元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96F3">
            <w:pPr>
              <w:jc w:val="center"/>
            </w:pPr>
            <w:r>
              <w:rPr>
                <w:rFonts w:ascii="宋体" w:hAnsi="宋体" w:eastAsia="宋体"/>
                <w:sz w:val="16"/>
              </w:rPr>
              <w:t>2.48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E9501">
            <w:pPr>
              <w:jc w:val="center"/>
            </w:pPr>
            <w:r>
              <w:rPr>
                <w:rFonts w:ascii="宋体" w:hAnsi="宋体" w:eastAsia="宋体"/>
                <w:sz w:val="16"/>
              </w:rPr>
              <w:t>偏差原因：由于年初预算不精准，故导致出现偏差。整改措施：增强预算绩效目标、部门整体绩效目标设计的合理性和科学性。</w:t>
            </w:r>
          </w:p>
        </w:tc>
      </w:tr>
      <w:tr w14:paraId="6D1EC9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756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469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A3C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95D5">
            <w:pPr>
              <w:jc w:val="center"/>
            </w:pPr>
            <w:r>
              <w:rPr>
                <w:rFonts w:ascii="宋体" w:hAnsi="宋体" w:eastAsia="宋体"/>
                <w:sz w:val="16"/>
              </w:rPr>
              <w:t>防范化解政府机关与民营企业间经济纠纷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D38A">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47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FA0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0869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15E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87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B1378">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5F9F9">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413D6">
            <w:pPr>
              <w:jc w:val="center"/>
            </w:pPr>
          </w:p>
        </w:tc>
      </w:tr>
      <w:tr w14:paraId="183DCCA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65C9F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AB2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14467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1C9E">
            <w:pPr>
              <w:jc w:val="center"/>
            </w:pPr>
            <w:r>
              <w:rPr>
                <w:rFonts w:ascii="宋体" w:hAnsi="宋体" w:eastAsia="宋体"/>
                <w:sz w:val="16"/>
              </w:rPr>
              <w:t>87.29分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E7C95CE"/>
        </w:tc>
      </w:tr>
    </w:tbl>
    <w:p w14:paraId="5E7D6FB1">
      <w:r>
        <w:br w:type="page"/>
      </w:r>
    </w:p>
    <w:p w14:paraId="18E02336">
      <w:pPr>
        <w:spacing w:line="640" w:lineRule="exact"/>
        <w:ind w:firstLine="640"/>
        <w:jc w:val="both"/>
        <w:outlineLvl w:val="2"/>
      </w:pPr>
      <w:r>
        <w:rPr>
          <w:rFonts w:ascii="黑体" w:hAnsi="黑体" w:eastAsia="黑体"/>
          <w:sz w:val="32"/>
        </w:rPr>
        <w:t>十二、其他需说明的事项</w:t>
      </w:r>
    </w:p>
    <w:p w14:paraId="6AABCFEE">
      <w:pPr>
        <w:spacing w:line="580" w:lineRule="exact"/>
        <w:ind w:firstLine="640"/>
        <w:jc w:val="both"/>
      </w:pPr>
      <w:r>
        <w:rPr>
          <w:rFonts w:ascii="仿宋_GB2312" w:hAnsi="仿宋_GB2312" w:eastAsia="仿宋_GB2312"/>
          <w:b w:val="0"/>
          <w:sz w:val="32"/>
        </w:rPr>
        <w:t>本年本单位SM项目2个，全年预算数7.00万元，全年执行数0.00万元。</w:t>
      </w:r>
    </w:p>
    <w:p w14:paraId="670A7BC8">
      <w:r>
        <w:br w:type="page"/>
      </w:r>
    </w:p>
    <w:p w14:paraId="4D826BEF">
      <w:pPr>
        <w:spacing w:line="240" w:lineRule="auto"/>
        <w:jc w:val="center"/>
        <w:outlineLvl w:val="1"/>
      </w:pPr>
      <w:r>
        <w:rPr>
          <w:rFonts w:ascii="黑体" w:hAnsi="黑体" w:eastAsia="黑体"/>
          <w:sz w:val="32"/>
        </w:rPr>
        <w:t>第三部分 专业名词解释</w:t>
      </w:r>
    </w:p>
    <w:p w14:paraId="53F520D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E86B07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4E4C3C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96ABA2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9DC212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F50907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CB663B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556A02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06E23E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3976D3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EC1B61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3C0B11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524F47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408F07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0290E7E">
      <w:r>
        <w:br w:type="page"/>
      </w:r>
    </w:p>
    <w:p w14:paraId="25939211">
      <w:pPr>
        <w:spacing w:line="240" w:lineRule="auto"/>
        <w:jc w:val="center"/>
        <w:outlineLvl w:val="1"/>
      </w:pPr>
      <w:r>
        <w:rPr>
          <w:rFonts w:ascii="黑体" w:hAnsi="黑体" w:eastAsia="黑体"/>
          <w:sz w:val="32"/>
        </w:rPr>
        <w:t>第四部分 部门决算报表（见附表）</w:t>
      </w:r>
    </w:p>
    <w:p w14:paraId="584F7E90">
      <w:pPr>
        <w:spacing w:line="240" w:lineRule="auto"/>
        <w:ind w:firstLine="640"/>
        <w:jc w:val="both"/>
      </w:pPr>
      <w:r>
        <w:rPr>
          <w:rFonts w:ascii="仿宋_GB2312" w:hAnsi="仿宋_GB2312" w:eastAsia="仿宋_GB2312"/>
          <w:b w:val="0"/>
          <w:sz w:val="32"/>
        </w:rPr>
        <w:t>一、《收入支出决算总表》</w:t>
      </w:r>
    </w:p>
    <w:p w14:paraId="3704199F">
      <w:pPr>
        <w:spacing w:line="240" w:lineRule="auto"/>
        <w:ind w:firstLine="640"/>
        <w:jc w:val="both"/>
      </w:pPr>
      <w:r>
        <w:rPr>
          <w:rFonts w:ascii="仿宋_GB2312" w:hAnsi="仿宋_GB2312" w:eastAsia="仿宋_GB2312"/>
          <w:b w:val="0"/>
          <w:sz w:val="32"/>
        </w:rPr>
        <w:t>二、《收入决算表》</w:t>
      </w:r>
    </w:p>
    <w:p w14:paraId="48149EF7">
      <w:pPr>
        <w:spacing w:line="240" w:lineRule="auto"/>
        <w:ind w:firstLine="640"/>
        <w:jc w:val="both"/>
      </w:pPr>
      <w:r>
        <w:rPr>
          <w:rFonts w:ascii="仿宋_GB2312" w:hAnsi="仿宋_GB2312" w:eastAsia="仿宋_GB2312"/>
          <w:b w:val="0"/>
          <w:sz w:val="32"/>
        </w:rPr>
        <w:t>三、《支出决算表》</w:t>
      </w:r>
    </w:p>
    <w:p w14:paraId="6367DFCD">
      <w:pPr>
        <w:spacing w:line="240" w:lineRule="auto"/>
        <w:ind w:firstLine="640"/>
        <w:jc w:val="both"/>
      </w:pPr>
      <w:r>
        <w:rPr>
          <w:rFonts w:ascii="仿宋_GB2312" w:hAnsi="仿宋_GB2312" w:eastAsia="仿宋_GB2312"/>
          <w:b w:val="0"/>
          <w:sz w:val="32"/>
        </w:rPr>
        <w:t>四、《财政拨款收入支出决算总表》</w:t>
      </w:r>
    </w:p>
    <w:p w14:paraId="702E33F2">
      <w:pPr>
        <w:spacing w:line="240" w:lineRule="auto"/>
        <w:ind w:firstLine="640"/>
        <w:jc w:val="both"/>
      </w:pPr>
      <w:r>
        <w:rPr>
          <w:rFonts w:ascii="仿宋_GB2312" w:hAnsi="仿宋_GB2312" w:eastAsia="仿宋_GB2312"/>
          <w:b w:val="0"/>
          <w:sz w:val="32"/>
        </w:rPr>
        <w:t>五、《一般公共预算财政拨款支出决算表》</w:t>
      </w:r>
    </w:p>
    <w:p w14:paraId="4CBC3827">
      <w:pPr>
        <w:spacing w:line="240" w:lineRule="auto"/>
        <w:ind w:firstLine="640"/>
        <w:jc w:val="both"/>
      </w:pPr>
      <w:r>
        <w:rPr>
          <w:rFonts w:ascii="仿宋_GB2312" w:hAnsi="仿宋_GB2312" w:eastAsia="仿宋_GB2312"/>
          <w:b w:val="0"/>
          <w:sz w:val="32"/>
        </w:rPr>
        <w:t>六、《一般公共预算财政拨款基本支出决算表》</w:t>
      </w:r>
    </w:p>
    <w:p w14:paraId="71A504DA">
      <w:pPr>
        <w:spacing w:line="240" w:lineRule="auto"/>
        <w:ind w:firstLine="640"/>
        <w:jc w:val="both"/>
      </w:pPr>
      <w:r>
        <w:rPr>
          <w:rFonts w:ascii="仿宋_GB2312" w:hAnsi="仿宋_GB2312" w:eastAsia="仿宋_GB2312"/>
          <w:b w:val="0"/>
          <w:sz w:val="32"/>
        </w:rPr>
        <w:t>七、《政府性基金预算财政拨款收入支出决算表》</w:t>
      </w:r>
    </w:p>
    <w:p w14:paraId="422EBEAF">
      <w:pPr>
        <w:spacing w:line="240" w:lineRule="auto"/>
        <w:ind w:firstLine="640"/>
        <w:jc w:val="both"/>
      </w:pPr>
      <w:r>
        <w:rPr>
          <w:rFonts w:ascii="仿宋_GB2312" w:hAnsi="仿宋_GB2312" w:eastAsia="仿宋_GB2312"/>
          <w:b w:val="0"/>
          <w:sz w:val="32"/>
        </w:rPr>
        <w:t>八、《国有资本经营预算财政拨款收入支出决算表》</w:t>
      </w:r>
    </w:p>
    <w:p w14:paraId="3CD13CC3">
      <w:pPr>
        <w:spacing w:line="240" w:lineRule="auto"/>
        <w:ind w:firstLine="640"/>
        <w:jc w:val="both"/>
      </w:pPr>
      <w:r>
        <w:rPr>
          <w:rFonts w:ascii="仿宋_GB2312" w:hAnsi="仿宋_GB2312" w:eastAsia="仿宋_GB2312"/>
          <w:b w:val="0"/>
          <w:sz w:val="32"/>
        </w:rPr>
        <w:t>九、《财政拨款“三公”经费支出决算表》</w:t>
      </w:r>
    </w:p>
    <w:p w14:paraId="4AFE135C">
      <w:pPr>
        <w:spacing w:line="240" w:lineRule="auto"/>
        <w:ind w:firstLine="640"/>
        <w:jc w:val="both"/>
      </w:pPr>
    </w:p>
    <w:p w14:paraId="4BE14026">
      <w:pPr>
        <w:spacing w:line="240" w:lineRule="auto"/>
        <w:ind w:firstLine="640"/>
        <w:jc w:val="both"/>
      </w:pPr>
    </w:p>
    <w:p w14:paraId="4D9FF591">
      <w:pPr>
        <w:spacing w:line="240" w:lineRule="auto"/>
        <w:ind w:firstLine="640"/>
        <w:jc w:val="both"/>
      </w:pPr>
    </w:p>
    <w:p w14:paraId="7079DD35">
      <w:pPr>
        <w:spacing w:line="240" w:lineRule="auto"/>
        <w:ind w:firstLine="640"/>
        <w:jc w:val="both"/>
      </w:pPr>
    </w:p>
    <w:p w14:paraId="66578E3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8722CE"/>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0F92FAB"/>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6167</Words>
  <Characters>6987</Characters>
  <Lines>0</Lines>
  <Paragraphs>0</Paragraphs>
  <TotalTime>37</TotalTime>
  <ScaleCrop>false</ScaleCrop>
  <LinksUpToDate>false</LinksUpToDate>
  <CharactersWithSpaces>6995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2025-09-16T08:04:38Z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