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中共疏附县委直属机关工作委员会2024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3C9B476">
      <w:r>
        <w:br w:type="page"/>
      </w:r>
    </w:p>
    <w:p w14:paraId="328C80C9">
      <w:pPr>
        <w:spacing w:line="640" w:lineRule="exact"/>
        <w:jc w:val="center"/>
        <w:outlineLvl w:val="1"/>
      </w:pPr>
      <w:r>
        <w:rPr>
          <w:rFonts w:ascii="黑体" w:hAnsi="黑体" w:eastAsia="黑体"/>
          <w:sz w:val="32"/>
        </w:rPr>
        <w:t>第一部分 单位概况</w:t>
      </w:r>
    </w:p>
    <w:p w14:paraId="2BFAB34B">
      <w:pPr>
        <w:spacing w:line="640" w:lineRule="exact"/>
        <w:ind w:firstLine="640"/>
        <w:jc w:val="both"/>
        <w:outlineLvl w:val="2"/>
      </w:pPr>
      <w:r>
        <w:rPr>
          <w:rFonts w:ascii="黑体" w:hAnsi="黑体" w:eastAsia="黑体"/>
          <w:sz w:val="32"/>
        </w:rPr>
        <w:t>一、主要职能</w:t>
      </w:r>
    </w:p>
    <w:p w14:paraId="2BA48575">
      <w:pPr>
        <w:spacing w:line="580" w:lineRule="exact"/>
        <w:ind w:firstLine="640"/>
        <w:jc w:val="both"/>
      </w:pPr>
      <w:r>
        <w:rPr>
          <w:rFonts w:ascii="仿宋_GB2312" w:hAnsi="仿宋_GB2312" w:eastAsia="仿宋_GB2312"/>
          <w:sz w:val="32"/>
        </w:rPr>
        <w:t>（一）统一组织、规划、部署县委直属机关党的工作、提出加强和改进机关党的建设的意见和建议，研究制定工作规划，并抓好组织实施。</w:t>
      </w:r>
    </w:p>
    <w:p w14:paraId="34901D94">
      <w:pPr>
        <w:spacing w:line="580" w:lineRule="exact"/>
        <w:ind w:firstLine="640"/>
        <w:jc w:val="both"/>
      </w:pPr>
      <w:r>
        <w:rPr>
          <w:rFonts w:ascii="仿宋_GB2312" w:hAnsi="仿宋_GB2312" w:eastAsia="仿宋_GB2312"/>
          <w:sz w:val="32"/>
        </w:rPr>
        <w:t>（二）指导督促县委直属机关所属党组织认真履行机关党建主体责任。指导县委直属机关各部门党的政治建设、思想建设、组织建设、作风建设、纪律建设，把制度建设贯穿其中，深入推进反腐败斗争。</w:t>
      </w:r>
    </w:p>
    <w:p w14:paraId="4F7076D2">
      <w:pPr>
        <w:spacing w:line="580" w:lineRule="exact"/>
        <w:ind w:firstLine="640"/>
        <w:jc w:val="both"/>
      </w:pPr>
      <w:r>
        <w:rPr>
          <w:rFonts w:ascii="仿宋_GB2312" w:hAnsi="仿宋_GB2312" w:eastAsia="仿宋_GB2312"/>
          <w:sz w:val="32"/>
        </w:rPr>
        <w:t>（三）指导县委直属机关所属党组织和广大党员学习马克思列宁主义、毛泽东思想、邓小平理论、“三个代表”重要思想、科学发展观、习近平新时代中国特色社会主义思想。聚焦总目标，做好思想政治教育工作，使党的路线、方针、政策变为党员干部的统一意志和自觉行动。</w:t>
      </w:r>
    </w:p>
    <w:p w14:paraId="0D204EAC">
      <w:pPr>
        <w:spacing w:line="580" w:lineRule="exact"/>
        <w:ind w:firstLine="640"/>
        <w:jc w:val="both"/>
      </w:pPr>
      <w:r>
        <w:rPr>
          <w:rFonts w:ascii="仿宋_GB2312" w:hAnsi="仿宋_GB2312" w:eastAsia="仿宋_GB2312"/>
          <w:sz w:val="32"/>
        </w:rPr>
        <w:t>（四）对县委直属机关所属党组织、党员领导干部落实党建责任制、遵守政治纪律和政治规矩情况进行督促检查，并及时向县委报告。</w:t>
      </w:r>
    </w:p>
    <w:p w14:paraId="7C4B57E7">
      <w:pPr>
        <w:spacing w:line="580" w:lineRule="exact"/>
        <w:ind w:firstLine="640"/>
        <w:jc w:val="both"/>
      </w:pPr>
      <w:r>
        <w:rPr>
          <w:rFonts w:ascii="仿宋_GB2312" w:hAnsi="仿宋_GB2312" w:eastAsia="仿宋_GB2312"/>
          <w:sz w:val="32"/>
        </w:rPr>
        <w:t>（五）指导县委直属机关所属党组织实施对党员特别是党员领导干部的监督和管理，了解掌握县委直属机关工作人员的思想状况，及时向县委反映各单位领导班子、领导干部情况。</w:t>
      </w:r>
    </w:p>
    <w:p w14:paraId="0F1084B8">
      <w:pPr>
        <w:spacing w:line="580" w:lineRule="exact"/>
        <w:ind w:firstLine="640"/>
        <w:jc w:val="both"/>
      </w:pPr>
      <w:r>
        <w:rPr>
          <w:rFonts w:ascii="仿宋_GB2312" w:hAnsi="仿宋_GB2312" w:eastAsia="仿宋_GB2312"/>
          <w:sz w:val="32"/>
        </w:rPr>
        <w:t>（六）配合县委有关部门抓好县委直属机关所属党组织领导班子思想政治建设，参与对党员干部组织生活会、</w:t>
      </w:r>
      <w:r>
        <w:rPr>
          <w:rFonts w:hint="eastAsia" w:ascii="仿宋_GB2312" w:hAnsi="仿宋_GB2312" w:eastAsia="仿宋_GB2312"/>
          <w:sz w:val="32"/>
          <w:lang w:eastAsia="zh-CN"/>
        </w:rPr>
        <w:t>民主评议党员</w:t>
      </w:r>
      <w:r>
        <w:rPr>
          <w:rFonts w:ascii="仿宋_GB2312" w:hAnsi="仿宋_GB2312" w:eastAsia="仿宋_GB2312"/>
          <w:sz w:val="32"/>
        </w:rPr>
        <w:t>、“三会一课”和党组理论学习中心组学习的督促检查和指导，了解掌握情况，按规定报送情况报告。</w:t>
      </w:r>
    </w:p>
    <w:p w14:paraId="20619134">
      <w:pPr>
        <w:spacing w:line="580" w:lineRule="exact"/>
        <w:ind w:firstLine="640"/>
        <w:jc w:val="both"/>
      </w:pPr>
      <w:r>
        <w:rPr>
          <w:rFonts w:ascii="仿宋_GB2312" w:hAnsi="仿宋_GB2312" w:eastAsia="仿宋_GB2312"/>
          <w:sz w:val="32"/>
        </w:rPr>
        <w:t>（七）督促指导县委直属机关工委所属党组织按期换届，指导督促做好所属党组织领导班子成员的配备。</w:t>
      </w:r>
    </w:p>
    <w:p w14:paraId="437A0812">
      <w:pPr>
        <w:spacing w:line="580" w:lineRule="exact"/>
        <w:ind w:firstLine="640"/>
        <w:jc w:val="both"/>
      </w:pPr>
      <w:r>
        <w:rPr>
          <w:rFonts w:ascii="仿宋_GB2312" w:hAnsi="仿宋_GB2312" w:eastAsia="仿宋_GB2312"/>
          <w:sz w:val="32"/>
        </w:rPr>
        <w:t>（八）指导县委直属机关工委所属党组织做好党员发展，党员教育、管理和党费收缴、组织关系转接工作。</w:t>
      </w:r>
    </w:p>
    <w:p w14:paraId="2CB837C0">
      <w:pPr>
        <w:spacing w:line="580" w:lineRule="exact"/>
        <w:ind w:firstLine="640"/>
        <w:jc w:val="both"/>
      </w:pPr>
      <w:r>
        <w:rPr>
          <w:rFonts w:ascii="仿宋_GB2312" w:hAnsi="仿宋_GB2312" w:eastAsia="仿宋_GB2312"/>
          <w:sz w:val="32"/>
        </w:rPr>
        <w:t>（九）督促指导县委直属机关各部门机关党的纪律检查工作。</w:t>
      </w:r>
    </w:p>
    <w:p w14:paraId="0E660819">
      <w:pPr>
        <w:spacing w:line="580" w:lineRule="exact"/>
        <w:ind w:firstLine="640"/>
        <w:jc w:val="both"/>
      </w:pPr>
      <w:r>
        <w:rPr>
          <w:rFonts w:ascii="仿宋_GB2312" w:hAnsi="仿宋_GB2312" w:eastAsia="仿宋_GB2312"/>
          <w:sz w:val="32"/>
        </w:rPr>
        <w:t>（十）协同有关部门指导、规划、协调、监督、检查县委直属机关干部教育培训工作，培训轮训县委直属机关党员干部、党务干部及党员发展对象。</w:t>
      </w:r>
    </w:p>
    <w:p w14:paraId="72B4902C">
      <w:pPr>
        <w:spacing w:line="580" w:lineRule="exact"/>
        <w:ind w:firstLine="640"/>
        <w:jc w:val="both"/>
      </w:pPr>
      <w:r>
        <w:rPr>
          <w:rFonts w:ascii="仿宋_GB2312" w:hAnsi="仿宋_GB2312" w:eastAsia="仿宋_GB2312"/>
          <w:sz w:val="32"/>
        </w:rPr>
        <w:t>（十一）指导县委直属机关所属党组织加强退休党员的教育、管理、服务工作。</w:t>
      </w:r>
    </w:p>
    <w:p w14:paraId="084B88B8">
      <w:pPr>
        <w:spacing w:line="580" w:lineRule="exact"/>
        <w:ind w:firstLine="640"/>
        <w:jc w:val="both"/>
      </w:pPr>
      <w:r>
        <w:rPr>
          <w:rFonts w:ascii="仿宋_GB2312" w:hAnsi="仿宋_GB2312" w:eastAsia="仿宋_GB2312"/>
          <w:sz w:val="32"/>
        </w:rPr>
        <w:t>（十二）完成县委交办的其他任务。</w:t>
      </w:r>
    </w:p>
    <w:p w14:paraId="7C4778EC">
      <w:pPr>
        <w:spacing w:line="640" w:lineRule="exact"/>
        <w:ind w:firstLine="640"/>
        <w:jc w:val="both"/>
        <w:outlineLvl w:val="2"/>
      </w:pPr>
      <w:r>
        <w:rPr>
          <w:rFonts w:ascii="黑体" w:hAnsi="黑体" w:eastAsia="黑体"/>
          <w:sz w:val="32"/>
        </w:rPr>
        <w:t>二、机构设置及人员情况</w:t>
      </w:r>
    </w:p>
    <w:p w14:paraId="3C8AE467">
      <w:pPr>
        <w:spacing w:line="580" w:lineRule="exact"/>
        <w:ind w:firstLine="640"/>
        <w:jc w:val="both"/>
      </w:pPr>
      <w:r>
        <w:rPr>
          <w:rFonts w:ascii="仿宋_GB2312" w:hAnsi="仿宋_GB2312" w:eastAsia="仿宋_GB2312"/>
          <w:sz w:val="32"/>
        </w:rPr>
        <w:t>中共疏附县委直属机关工作委员会2024年度，实有人数6人，其中：在职人员5人，增加0人；离休人员0人，增加0人；退休人员1人,增加0人。</w:t>
      </w:r>
    </w:p>
    <w:p w14:paraId="0F9D7A70">
      <w:pPr>
        <w:spacing w:line="580" w:lineRule="exact"/>
        <w:ind w:firstLine="640"/>
        <w:jc w:val="both"/>
      </w:pPr>
      <w:r>
        <w:rPr>
          <w:rFonts w:ascii="仿宋_GB2312" w:hAnsi="仿宋_GB2312" w:eastAsia="仿宋_GB2312"/>
          <w:sz w:val="32"/>
        </w:rPr>
        <w:t>中共疏附县委直属机关工作委员会无下属预算单位，下设1个科室，分别是：办公室。</w:t>
      </w:r>
    </w:p>
    <w:p w14:paraId="3E33B83C">
      <w:r>
        <w:br w:type="page"/>
      </w:r>
    </w:p>
    <w:p w14:paraId="2B203C27">
      <w:pPr>
        <w:spacing w:line="240" w:lineRule="auto"/>
        <w:jc w:val="center"/>
        <w:outlineLvl w:val="1"/>
      </w:pPr>
      <w:r>
        <w:rPr>
          <w:rFonts w:ascii="黑体" w:hAnsi="黑体" w:eastAsia="黑体"/>
          <w:sz w:val="32"/>
        </w:rPr>
        <w:t>第二部分 部门决算情况说明</w:t>
      </w:r>
    </w:p>
    <w:p w14:paraId="49C2D298">
      <w:pPr>
        <w:spacing w:line="640" w:lineRule="exact"/>
        <w:ind w:firstLine="640"/>
        <w:jc w:val="both"/>
        <w:outlineLvl w:val="2"/>
      </w:pPr>
      <w:r>
        <w:rPr>
          <w:rFonts w:ascii="黑体" w:hAnsi="黑体" w:eastAsia="黑体"/>
          <w:sz w:val="32"/>
        </w:rPr>
        <w:t>一、收入支出决算总体情况说明</w:t>
      </w:r>
    </w:p>
    <w:p w14:paraId="05BA35B9">
      <w:pPr>
        <w:spacing w:line="580" w:lineRule="exact"/>
        <w:ind w:firstLine="640"/>
        <w:jc w:val="both"/>
      </w:pPr>
      <w:r>
        <w:rPr>
          <w:rFonts w:ascii="仿宋_GB2312" w:hAnsi="仿宋_GB2312" w:eastAsia="仿宋_GB2312"/>
          <w:b/>
          <w:sz w:val="32"/>
        </w:rPr>
        <w:t>2024年度收入总计109.00万元，</w:t>
      </w:r>
      <w:r>
        <w:rPr>
          <w:rFonts w:ascii="仿宋_GB2312" w:hAnsi="仿宋_GB2312" w:eastAsia="仿宋_GB2312"/>
          <w:b w:val="0"/>
          <w:sz w:val="32"/>
        </w:rPr>
        <w:t>其中：本年收入合计109.00万元，使用非财政拨款结余（含专用结余）0.00万元，年初结转和结余0.00万元。</w:t>
      </w:r>
    </w:p>
    <w:p w14:paraId="41674907">
      <w:pPr>
        <w:spacing w:line="580" w:lineRule="exact"/>
        <w:ind w:firstLine="640"/>
        <w:jc w:val="both"/>
      </w:pPr>
      <w:r>
        <w:rPr>
          <w:rFonts w:ascii="仿宋_GB2312" w:hAnsi="仿宋_GB2312" w:eastAsia="仿宋_GB2312"/>
          <w:b/>
          <w:sz w:val="32"/>
        </w:rPr>
        <w:t>2024年度支出总计109.00万元，</w:t>
      </w:r>
      <w:r>
        <w:rPr>
          <w:rFonts w:ascii="仿宋_GB2312" w:hAnsi="仿宋_GB2312" w:eastAsia="仿宋_GB2312"/>
          <w:b w:val="0"/>
          <w:sz w:val="32"/>
        </w:rPr>
        <w:t>其中：本年支出合计109.00万元，结余分配0.00万元，年末结转和结余0.00万元。</w:t>
      </w:r>
    </w:p>
    <w:p w14:paraId="2B89E5AF">
      <w:pPr>
        <w:spacing w:line="580" w:lineRule="exact"/>
        <w:ind w:firstLine="640"/>
        <w:jc w:val="both"/>
      </w:pPr>
      <w:r>
        <w:rPr>
          <w:rFonts w:ascii="仿宋_GB2312" w:hAnsi="仿宋_GB2312" w:eastAsia="仿宋_GB2312"/>
          <w:b w:val="0"/>
          <w:sz w:val="32"/>
        </w:rPr>
        <w:t>收入支出总体与上年相比，增加23.62万元，增长27.66%，主要原因是：本年在职人员工资调增，社保、公积金基数调增，人员经费增加，增加疏附县技术人才及基层骨干素质提升项目资金。</w:t>
      </w:r>
    </w:p>
    <w:p w14:paraId="7066229A">
      <w:pPr>
        <w:spacing w:line="640" w:lineRule="exact"/>
        <w:ind w:firstLine="640"/>
        <w:jc w:val="both"/>
        <w:outlineLvl w:val="2"/>
      </w:pPr>
      <w:r>
        <w:rPr>
          <w:rFonts w:ascii="黑体" w:hAnsi="黑体" w:eastAsia="黑体"/>
          <w:sz w:val="32"/>
        </w:rPr>
        <w:t>二、收入决算情况说明</w:t>
      </w:r>
    </w:p>
    <w:p w14:paraId="17A95C17">
      <w:pPr>
        <w:spacing w:line="580" w:lineRule="exact"/>
        <w:ind w:firstLine="640"/>
        <w:jc w:val="both"/>
      </w:pPr>
      <w:r>
        <w:rPr>
          <w:rFonts w:ascii="仿宋_GB2312" w:hAnsi="仿宋_GB2312" w:eastAsia="仿宋_GB2312"/>
          <w:b/>
          <w:sz w:val="32"/>
        </w:rPr>
        <w:t>本年收入109.00万元，</w:t>
      </w:r>
      <w:r>
        <w:rPr>
          <w:rFonts w:ascii="仿宋_GB2312" w:hAnsi="仿宋_GB2312" w:eastAsia="仿宋_GB2312"/>
          <w:b w:val="0"/>
          <w:sz w:val="32"/>
        </w:rPr>
        <w:t>其中：财政拨款收入109.00万元，占100.00%；上级补助收入0.00万元，占0.00%；事业收入0.00万元，占0.00%；经营收入0.00万元，占0.00%；附属单位上缴收入0.00万元，占0.00%；其他收入0.00万元，占0.00%。</w:t>
      </w:r>
    </w:p>
    <w:p w14:paraId="47ADBC29">
      <w:pPr>
        <w:spacing w:line="640" w:lineRule="exact"/>
        <w:ind w:firstLine="640"/>
        <w:jc w:val="both"/>
        <w:outlineLvl w:val="2"/>
      </w:pPr>
      <w:r>
        <w:rPr>
          <w:rFonts w:ascii="黑体" w:hAnsi="黑体" w:eastAsia="黑体"/>
          <w:sz w:val="32"/>
        </w:rPr>
        <w:t>三、支出决算情况说明</w:t>
      </w:r>
    </w:p>
    <w:p w14:paraId="506F83D7">
      <w:pPr>
        <w:spacing w:line="580" w:lineRule="exact"/>
        <w:ind w:firstLine="640"/>
        <w:jc w:val="both"/>
      </w:pPr>
      <w:r>
        <w:rPr>
          <w:rFonts w:ascii="仿宋_GB2312" w:hAnsi="仿宋_GB2312" w:eastAsia="仿宋_GB2312"/>
          <w:b/>
          <w:sz w:val="32"/>
        </w:rPr>
        <w:t>本年支出109.00万元，</w:t>
      </w:r>
      <w:r>
        <w:rPr>
          <w:rFonts w:ascii="仿宋_GB2312" w:hAnsi="仿宋_GB2312" w:eastAsia="仿宋_GB2312"/>
          <w:b w:val="0"/>
          <w:sz w:val="32"/>
        </w:rPr>
        <w:t>其中：基本支出107.00万元，占98.17%；项目支出2.00万元，占1.83%；上缴上级支出0.00万元，占0.00%；经营支出0.00万元，占0.00%；对附属单位补助支出0.00万元，占0.00%。</w:t>
      </w:r>
    </w:p>
    <w:p w14:paraId="56B1DEBF">
      <w:pPr>
        <w:spacing w:line="640" w:lineRule="exact"/>
        <w:ind w:firstLine="640"/>
        <w:jc w:val="both"/>
        <w:outlineLvl w:val="2"/>
      </w:pPr>
      <w:r>
        <w:rPr>
          <w:rFonts w:ascii="黑体" w:hAnsi="黑体" w:eastAsia="黑体"/>
          <w:sz w:val="32"/>
        </w:rPr>
        <w:t>四、财政拨款收入支出决算总体情况说明</w:t>
      </w:r>
    </w:p>
    <w:p w14:paraId="04A67748">
      <w:pPr>
        <w:spacing w:line="580" w:lineRule="exact"/>
        <w:ind w:firstLine="640"/>
        <w:jc w:val="both"/>
      </w:pPr>
      <w:r>
        <w:rPr>
          <w:rFonts w:ascii="仿宋_GB2312" w:hAnsi="仿宋_GB2312" w:eastAsia="仿宋_GB2312"/>
          <w:b/>
          <w:sz w:val="32"/>
        </w:rPr>
        <w:t>2024年度财政拨款收入总计109.00万元，</w:t>
      </w:r>
      <w:r>
        <w:rPr>
          <w:rFonts w:ascii="仿宋_GB2312" w:hAnsi="仿宋_GB2312" w:eastAsia="仿宋_GB2312"/>
          <w:b w:val="0"/>
          <w:sz w:val="32"/>
        </w:rPr>
        <w:t>其中：年初财政拨款结转和结余0.00万元，本年财政拨款收入109.00万元。</w:t>
      </w:r>
      <w:r>
        <w:rPr>
          <w:rFonts w:ascii="仿宋_GB2312" w:hAnsi="仿宋_GB2312" w:eastAsia="仿宋_GB2312"/>
          <w:b/>
          <w:sz w:val="32"/>
        </w:rPr>
        <w:t>财政拨款支出总计109.00万元，</w:t>
      </w:r>
      <w:r>
        <w:rPr>
          <w:rFonts w:ascii="仿宋_GB2312" w:hAnsi="仿宋_GB2312" w:eastAsia="仿宋_GB2312"/>
          <w:b w:val="0"/>
          <w:sz w:val="32"/>
        </w:rPr>
        <w:t>其中：年末财政拨款结转和结余0.00万元，本年财政拨款支出109.00万元。</w:t>
      </w:r>
    </w:p>
    <w:p w14:paraId="40861D0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增加23.62万元，增长27.66%，主要原因是：本年在职人员工资调增，社保、公积金基数调增，人员经费增加，增加疏附县技术人才及基层骨干素质提升项目资金。</w:t>
      </w:r>
      <w:r>
        <w:rPr>
          <w:rFonts w:ascii="仿宋_GB2312" w:hAnsi="仿宋_GB2312" w:eastAsia="仿宋_GB2312"/>
          <w:b/>
          <w:sz w:val="32"/>
        </w:rPr>
        <w:t>与年初预算相比，</w:t>
      </w:r>
      <w:r>
        <w:rPr>
          <w:rFonts w:ascii="仿宋_GB2312" w:hAnsi="仿宋_GB2312" w:eastAsia="仿宋_GB2312"/>
          <w:b w:val="0"/>
          <w:sz w:val="32"/>
        </w:rPr>
        <w:t>年初预算数108.97万元，决算数109.00万元，预决算差异率0.03%，主要原因是：年中追加人员工资、社保、公积金基数调增部分资金，导致预决算存在差异。</w:t>
      </w:r>
    </w:p>
    <w:p w14:paraId="6C19F2FE">
      <w:pPr>
        <w:spacing w:line="640" w:lineRule="exact"/>
        <w:ind w:firstLine="640"/>
        <w:jc w:val="both"/>
        <w:outlineLvl w:val="2"/>
      </w:pPr>
      <w:r>
        <w:rPr>
          <w:rFonts w:ascii="黑体" w:hAnsi="黑体" w:eastAsia="黑体"/>
          <w:sz w:val="32"/>
        </w:rPr>
        <w:t>五、一般公共预算财政拨款支出决算情况说明</w:t>
      </w:r>
    </w:p>
    <w:p w14:paraId="79B9FCD1">
      <w:pPr>
        <w:spacing w:line="640" w:lineRule="exact"/>
        <w:ind w:firstLine="640"/>
        <w:jc w:val="both"/>
        <w:outlineLvl w:val="3"/>
      </w:pPr>
      <w:r>
        <w:rPr>
          <w:rFonts w:ascii="楷体_GB2312" w:hAnsi="楷体_GB2312" w:eastAsia="楷体_GB2312"/>
          <w:b/>
          <w:sz w:val="32"/>
        </w:rPr>
        <w:t>（一）一般公共预算财政拨款支出决算总体情况</w:t>
      </w:r>
    </w:p>
    <w:p w14:paraId="24200DD4">
      <w:pPr>
        <w:spacing w:line="580" w:lineRule="exact"/>
        <w:ind w:firstLine="640"/>
        <w:jc w:val="both"/>
      </w:pPr>
      <w:r>
        <w:rPr>
          <w:rFonts w:ascii="仿宋_GB2312" w:hAnsi="仿宋_GB2312" w:eastAsia="仿宋_GB2312"/>
          <w:b/>
          <w:sz w:val="32"/>
        </w:rPr>
        <w:t>2024年度一般公共预算财政拨款支出109.00万元，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增加23.62万元，增长27.66%，主要原因是：本年在职人员工资调增，社保、公积金基数调增，人员经费增加，增加疏附县技术人才及基层骨干素质提升项目资金。</w:t>
      </w:r>
      <w:r>
        <w:rPr>
          <w:rFonts w:ascii="仿宋_GB2312" w:hAnsi="仿宋_GB2312" w:eastAsia="仿宋_GB2312"/>
          <w:b/>
          <w:sz w:val="32"/>
        </w:rPr>
        <w:t>与年初预算相比,</w:t>
      </w:r>
      <w:r>
        <w:rPr>
          <w:rFonts w:ascii="仿宋_GB2312" w:hAnsi="仿宋_GB2312" w:eastAsia="仿宋_GB2312"/>
          <w:b w:val="0"/>
          <w:sz w:val="32"/>
        </w:rPr>
        <w:t>年初预算数108.97万元，决算数109.00万元，预决算差异率0.03%，主要原因是：年中追加人员工资、社保、公积金基数调增部分资金，导致预决算存在差异。</w:t>
      </w:r>
    </w:p>
    <w:p w14:paraId="57105C4B">
      <w:pPr>
        <w:spacing w:line="640" w:lineRule="exact"/>
        <w:ind w:firstLine="640"/>
        <w:jc w:val="both"/>
        <w:outlineLvl w:val="3"/>
      </w:pPr>
      <w:r>
        <w:rPr>
          <w:rFonts w:ascii="楷体_GB2312" w:hAnsi="楷体_GB2312" w:eastAsia="楷体_GB2312"/>
          <w:b/>
          <w:sz w:val="32"/>
        </w:rPr>
        <w:t>（二）一般公共预算财政拨款支出决算结构情况</w:t>
      </w:r>
    </w:p>
    <w:p w14:paraId="7A0D71E4">
      <w:pPr>
        <w:spacing w:line="580" w:lineRule="exact"/>
        <w:ind w:firstLine="640"/>
        <w:jc w:val="both"/>
      </w:pPr>
      <w:r>
        <w:rPr>
          <w:rFonts w:ascii="仿宋_GB2312" w:hAnsi="仿宋_GB2312" w:eastAsia="仿宋_GB2312"/>
          <w:b w:val="0"/>
          <w:sz w:val="32"/>
        </w:rPr>
        <w:t>1.一般公共服务支出(类)87.38万元,占80.17%。</w:t>
      </w:r>
    </w:p>
    <w:p w14:paraId="7FECA833">
      <w:pPr>
        <w:spacing w:line="580" w:lineRule="exact"/>
        <w:ind w:firstLine="640"/>
        <w:jc w:val="both"/>
      </w:pPr>
      <w:r>
        <w:rPr>
          <w:rFonts w:ascii="仿宋_GB2312" w:hAnsi="仿宋_GB2312" w:eastAsia="仿宋_GB2312"/>
          <w:b w:val="0"/>
          <w:sz w:val="32"/>
        </w:rPr>
        <w:t>2.社会保障和就业支出(类)10.14万元,占9.30%。</w:t>
      </w:r>
    </w:p>
    <w:p w14:paraId="253B035C">
      <w:pPr>
        <w:spacing w:line="580" w:lineRule="exact"/>
        <w:ind w:firstLine="640"/>
        <w:jc w:val="both"/>
      </w:pPr>
      <w:r>
        <w:rPr>
          <w:rFonts w:ascii="仿宋_GB2312" w:hAnsi="仿宋_GB2312" w:eastAsia="仿宋_GB2312"/>
          <w:b w:val="0"/>
          <w:sz w:val="32"/>
        </w:rPr>
        <w:t>3.卫生健康支出(类)4.69万元,占4.30%。</w:t>
      </w:r>
    </w:p>
    <w:p w14:paraId="696125E4">
      <w:pPr>
        <w:spacing w:line="580" w:lineRule="exact"/>
        <w:ind w:firstLine="640"/>
        <w:jc w:val="both"/>
      </w:pPr>
      <w:r>
        <w:rPr>
          <w:rFonts w:ascii="仿宋_GB2312" w:hAnsi="仿宋_GB2312" w:eastAsia="仿宋_GB2312"/>
          <w:b w:val="0"/>
          <w:sz w:val="32"/>
        </w:rPr>
        <w:t>4.住房保障支出(类)6.79万元,占6.23%。</w:t>
      </w:r>
    </w:p>
    <w:p w14:paraId="100F7DAD">
      <w:pPr>
        <w:spacing w:line="640" w:lineRule="exact"/>
        <w:ind w:firstLine="640"/>
        <w:jc w:val="both"/>
        <w:outlineLvl w:val="3"/>
      </w:pPr>
      <w:r>
        <w:rPr>
          <w:rFonts w:ascii="楷体_GB2312" w:hAnsi="楷体_GB2312" w:eastAsia="楷体_GB2312"/>
          <w:b/>
          <w:sz w:val="32"/>
        </w:rPr>
        <w:t>（三）一般公共预算财政拨款支出决算具体情况</w:t>
      </w:r>
    </w:p>
    <w:p w14:paraId="6B9DC742">
      <w:pPr>
        <w:spacing w:line="580" w:lineRule="exact"/>
        <w:ind w:firstLine="640"/>
        <w:jc w:val="both"/>
      </w:pPr>
      <w:r>
        <w:rPr>
          <w:rFonts w:ascii="仿宋_GB2312" w:hAnsi="仿宋_GB2312" w:eastAsia="仿宋_GB2312"/>
          <w:b w:val="0"/>
          <w:sz w:val="32"/>
        </w:rPr>
        <w:t>1.一般公共服务支出(类)党委办公厅（室）及相关机构事务(款)行政运行(项):支出决算数为85.38万元，比上年决算增加19.36万元，增长29.32%,主要原因是：本年在职人员工资调增，导致相关人员经费较上年有所增加。</w:t>
      </w:r>
    </w:p>
    <w:p w14:paraId="79196469">
      <w:pPr>
        <w:spacing w:line="580" w:lineRule="exact"/>
        <w:ind w:firstLine="640"/>
        <w:jc w:val="both"/>
      </w:pPr>
      <w:r>
        <w:rPr>
          <w:rFonts w:ascii="仿宋_GB2312" w:hAnsi="仿宋_GB2312" w:eastAsia="仿宋_GB2312"/>
          <w:b w:val="0"/>
          <w:sz w:val="32"/>
        </w:rPr>
        <w:t>2.一般公共服务支出(类)党委办公厅（室）及相关机构事务(款)一般行政管理事务(项):支出决算数为2.00万元，比上年决算增加2.00万元，增长100.00%,主要原因是：本年增加疏附县技术人才及基层骨干素质提升项目资金。</w:t>
      </w:r>
    </w:p>
    <w:p w14:paraId="525EA9C0">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3.社会保障和就业支出(类)行政事业单位养老支出(款)行政单位离退休(项):支出决算数为1.61万元，比上年决算增加0.41万元，增长34.17%,主要原因是：本年增加退休人员基础绩效奖，退休费支出增加。</w:t>
      </w:r>
    </w:p>
    <w:p w14:paraId="4F2A0BF8">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8.53万元，比上年决算增加1.31万元，增长18.14%,主要原因是：本年在职人员工资基数调增，养老缴费基数上涨，相应支出增加。</w:t>
      </w:r>
    </w:p>
    <w:p w14:paraId="3865CF30">
      <w:pPr>
        <w:spacing w:line="580" w:lineRule="exact"/>
        <w:ind w:firstLine="640"/>
        <w:jc w:val="both"/>
      </w:pPr>
      <w:r>
        <w:rPr>
          <w:rFonts w:ascii="仿宋_GB2312" w:hAnsi="仿宋_GB2312" w:eastAsia="仿宋_GB2312"/>
          <w:b w:val="0"/>
          <w:sz w:val="32"/>
        </w:rPr>
        <w:t>5.卫生健康支出(类)行政事业单位医疗(款)行政单位医疗(项):支出决算数为3.63万元，比上年决算增加0.13万元，增长3.71%,主要原因是：本年在职人员工资基数调增，医疗缴费基数上涨，相应支出增加。</w:t>
      </w:r>
    </w:p>
    <w:p w14:paraId="4A1EEF36">
      <w:pPr>
        <w:spacing w:line="580" w:lineRule="exact"/>
        <w:ind w:firstLine="640"/>
        <w:jc w:val="both"/>
      </w:pPr>
      <w:r>
        <w:rPr>
          <w:rFonts w:ascii="仿宋_GB2312" w:hAnsi="仿宋_GB2312" w:eastAsia="仿宋_GB2312"/>
          <w:b w:val="0"/>
          <w:sz w:val="32"/>
        </w:rPr>
        <w:t>6.卫生健康支出(类)行政事业单位医疗(款)公务员医疗补助(项):支出决算数为1.07万元，比上年决算增加0.02万元，增长1.90%,主要原因是：本年在职人员工资基数调增，医疗缴费基数上涨，相应支出增加。</w:t>
      </w:r>
    </w:p>
    <w:p w14:paraId="1E77E3AB">
      <w:pPr>
        <w:spacing w:line="580" w:lineRule="exact"/>
        <w:ind w:firstLine="640"/>
        <w:jc w:val="both"/>
      </w:pPr>
      <w:r>
        <w:rPr>
          <w:rFonts w:ascii="仿宋_GB2312" w:hAnsi="仿宋_GB2312" w:eastAsia="仿宋_GB2312"/>
          <w:b w:val="0"/>
          <w:sz w:val="32"/>
        </w:rPr>
        <w:t>7.住房保障支出(类)住房改革支出(款)住房公积金(项):支出决算数为6.79万元，比上年决算增加0.39万元，增长6.09%,主要原因是：本年在职人员工资基数调增，公积金缴费基数上涨，相应支出增加。</w:t>
      </w:r>
    </w:p>
    <w:p w14:paraId="126D4DED">
      <w:pPr>
        <w:spacing w:line="640" w:lineRule="exact"/>
        <w:ind w:firstLine="640"/>
        <w:jc w:val="both"/>
        <w:outlineLvl w:val="2"/>
      </w:pPr>
      <w:r>
        <w:rPr>
          <w:rFonts w:ascii="黑体" w:hAnsi="黑体" w:eastAsia="黑体"/>
          <w:sz w:val="32"/>
        </w:rPr>
        <w:t>六、一般公共预算财政拨款基本支出决算情况说明</w:t>
      </w:r>
    </w:p>
    <w:p w14:paraId="0FC0701F">
      <w:pPr>
        <w:spacing w:line="580" w:lineRule="exact"/>
        <w:ind w:firstLine="640"/>
        <w:jc w:val="both"/>
      </w:pPr>
      <w:r>
        <w:rPr>
          <w:rFonts w:ascii="仿宋_GB2312" w:hAnsi="仿宋_GB2312" w:eastAsia="仿宋_GB2312"/>
          <w:b w:val="0"/>
          <w:sz w:val="32"/>
        </w:rPr>
        <w:t>2024年度一般公共预算财政拨款基本支出107.00万元，其中：</w:t>
      </w:r>
      <w:r>
        <w:rPr>
          <w:rFonts w:ascii="仿宋_GB2312" w:hAnsi="仿宋_GB2312" w:eastAsia="仿宋_GB2312"/>
          <w:b/>
          <w:sz w:val="32"/>
        </w:rPr>
        <w:t>人员经费104.05万元，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w:t>
      </w:r>
    </w:p>
    <w:p w14:paraId="44DBD4E7">
      <w:pPr>
        <w:spacing w:line="580" w:lineRule="exact"/>
        <w:ind w:firstLine="640"/>
        <w:jc w:val="both"/>
      </w:pPr>
      <w:r>
        <w:rPr>
          <w:rFonts w:ascii="仿宋_GB2312" w:hAnsi="仿宋_GB2312" w:eastAsia="仿宋_GB2312"/>
          <w:b/>
          <w:sz w:val="32"/>
        </w:rPr>
        <w:t>公用经费2.95万元，</w:t>
      </w:r>
      <w:r>
        <w:rPr>
          <w:rFonts w:ascii="仿宋_GB2312" w:hAnsi="仿宋_GB2312" w:eastAsia="仿宋_GB2312"/>
          <w:b w:val="0"/>
          <w:sz w:val="32"/>
        </w:rPr>
        <w:t>包括：办公费、邮电费、差旅费、公务用车运行维护费。</w:t>
      </w:r>
    </w:p>
    <w:p w14:paraId="6279B226">
      <w:pPr>
        <w:spacing w:line="640" w:lineRule="exact"/>
        <w:ind w:firstLine="640"/>
        <w:jc w:val="both"/>
        <w:outlineLvl w:val="2"/>
      </w:pPr>
      <w:r>
        <w:rPr>
          <w:rFonts w:ascii="黑体" w:hAnsi="黑体" w:eastAsia="黑体"/>
          <w:sz w:val="32"/>
        </w:rPr>
        <w:t>七、政府性基金预算财政拨款收入支出决算情况说明</w:t>
      </w:r>
    </w:p>
    <w:p w14:paraId="188267B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053946F">
      <w:pPr>
        <w:spacing w:line="640" w:lineRule="exact"/>
        <w:ind w:firstLine="640"/>
        <w:jc w:val="both"/>
        <w:outlineLvl w:val="2"/>
      </w:pPr>
      <w:r>
        <w:rPr>
          <w:rFonts w:ascii="黑体" w:hAnsi="黑体" w:eastAsia="黑体"/>
          <w:sz w:val="32"/>
        </w:rPr>
        <w:t>八、国有资本经营预算财政拨款收入支出决算情况说明</w:t>
      </w:r>
    </w:p>
    <w:p w14:paraId="0836505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90A8169">
      <w:pPr>
        <w:spacing w:line="640" w:lineRule="exact"/>
        <w:ind w:firstLine="640"/>
        <w:jc w:val="both"/>
        <w:outlineLvl w:val="2"/>
      </w:pPr>
      <w:r>
        <w:rPr>
          <w:rFonts w:ascii="黑体" w:hAnsi="黑体" w:eastAsia="黑体"/>
          <w:sz w:val="32"/>
        </w:rPr>
        <w:t>九、财政拨款“三公”经费支出决算情况说明</w:t>
      </w:r>
    </w:p>
    <w:p w14:paraId="00971B18">
      <w:pPr>
        <w:spacing w:line="580" w:lineRule="exact"/>
        <w:ind w:firstLine="640"/>
        <w:jc w:val="both"/>
      </w:pPr>
      <w:r>
        <w:rPr>
          <w:rFonts w:ascii="仿宋_GB2312" w:hAnsi="仿宋_GB2312" w:eastAsia="仿宋_GB2312"/>
          <w:b/>
          <w:sz w:val="32"/>
        </w:rPr>
        <w:t>2024年度财政拨款“三公”经费支出1.20万元，</w:t>
      </w:r>
      <w:r>
        <w:rPr>
          <w:rFonts w:ascii="仿宋_GB2312" w:hAnsi="仿宋_GB2312" w:eastAsia="仿宋_GB2312"/>
          <w:b w:val="0"/>
          <w:sz w:val="32"/>
        </w:rPr>
        <w:t>比上年增加0.59万元，增长96.72%，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1.20万元，占100.00%，比上年增加0.59万元，增长96.72%，主要原因是：本年因业务需求，用车次数增加，燃油费增加，导致公务用车运行维护费较上年增加。公务接待费支出0.00万元，占0.00%，比上年增加0.00万元，增长0.00%，主要原因是：2023年与2024年均未安排公务接待费支出。</w:t>
      </w:r>
    </w:p>
    <w:p w14:paraId="0FC30F8A">
      <w:pPr>
        <w:spacing w:line="580" w:lineRule="exact"/>
        <w:ind w:firstLine="640"/>
        <w:jc w:val="both"/>
      </w:pPr>
      <w:r>
        <w:rPr>
          <w:rFonts w:ascii="仿宋_GB2312" w:hAnsi="仿宋_GB2312" w:eastAsia="仿宋_GB2312"/>
          <w:b/>
          <w:sz w:val="32"/>
        </w:rPr>
        <w:t>具体情况如下：</w:t>
      </w:r>
    </w:p>
    <w:p w14:paraId="694ABDC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BC4870C">
      <w:pPr>
        <w:spacing w:line="580" w:lineRule="exact"/>
        <w:ind w:firstLine="640"/>
        <w:jc w:val="both"/>
      </w:pPr>
      <w:r>
        <w:rPr>
          <w:rFonts w:ascii="仿宋_GB2312" w:hAnsi="仿宋_GB2312" w:eastAsia="仿宋_GB2312"/>
          <w:b w:val="0"/>
          <w:sz w:val="32"/>
        </w:rPr>
        <w:t>公务用车购置及运行维护费1.20万元，其中：公务用车购置费0.00万元，公务用车运行维护费1.20万元。公务用车运行维护费开支内容包括车辆加油费、维修费。公务用车购置数0辆，公务用车保有量1辆。国有资产占用情况中固定资产车辆0辆，与公务用车保有量差异原因是：借用其他单位车辆，车辆费用由本单位支付。</w:t>
      </w:r>
    </w:p>
    <w:p w14:paraId="61F745B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B2920D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1.20万元，决算数1.20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1.20万元，决算数1.20万元，预决算差异率0.00%，主要原因是：严格按照预算执行，预决算无差异。公务接待费全年预算数0.00万元，决算数0.00万元，预决算差异率0.00%，主要原因是：本单位无公务接待费。</w:t>
      </w:r>
    </w:p>
    <w:p w14:paraId="4EAECF92">
      <w:pPr>
        <w:spacing w:line="640" w:lineRule="exact"/>
        <w:ind w:firstLine="640"/>
        <w:jc w:val="both"/>
        <w:outlineLvl w:val="2"/>
      </w:pPr>
      <w:r>
        <w:rPr>
          <w:rFonts w:ascii="黑体" w:hAnsi="黑体" w:eastAsia="黑体"/>
          <w:sz w:val="32"/>
        </w:rPr>
        <w:t>十、其他重要事项的情况说明</w:t>
      </w:r>
    </w:p>
    <w:p w14:paraId="11913C45">
      <w:pPr>
        <w:spacing w:line="640" w:lineRule="exact"/>
        <w:ind w:firstLine="640"/>
        <w:jc w:val="both"/>
        <w:outlineLvl w:val="3"/>
      </w:pPr>
      <w:r>
        <w:rPr>
          <w:rFonts w:ascii="楷体_GB2312" w:hAnsi="楷体_GB2312" w:eastAsia="楷体_GB2312"/>
          <w:b/>
          <w:sz w:val="32"/>
        </w:rPr>
        <w:t>（一）机关运行经费及公用经费支出情况</w:t>
      </w:r>
    </w:p>
    <w:p w14:paraId="17F7ADF8">
      <w:pPr>
        <w:spacing w:line="580" w:lineRule="exact"/>
        <w:ind w:firstLine="640"/>
        <w:jc w:val="both"/>
      </w:pPr>
      <w:r>
        <w:rPr>
          <w:rFonts w:ascii="仿宋_GB2312" w:hAnsi="仿宋_GB2312" w:eastAsia="仿宋_GB2312"/>
          <w:b w:val="0"/>
          <w:sz w:val="32"/>
        </w:rPr>
        <w:t>2024年度中共疏附县委直属机关工作委员会（行政单位和参照公务员法管理事业单位）机关运行经费支出2.95万元，比上年增加1.17万元，增长65.73%，主要原因是：本年业务量增加，公用经费增加，更新、维护补充办公用品，导致机关运行经费较上年增加。</w:t>
      </w:r>
    </w:p>
    <w:p w14:paraId="552F837E">
      <w:pPr>
        <w:spacing w:line="640" w:lineRule="exact"/>
        <w:ind w:firstLine="640"/>
        <w:jc w:val="both"/>
        <w:outlineLvl w:val="3"/>
      </w:pPr>
      <w:r>
        <w:rPr>
          <w:rFonts w:ascii="楷体_GB2312" w:hAnsi="楷体_GB2312" w:eastAsia="楷体_GB2312"/>
          <w:b/>
          <w:sz w:val="32"/>
        </w:rPr>
        <w:t>（二）政府采购情况</w:t>
      </w:r>
    </w:p>
    <w:p w14:paraId="79A13906">
      <w:pPr>
        <w:spacing w:line="580" w:lineRule="exact"/>
        <w:ind w:firstLine="640"/>
        <w:jc w:val="both"/>
      </w:pPr>
      <w:r>
        <w:rPr>
          <w:rFonts w:ascii="仿宋_GB2312" w:hAnsi="仿宋_GB2312" w:eastAsia="仿宋_GB2312"/>
          <w:b w:val="0"/>
          <w:sz w:val="32"/>
        </w:rPr>
        <w:t>2024年度政府采购支出总额0.22万元，其中：政府采购货物支出0.00万元、政府采购工程支出0.00万元、政府采购服务支出0.22万元。</w:t>
      </w:r>
    </w:p>
    <w:p w14:paraId="5044FD06">
      <w:pPr>
        <w:spacing w:line="580" w:lineRule="exact"/>
        <w:ind w:firstLine="640"/>
        <w:jc w:val="both"/>
      </w:pPr>
      <w:r>
        <w:rPr>
          <w:rFonts w:ascii="仿宋_GB2312" w:hAnsi="仿宋_GB2312" w:eastAsia="仿宋_GB2312"/>
          <w:b w:val="0"/>
          <w:sz w:val="32"/>
        </w:rPr>
        <w:t>授予中小企业合同金额0.22万元，占政府采购支出总额的100.00%，其中：授予小微企业合同金额0.22万元，占政府采购支出总额的100.00%。</w:t>
      </w:r>
    </w:p>
    <w:p w14:paraId="49ED4FFC">
      <w:pPr>
        <w:spacing w:line="640" w:lineRule="exact"/>
        <w:ind w:firstLine="640"/>
        <w:jc w:val="both"/>
        <w:outlineLvl w:val="3"/>
      </w:pPr>
      <w:r>
        <w:rPr>
          <w:rFonts w:ascii="楷体_GB2312" w:hAnsi="楷体_GB2312" w:eastAsia="楷体_GB2312"/>
          <w:b/>
          <w:sz w:val="32"/>
        </w:rPr>
        <w:t>（三）国有资产占用情况说明</w:t>
      </w:r>
    </w:p>
    <w:p w14:paraId="671D5FD7">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37165997">
      <w:pPr>
        <w:spacing w:line="640" w:lineRule="exact"/>
        <w:ind w:firstLine="640"/>
        <w:jc w:val="both"/>
        <w:outlineLvl w:val="2"/>
      </w:pPr>
      <w:r>
        <w:rPr>
          <w:rFonts w:ascii="黑体" w:hAnsi="黑体" w:eastAsia="黑体"/>
          <w:sz w:val="32"/>
        </w:rPr>
        <w:t>十一、预算绩效的情况说明</w:t>
      </w:r>
    </w:p>
    <w:p w14:paraId="282004B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109.01万元，实际执行总额109.01万元；预算绩效评价项目2个，全年预算数22.00万元，全年执行数21.10万元。预算绩效管理取得的成效：一是制度体系完善，管理闭环形成。构建“事前评估-事中监测-事后评价-结果应用”的闭环体系，覆盖预算编制、执行、监督全过程，在项目立项、编制、实施、评价四个环节实现无缝衔接，</w:t>
      </w:r>
      <w:r>
        <w:rPr>
          <w:rFonts w:hint="eastAsia" w:ascii="仿宋_GB2312" w:hAnsi="仿宋_GB2312" w:eastAsia="仿宋_GB2312"/>
          <w:b w:val="0"/>
          <w:sz w:val="32"/>
          <w:lang w:eastAsia="zh-CN"/>
        </w:rPr>
        <w:t>减少</w:t>
      </w:r>
      <w:r>
        <w:rPr>
          <w:rFonts w:ascii="仿宋_GB2312" w:hAnsi="仿宋_GB2312" w:eastAsia="仿宋_GB2312"/>
          <w:b w:val="0"/>
          <w:sz w:val="32"/>
        </w:rPr>
        <w:t>无效项目，确保资金高效使用；二是财政资金使用效率显著提升。减少无效支出，优化资源配置，推动资金分配与效果挂钩，形成良性循环；三是监督与透明度增强，社会参与提升。信息公开和透明化，绩效目标、评价报告向社会公开，接受监督。发现的问题及原因：一是缺乏刚性考核机制，干部抓培训与个人考评脱钩，导致执行动力不足，部分党员思想懈怠“不想学”；二是内容设计“一刀切”，未区分岗位需求与个体差异，导致“学用脱节”。下一步改进措施：一是建立领导干部抓培训责任制，纳入年度党建考核指标，与绩效挂钩，定期召开培训推进会，压实主体责任；二是优化培训体系制定三年培训规划，分阶段推进能力提升工程，开发模块化课程，动态更新内容库；三是健全考核评估体系，引入训后反馈机制，将学习成果转化为工作改进方案；四是夯实基础支撑整合党群服务中心、红色教育基地等资源，打造标准化培训阵地，设立专项经费，保障教材开发、师资培训等支出。具体附整体支出绩效自评表，项目支出绩效自评表和评价报告。</w:t>
      </w:r>
    </w:p>
    <w:p w14:paraId="7B37CE2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D354BF2">
        <w:tblPrEx>
          <w:tblCellMar>
            <w:top w:w="0" w:type="dxa"/>
            <w:left w:w="108" w:type="dxa"/>
            <w:bottom w:w="0" w:type="dxa"/>
            <w:right w:w="108" w:type="dxa"/>
          </w:tblCellMar>
        </w:tblPrEx>
        <w:tc>
          <w:tcPr>
            <w:tcW w:w="8847" w:type="dxa"/>
            <w:gridSpan w:val="9"/>
            <w:vAlign w:val="center"/>
          </w:tcPr>
          <w:p w14:paraId="277002E1">
            <w:pPr>
              <w:jc w:val="center"/>
            </w:pPr>
            <w:r>
              <w:rPr>
                <w:rFonts w:ascii="宋体" w:hAnsi="宋体" w:eastAsia="宋体"/>
                <w:sz w:val="24"/>
              </w:rPr>
              <w:t>单位整体支出绩效自评表</w:t>
            </w:r>
          </w:p>
        </w:tc>
      </w:tr>
      <w:tr w14:paraId="5034DE70">
        <w:tblPrEx>
          <w:tblCellMar>
            <w:top w:w="0" w:type="dxa"/>
            <w:left w:w="108" w:type="dxa"/>
            <w:bottom w:w="0" w:type="dxa"/>
            <w:right w:w="108" w:type="dxa"/>
          </w:tblCellMar>
        </w:tblPrEx>
        <w:tc>
          <w:tcPr>
            <w:tcW w:w="8847" w:type="dxa"/>
            <w:gridSpan w:val="9"/>
            <w:vAlign w:val="center"/>
          </w:tcPr>
          <w:p w14:paraId="71781E32">
            <w:pPr>
              <w:jc w:val="center"/>
            </w:pPr>
            <w:r>
              <w:rPr>
                <w:rFonts w:ascii="宋体" w:hAnsi="宋体" w:eastAsia="宋体"/>
                <w:sz w:val="24"/>
              </w:rPr>
              <w:t>（2024年度）</w:t>
            </w:r>
          </w:p>
        </w:tc>
      </w:tr>
      <w:tr w14:paraId="4E43747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60B66">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F011D5C">
            <w:pPr>
              <w:jc w:val="center"/>
            </w:pPr>
            <w:r>
              <w:rPr>
                <w:rFonts w:ascii="宋体" w:hAnsi="宋体" w:eastAsia="宋体"/>
                <w:sz w:val="16"/>
              </w:rPr>
              <w:t>中共疏附县委直属机关工作委员会</w:t>
            </w:r>
          </w:p>
        </w:tc>
      </w:tr>
      <w:tr w14:paraId="62E0453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A2D82">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E4C5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44F4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B7CC7">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85FF3">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32F5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2A516">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2E2CF">
            <w:pPr>
              <w:jc w:val="center"/>
            </w:pPr>
            <w:r>
              <w:rPr>
                <w:rFonts w:ascii="宋体" w:hAnsi="宋体" w:eastAsia="宋体"/>
                <w:sz w:val="16"/>
              </w:rPr>
              <w:t>得分</w:t>
            </w:r>
          </w:p>
        </w:tc>
      </w:tr>
      <w:tr w14:paraId="4896A2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BB80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0CDAB">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8C1D1">
            <w:pPr>
              <w:jc w:val="center"/>
            </w:pPr>
            <w:r>
              <w:rPr>
                <w:rFonts w:ascii="宋体" w:hAnsi="宋体" w:eastAsia="宋体"/>
                <w:sz w:val="16"/>
              </w:rPr>
              <w:t>108.97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DDF40">
            <w:pPr>
              <w:jc w:val="center"/>
            </w:pPr>
            <w:r>
              <w:rPr>
                <w:rFonts w:ascii="宋体" w:hAnsi="宋体" w:eastAsia="宋体"/>
                <w:sz w:val="16"/>
              </w:rPr>
              <w:t>109.01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3D38A">
            <w:pPr>
              <w:jc w:val="center"/>
            </w:pPr>
            <w:r>
              <w:rPr>
                <w:rFonts w:ascii="宋体" w:hAnsi="宋体" w:eastAsia="宋体"/>
                <w:sz w:val="16"/>
              </w:rPr>
              <w:t>109.01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72E1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1B8E4">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C4AEE">
            <w:pPr>
              <w:jc w:val="center"/>
            </w:pPr>
            <w:r>
              <w:rPr>
                <w:rFonts w:ascii="宋体" w:hAnsi="宋体" w:eastAsia="宋体"/>
                <w:sz w:val="16"/>
              </w:rPr>
              <w:t>8.62</w:t>
            </w:r>
          </w:p>
        </w:tc>
      </w:tr>
      <w:tr w14:paraId="427084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605CB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F379D">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A77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0809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BF9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9147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CA6A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C20D5">
            <w:pPr>
              <w:jc w:val="center"/>
            </w:pPr>
            <w:r>
              <w:rPr>
                <w:rFonts w:ascii="宋体" w:hAnsi="宋体" w:eastAsia="宋体"/>
                <w:sz w:val="16"/>
              </w:rPr>
              <w:t>—</w:t>
            </w:r>
          </w:p>
        </w:tc>
      </w:tr>
      <w:tr w14:paraId="4C8BCA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7476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1C699">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D7BEA">
            <w:pPr>
              <w:jc w:val="center"/>
            </w:pPr>
            <w:r>
              <w:rPr>
                <w:rFonts w:ascii="宋体" w:hAnsi="宋体" w:eastAsia="宋体"/>
                <w:sz w:val="16"/>
              </w:rPr>
              <w:t>108.97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57909">
            <w:pPr>
              <w:jc w:val="center"/>
            </w:pPr>
            <w:r>
              <w:rPr>
                <w:rFonts w:ascii="宋体" w:hAnsi="宋体" w:eastAsia="宋体"/>
                <w:sz w:val="16"/>
              </w:rPr>
              <w:t>109.01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ECE96">
            <w:pPr>
              <w:jc w:val="center"/>
            </w:pPr>
            <w:r>
              <w:rPr>
                <w:rFonts w:ascii="宋体" w:hAnsi="宋体" w:eastAsia="宋体"/>
                <w:sz w:val="16"/>
              </w:rPr>
              <w:t>109.01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3D2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A323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78709">
            <w:pPr>
              <w:jc w:val="center"/>
            </w:pPr>
            <w:r>
              <w:rPr>
                <w:rFonts w:ascii="宋体" w:hAnsi="宋体" w:eastAsia="宋体"/>
                <w:sz w:val="16"/>
              </w:rPr>
              <w:t>—</w:t>
            </w:r>
          </w:p>
        </w:tc>
      </w:tr>
      <w:tr w14:paraId="12E340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61D6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97A86">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91B9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4724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596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5297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F677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DB1BF">
            <w:pPr>
              <w:jc w:val="center"/>
            </w:pPr>
            <w:r>
              <w:rPr>
                <w:rFonts w:ascii="宋体" w:hAnsi="宋体" w:eastAsia="宋体"/>
                <w:sz w:val="16"/>
              </w:rPr>
              <w:t>—</w:t>
            </w:r>
          </w:p>
        </w:tc>
      </w:tr>
      <w:tr w14:paraId="1C842AE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B0C6D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DEC1C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FDFA64">
            <w:pPr>
              <w:jc w:val="center"/>
            </w:pPr>
            <w:r>
              <w:rPr>
                <w:rFonts w:ascii="宋体" w:hAnsi="宋体" w:eastAsia="宋体"/>
                <w:sz w:val="16"/>
              </w:rPr>
              <w:t>实际完成情况</w:t>
            </w:r>
          </w:p>
        </w:tc>
      </w:tr>
      <w:tr w14:paraId="6A7CF5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46EAF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66D50D">
            <w:pPr>
              <w:jc w:val="both"/>
            </w:pPr>
            <w:r>
              <w:rPr>
                <w:rFonts w:ascii="宋体" w:hAnsi="宋体" w:eastAsia="宋体"/>
                <w:sz w:val="16"/>
              </w:rPr>
              <w:t>加强对党忠诚教育和政治机关意识教育，坚持把党的政治建设摆在首位来抓，在教育培训、工作督导、考核评价等工作中，突出旗帜鲜明讲政治的需求，突出强化机关政治属性和党员干部政治素养，严守政治纪律和政治规矩，推动广大党员干部不断提高政治判断力、政治领悟力、政治执行力，始终在思想上政治上行动上同以习近平同志为核心的党中央保持高度一致。</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FA5CA2">
            <w:pPr>
              <w:jc w:val="both"/>
            </w:pPr>
            <w:r>
              <w:rPr>
                <w:rFonts w:ascii="宋体" w:hAnsi="宋体" w:eastAsia="宋体"/>
                <w:sz w:val="16"/>
              </w:rPr>
              <w:t>通过实施该项目，加强了县直机关对党忠诚教育和政治机关意识教育，把党的政治建设摆在首位来抓，在教育培训、工作督导、考核评价等工作中，突出旗帜鲜明讲政治的需求，突出强化机关政治属性和党员干部政治素养，严守政治纪律和政治规矩，推动了县直机关广大党员干部不断提高政治判断力、政治领悟力、政治执行力，始终在思想上政治上行动上同以习近平同志为核心的党中央保持高度一致。发展党员114名；组织1次党务干部培训；召开2次现场推进会；开展2次专题学习；开展1次对标对表工作；</w:t>
            </w:r>
          </w:p>
        </w:tc>
      </w:tr>
      <w:tr w14:paraId="213DFDE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C7B6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AFC6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F1FD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E45D0">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35F0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3278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0042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ABBB1">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C6B3E">
            <w:pPr>
              <w:jc w:val="center"/>
            </w:pPr>
            <w:r>
              <w:rPr>
                <w:rFonts w:ascii="宋体" w:hAnsi="宋体" w:eastAsia="宋体"/>
                <w:sz w:val="16"/>
              </w:rPr>
              <w:t>得分</w:t>
            </w:r>
          </w:p>
        </w:tc>
      </w:tr>
      <w:tr w14:paraId="27EC016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3E2111">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1A5DB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DC7C9">
            <w:pPr>
              <w:jc w:val="center"/>
            </w:pPr>
            <w:r>
              <w:rPr>
                <w:rFonts w:ascii="宋体" w:hAnsi="宋体" w:eastAsia="宋体"/>
                <w:sz w:val="16"/>
              </w:rPr>
              <w:t>发展党员（名）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CCD50">
            <w:pPr>
              <w:jc w:val="center"/>
            </w:pPr>
            <w:r>
              <w:rPr>
                <w:rFonts w:ascii="宋体" w:hAnsi="宋体" w:eastAsia="宋体"/>
                <w:sz w:val="16"/>
              </w:rPr>
              <w:t>&gt;=90名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BF8B6">
            <w:pPr>
              <w:jc w:val="center"/>
            </w:pPr>
            <w:r>
              <w:rPr>
                <w:rFonts w:ascii="宋体" w:hAnsi="宋体" w:eastAsia="宋体"/>
                <w:sz w:val="16"/>
              </w:rPr>
              <w:t>机关工委2024年度工作计划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3D1E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3E737">
            <w:pPr>
              <w:jc w:val="center"/>
            </w:pPr>
            <w:r>
              <w:rPr>
                <w:rFonts w:ascii="宋体" w:hAnsi="宋体" w:eastAsia="宋体"/>
                <w:sz w:val="16"/>
              </w:rPr>
              <w:t>114名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DE48D">
            <w:pPr>
              <w:jc w:val="center"/>
            </w:pPr>
            <w:r>
              <w:rPr>
                <w:rFonts w:ascii="宋体" w:hAnsi="宋体" w:eastAsia="宋体"/>
                <w:sz w:val="16"/>
              </w:rPr>
              <w:t>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7A438">
            <w:pPr>
              <w:jc w:val="center"/>
            </w:pPr>
            <w:r>
              <w:rPr>
                <w:rFonts w:ascii="宋体" w:hAnsi="宋体" w:eastAsia="宋体"/>
                <w:sz w:val="16"/>
              </w:rPr>
              <w:t>14</w:t>
            </w:r>
          </w:p>
        </w:tc>
      </w:tr>
      <w:tr w14:paraId="5848F2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B8B9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66D1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E2368">
            <w:pPr>
              <w:jc w:val="center"/>
            </w:pPr>
            <w:r>
              <w:rPr>
                <w:rFonts w:ascii="宋体" w:hAnsi="宋体" w:eastAsia="宋体"/>
                <w:sz w:val="16"/>
              </w:rPr>
              <w:t>组织党务干部培训（次）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99E67">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807F9">
            <w:pPr>
              <w:jc w:val="center"/>
            </w:pPr>
            <w:r>
              <w:rPr>
                <w:rFonts w:ascii="宋体" w:hAnsi="宋体" w:eastAsia="宋体"/>
                <w:sz w:val="16"/>
              </w:rPr>
              <w:t>机关工委2024年度工作计划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7E04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9451F">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0CD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9A387">
            <w:pPr>
              <w:jc w:val="center"/>
            </w:pPr>
            <w:r>
              <w:rPr>
                <w:rFonts w:ascii="宋体" w:hAnsi="宋体" w:eastAsia="宋体"/>
                <w:sz w:val="16"/>
              </w:rPr>
              <w:t>20</w:t>
            </w:r>
          </w:p>
        </w:tc>
      </w:tr>
      <w:tr w14:paraId="7041F7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C07B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48F1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4FE82">
            <w:pPr>
              <w:jc w:val="center"/>
            </w:pPr>
            <w:r>
              <w:rPr>
                <w:rFonts w:ascii="宋体" w:hAnsi="宋体" w:eastAsia="宋体"/>
                <w:sz w:val="16"/>
              </w:rPr>
              <w:t>召开现场推进会（次）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E39D1">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91E53">
            <w:pPr>
              <w:jc w:val="center"/>
            </w:pPr>
            <w:r>
              <w:rPr>
                <w:rFonts w:ascii="宋体" w:hAnsi="宋体" w:eastAsia="宋体"/>
                <w:sz w:val="16"/>
              </w:rPr>
              <w:t>机关工委2024年度工作计划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01A9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592D1">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6415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69D40">
            <w:pPr>
              <w:jc w:val="center"/>
            </w:pPr>
            <w:r>
              <w:rPr>
                <w:rFonts w:ascii="宋体" w:hAnsi="宋体" w:eastAsia="宋体"/>
                <w:sz w:val="16"/>
              </w:rPr>
              <w:t>20</w:t>
            </w:r>
          </w:p>
        </w:tc>
      </w:tr>
      <w:tr w14:paraId="6037FC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0200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3D5B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68B3A">
            <w:pPr>
              <w:jc w:val="center"/>
            </w:pPr>
            <w:r>
              <w:rPr>
                <w:rFonts w:ascii="宋体" w:hAnsi="宋体" w:eastAsia="宋体"/>
                <w:sz w:val="16"/>
              </w:rPr>
              <w:t>开展专题学习（次）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8C180">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8333F">
            <w:pPr>
              <w:jc w:val="center"/>
            </w:pPr>
            <w:r>
              <w:rPr>
                <w:rFonts w:ascii="宋体" w:hAnsi="宋体" w:eastAsia="宋体"/>
                <w:sz w:val="16"/>
              </w:rPr>
              <w:t>机关工委2024年度工作计划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CBA6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C3BD4">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856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A4423">
            <w:pPr>
              <w:jc w:val="center"/>
            </w:pPr>
            <w:r>
              <w:rPr>
                <w:rFonts w:ascii="宋体" w:hAnsi="宋体" w:eastAsia="宋体"/>
                <w:sz w:val="16"/>
              </w:rPr>
              <w:t>15</w:t>
            </w:r>
          </w:p>
        </w:tc>
      </w:tr>
      <w:tr w14:paraId="3F5F6C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D0FC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6DF5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736C2">
            <w:pPr>
              <w:jc w:val="center"/>
            </w:pPr>
            <w:r>
              <w:rPr>
                <w:rFonts w:ascii="宋体" w:hAnsi="宋体" w:eastAsia="宋体"/>
                <w:sz w:val="16"/>
              </w:rPr>
              <w:t>开展对标对表工作次数（次）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4BD65">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A0C0C">
            <w:pPr>
              <w:jc w:val="center"/>
            </w:pPr>
            <w:r>
              <w:rPr>
                <w:rFonts w:ascii="宋体" w:hAnsi="宋体" w:eastAsia="宋体"/>
                <w:sz w:val="16"/>
              </w:rPr>
              <w:t>机关工委2024年度工作计划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95EB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7C1C7">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E4AE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EC771">
            <w:pPr>
              <w:jc w:val="center"/>
            </w:pPr>
            <w:r>
              <w:rPr>
                <w:rFonts w:ascii="宋体" w:hAnsi="宋体" w:eastAsia="宋体"/>
                <w:sz w:val="16"/>
              </w:rPr>
              <w:t>15</w:t>
            </w:r>
          </w:p>
        </w:tc>
      </w:tr>
    </w:tbl>
    <w:p w14:paraId="25F2953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72BE628">
        <w:tblPrEx>
          <w:tblCellMar>
            <w:top w:w="0" w:type="dxa"/>
            <w:left w:w="108" w:type="dxa"/>
            <w:bottom w:w="0" w:type="dxa"/>
            <w:right w:w="108" w:type="dxa"/>
          </w:tblCellMar>
        </w:tblPrEx>
        <w:tc>
          <w:tcPr>
            <w:tcW w:w="8848" w:type="dxa"/>
            <w:gridSpan w:val="14"/>
            <w:vAlign w:val="center"/>
          </w:tcPr>
          <w:p w14:paraId="513F467B">
            <w:pPr>
              <w:jc w:val="center"/>
            </w:pPr>
            <w:r>
              <w:rPr>
                <w:rFonts w:ascii="宋体" w:hAnsi="宋体" w:eastAsia="宋体"/>
                <w:sz w:val="24"/>
              </w:rPr>
              <w:t>项目支出绩效自评表</w:t>
            </w:r>
          </w:p>
        </w:tc>
      </w:tr>
      <w:tr w14:paraId="606BC16A">
        <w:tblPrEx>
          <w:tblCellMar>
            <w:top w:w="0" w:type="dxa"/>
            <w:left w:w="108" w:type="dxa"/>
            <w:bottom w:w="0" w:type="dxa"/>
            <w:right w:w="108" w:type="dxa"/>
          </w:tblCellMar>
        </w:tblPrEx>
        <w:tc>
          <w:tcPr>
            <w:tcW w:w="8848" w:type="dxa"/>
            <w:gridSpan w:val="14"/>
            <w:vAlign w:val="center"/>
          </w:tcPr>
          <w:p w14:paraId="2B170299">
            <w:pPr>
              <w:jc w:val="center"/>
            </w:pPr>
            <w:r>
              <w:rPr>
                <w:rFonts w:ascii="宋体" w:hAnsi="宋体" w:eastAsia="宋体"/>
                <w:sz w:val="24"/>
              </w:rPr>
              <w:t>(2024年度)</w:t>
            </w:r>
          </w:p>
        </w:tc>
      </w:tr>
      <w:tr w14:paraId="44CEB5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AA8A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AC59DF">
            <w:pPr>
              <w:jc w:val="center"/>
            </w:pPr>
            <w:r>
              <w:rPr>
                <w:rFonts w:ascii="宋体" w:hAnsi="宋体" w:eastAsia="宋体"/>
                <w:sz w:val="16"/>
              </w:rPr>
              <w:t>疏附县技术人才及基层骨干素质提升项目</w:t>
            </w:r>
          </w:p>
        </w:tc>
      </w:tr>
      <w:tr w14:paraId="332E52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D28F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312BAA">
            <w:pPr>
              <w:jc w:val="center"/>
            </w:pPr>
            <w:r>
              <w:rPr>
                <w:rFonts w:ascii="宋体" w:hAnsi="宋体" w:eastAsia="宋体"/>
                <w:sz w:val="16"/>
              </w:rPr>
              <w:t>中共新疆维吾尔自治区直属机关工作委员会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B90E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CEFAB1">
            <w:pPr>
              <w:jc w:val="center"/>
            </w:pPr>
            <w:r>
              <w:rPr>
                <w:rFonts w:ascii="宋体" w:hAnsi="宋体" w:eastAsia="宋体"/>
                <w:sz w:val="16"/>
              </w:rPr>
              <w:t>中共疏附县委直属机关工作委员会</w:t>
            </w:r>
          </w:p>
        </w:tc>
      </w:tr>
      <w:tr w14:paraId="574D4C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50E88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A5E1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AA39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70C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3D4F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9856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F4C0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898A">
            <w:pPr>
              <w:jc w:val="center"/>
            </w:pPr>
            <w:r>
              <w:rPr>
                <w:rFonts w:ascii="宋体" w:hAnsi="宋体" w:eastAsia="宋体"/>
                <w:sz w:val="16"/>
              </w:rPr>
              <w:t>得分</w:t>
            </w:r>
          </w:p>
        </w:tc>
      </w:tr>
      <w:tr w14:paraId="07F22A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536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6813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2E940">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68913">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6E205">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8A1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5E55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31D49">
            <w:pPr>
              <w:jc w:val="center"/>
            </w:pPr>
            <w:r>
              <w:rPr>
                <w:rFonts w:ascii="宋体" w:hAnsi="宋体" w:eastAsia="宋体"/>
                <w:sz w:val="16"/>
              </w:rPr>
              <w:t>10.00分</w:t>
            </w:r>
          </w:p>
        </w:tc>
      </w:tr>
      <w:tr w14:paraId="53E47F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EE1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B485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1EE55">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B095F">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CD96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52A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47E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4662B">
            <w:pPr>
              <w:jc w:val="center"/>
            </w:pPr>
            <w:r>
              <w:rPr>
                <w:rFonts w:ascii="宋体" w:hAnsi="宋体" w:eastAsia="宋体"/>
                <w:sz w:val="16"/>
              </w:rPr>
              <w:t>—</w:t>
            </w:r>
          </w:p>
        </w:tc>
      </w:tr>
      <w:tr w14:paraId="44F89B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B64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CB66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F2C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62E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462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E23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D72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6E9FE">
            <w:pPr>
              <w:jc w:val="center"/>
            </w:pPr>
            <w:r>
              <w:rPr>
                <w:rFonts w:ascii="宋体" w:hAnsi="宋体" w:eastAsia="宋体"/>
                <w:sz w:val="16"/>
              </w:rPr>
              <w:t>—</w:t>
            </w:r>
          </w:p>
        </w:tc>
      </w:tr>
      <w:tr w14:paraId="4568D1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17FA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4A427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31E51A">
            <w:pPr>
              <w:jc w:val="center"/>
            </w:pPr>
            <w:r>
              <w:rPr>
                <w:rFonts w:ascii="宋体" w:hAnsi="宋体" w:eastAsia="宋体"/>
                <w:sz w:val="16"/>
              </w:rPr>
              <w:t>实际完成情况</w:t>
            </w:r>
          </w:p>
        </w:tc>
      </w:tr>
      <w:tr w14:paraId="1BF1A8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516D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32328B">
            <w:pPr>
              <w:jc w:val="both"/>
            </w:pPr>
            <w:r>
              <w:rPr>
                <w:rFonts w:ascii="宋体" w:hAnsi="宋体" w:eastAsia="宋体"/>
                <w:sz w:val="16"/>
              </w:rPr>
              <w:t>本项目预算金额为2万元，选派人员数量为23人，人均运转经费保障率为100%，经费支付及时性为100%，人均运转经费数为0.09万元，项目完成时间2024年12月25日之前。目标是为了促进不同地区文化交流，受益对象满意度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A1C5BB">
            <w:pPr>
              <w:jc w:val="both"/>
            </w:pPr>
            <w:r>
              <w:rPr>
                <w:rFonts w:ascii="宋体" w:hAnsi="宋体" w:eastAsia="宋体"/>
                <w:sz w:val="16"/>
              </w:rPr>
              <w:t>截至2024年12月31日，本项目全年已完成选派人员23人，人均运转经费数以每人0.09万元为标准，通过项目实施</w:t>
            </w:r>
            <w:r>
              <w:rPr>
                <w:rFonts w:hint="eastAsia" w:ascii="宋体" w:hAnsi="宋体"/>
                <w:sz w:val="16"/>
                <w:lang w:eastAsia="zh-CN"/>
              </w:rPr>
              <w:t>有效</w:t>
            </w:r>
            <w:r>
              <w:rPr>
                <w:rFonts w:ascii="宋体" w:hAnsi="宋体" w:eastAsia="宋体"/>
                <w:sz w:val="16"/>
              </w:rPr>
              <w:t>促进不同地区文化的交流融合，受益对象满意度达到95%。</w:t>
            </w:r>
          </w:p>
        </w:tc>
      </w:tr>
      <w:tr w14:paraId="265656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7CE0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62BE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F601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0AF0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00CA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363D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62EA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B809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FDA4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C81F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931A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1ADD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398BD">
            <w:pPr>
              <w:jc w:val="center"/>
            </w:pPr>
            <w:r>
              <w:rPr>
                <w:rFonts w:ascii="宋体" w:hAnsi="宋体" w:eastAsia="宋体"/>
                <w:sz w:val="16"/>
              </w:rPr>
              <w:t>偏差原因分析及改进措施</w:t>
            </w:r>
          </w:p>
        </w:tc>
      </w:tr>
      <w:tr w14:paraId="0496A5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76C5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16F34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21C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E3A5B">
            <w:pPr>
              <w:jc w:val="center"/>
            </w:pPr>
            <w:r>
              <w:rPr>
                <w:rFonts w:ascii="宋体" w:hAnsi="宋体" w:eastAsia="宋体"/>
                <w:sz w:val="16"/>
              </w:rPr>
              <w:t>选派人员数量（人）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DFF8C">
            <w:pPr>
              <w:jc w:val="center"/>
            </w:pPr>
            <w:r>
              <w:rPr>
                <w:rFonts w:ascii="宋体" w:hAnsi="宋体" w:eastAsia="宋体"/>
                <w:sz w:val="16"/>
              </w:rPr>
              <w:t>&gt;=23人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952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665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ADD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2F7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979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F1B74">
            <w:pPr>
              <w:jc w:val="center"/>
            </w:pPr>
            <w:r>
              <w:rPr>
                <w:rFonts w:ascii="宋体" w:hAnsi="宋体" w:eastAsia="宋体"/>
                <w:sz w:val="16"/>
              </w:rPr>
              <w: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90F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1C688">
            <w:pPr>
              <w:jc w:val="center"/>
            </w:pPr>
          </w:p>
        </w:tc>
      </w:tr>
      <w:tr w14:paraId="583319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90C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C04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B6A6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C0354">
            <w:pPr>
              <w:jc w:val="center"/>
            </w:pPr>
            <w:r>
              <w:rPr>
                <w:rFonts w:ascii="宋体" w:hAnsi="宋体" w:eastAsia="宋体"/>
                <w:sz w:val="16"/>
              </w:rPr>
              <w:t>人均运转经费保障率（%）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9F6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77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C1B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638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CC3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4D1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0B4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C0E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C1206">
            <w:pPr>
              <w:jc w:val="center"/>
            </w:pPr>
          </w:p>
        </w:tc>
      </w:tr>
      <w:tr w14:paraId="237E6E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6FB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E24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0D45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7918F">
            <w:pPr>
              <w:jc w:val="center"/>
            </w:pPr>
            <w:r>
              <w:rPr>
                <w:rFonts w:ascii="宋体" w:hAnsi="宋体" w:eastAsia="宋体"/>
                <w:sz w:val="16"/>
              </w:rPr>
              <w:t>经费支付及时性（%）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D24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FA7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D58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FB5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9BB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615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D47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921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3E2F0">
            <w:pPr>
              <w:jc w:val="center"/>
            </w:pPr>
          </w:p>
        </w:tc>
      </w:tr>
      <w:tr w14:paraId="42013E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C8A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9AA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C96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AA32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30DF0">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C1F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833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18D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C6D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D1D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7FD73">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C09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F4A8D">
            <w:pPr>
              <w:jc w:val="center"/>
            </w:pPr>
          </w:p>
        </w:tc>
      </w:tr>
      <w:tr w14:paraId="31A59C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44B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6F86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C711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0A6CF">
            <w:pPr>
              <w:jc w:val="center"/>
            </w:pPr>
            <w:r>
              <w:rPr>
                <w:rFonts w:ascii="宋体" w:hAnsi="宋体" w:eastAsia="宋体"/>
                <w:sz w:val="16"/>
              </w:rPr>
              <w:t>人均运转经费数（万元）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DB771">
            <w:pPr>
              <w:jc w:val="center"/>
            </w:pPr>
            <w:r>
              <w:rPr>
                <w:rFonts w:ascii="宋体" w:hAnsi="宋体" w:eastAsia="宋体"/>
                <w:sz w:val="16"/>
              </w:rPr>
              <w:t>&lt;=0.09万元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1995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3A5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5A9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0A7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764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DB27">
            <w:pPr>
              <w:jc w:val="center"/>
            </w:pPr>
            <w:r>
              <w:rPr>
                <w:rFonts w:ascii="宋体" w:hAnsi="宋体" w:eastAsia="宋体"/>
                <w:sz w:val="16"/>
              </w:rPr>
              <w:t>=0.09万元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A93A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CE0DF">
            <w:pPr>
              <w:jc w:val="center"/>
            </w:pPr>
          </w:p>
        </w:tc>
      </w:tr>
      <w:tr w14:paraId="7F04CA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720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D817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414C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F7083">
            <w:pPr>
              <w:jc w:val="center"/>
            </w:pPr>
            <w:r>
              <w:rPr>
                <w:rFonts w:ascii="宋体" w:hAnsi="宋体" w:eastAsia="宋体"/>
                <w:sz w:val="16"/>
              </w:rPr>
              <w:t>促进不同地区文化的交流融合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7C8FB">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ECB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FF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753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F31A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66A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7FA5C">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A5AF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EBA75">
            <w:pPr>
              <w:jc w:val="center"/>
            </w:pPr>
          </w:p>
        </w:tc>
      </w:tr>
      <w:tr w14:paraId="62297F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EE7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23D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EA4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A24E0">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31B3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89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E52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35E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9A0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AFA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EACA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7CF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94A8E">
            <w:pPr>
              <w:jc w:val="center"/>
            </w:pPr>
          </w:p>
        </w:tc>
      </w:tr>
      <w:tr w14:paraId="0E627CA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A4E4F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BE06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B4E7D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DC82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A7B2230"/>
        </w:tc>
      </w:tr>
    </w:tbl>
    <w:p w14:paraId="7A110AE9">
      <w:r>
        <w:br w:type="page"/>
      </w:r>
    </w:p>
    <w:tbl>
      <w:tblPr>
        <w:tblStyle w:val="9"/>
        <w:tblW w:w="0" w:type="auto"/>
        <w:tblInd w:w="0" w:type="dxa"/>
        <w:tblLayout w:type="autofit"/>
        <w:tblCellMar>
          <w:top w:w="0" w:type="dxa"/>
          <w:left w:w="108" w:type="dxa"/>
          <w:bottom w:w="0" w:type="dxa"/>
          <w:right w:w="108" w:type="dxa"/>
        </w:tblCellMar>
      </w:tblPr>
      <w:tblGrid>
        <w:gridCol w:w="607"/>
        <w:gridCol w:w="567"/>
        <w:gridCol w:w="568"/>
        <w:gridCol w:w="696"/>
        <w:gridCol w:w="1096"/>
        <w:gridCol w:w="568"/>
        <w:gridCol w:w="568"/>
        <w:gridCol w:w="588"/>
        <w:gridCol w:w="568"/>
        <w:gridCol w:w="568"/>
        <w:gridCol w:w="936"/>
        <w:gridCol w:w="632"/>
        <w:gridCol w:w="490"/>
        <w:gridCol w:w="608"/>
      </w:tblGrid>
      <w:tr w14:paraId="66704F3E">
        <w:tblPrEx>
          <w:tblCellMar>
            <w:top w:w="0" w:type="dxa"/>
            <w:left w:w="108" w:type="dxa"/>
            <w:bottom w:w="0" w:type="dxa"/>
            <w:right w:w="108" w:type="dxa"/>
          </w:tblCellMar>
        </w:tblPrEx>
        <w:tc>
          <w:tcPr>
            <w:tcW w:w="8848" w:type="dxa"/>
            <w:gridSpan w:val="14"/>
            <w:vAlign w:val="center"/>
          </w:tcPr>
          <w:p w14:paraId="4132E0F2">
            <w:pPr>
              <w:jc w:val="center"/>
            </w:pPr>
            <w:r>
              <w:rPr>
                <w:rFonts w:ascii="宋体" w:hAnsi="宋体" w:eastAsia="宋体"/>
                <w:sz w:val="24"/>
              </w:rPr>
              <w:t>项目支出绩效自评表</w:t>
            </w:r>
          </w:p>
        </w:tc>
      </w:tr>
      <w:tr w14:paraId="1FFA7F46">
        <w:tblPrEx>
          <w:tblCellMar>
            <w:top w:w="0" w:type="dxa"/>
            <w:left w:w="108" w:type="dxa"/>
            <w:bottom w:w="0" w:type="dxa"/>
            <w:right w:w="108" w:type="dxa"/>
          </w:tblCellMar>
        </w:tblPrEx>
        <w:tc>
          <w:tcPr>
            <w:tcW w:w="8848" w:type="dxa"/>
            <w:gridSpan w:val="14"/>
            <w:vAlign w:val="center"/>
          </w:tcPr>
          <w:p w14:paraId="2159F5C9">
            <w:pPr>
              <w:jc w:val="center"/>
            </w:pPr>
            <w:r>
              <w:rPr>
                <w:rFonts w:ascii="宋体" w:hAnsi="宋体" w:eastAsia="宋体"/>
                <w:sz w:val="24"/>
              </w:rPr>
              <w:t>(2024年度)</w:t>
            </w:r>
          </w:p>
        </w:tc>
      </w:tr>
      <w:tr w14:paraId="6327D1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5787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674338">
            <w:pPr>
              <w:jc w:val="center"/>
            </w:pPr>
            <w:r>
              <w:rPr>
                <w:rFonts w:ascii="宋体" w:hAnsi="宋体" w:eastAsia="宋体"/>
                <w:sz w:val="16"/>
              </w:rPr>
              <w:t>疏附县机关工委单位资金项目</w:t>
            </w:r>
          </w:p>
        </w:tc>
      </w:tr>
      <w:tr w14:paraId="182621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4AF3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F89B94">
            <w:pPr>
              <w:jc w:val="center"/>
            </w:pPr>
            <w:r>
              <w:rPr>
                <w:rFonts w:ascii="宋体" w:hAnsi="宋体" w:eastAsia="宋体"/>
                <w:sz w:val="16"/>
              </w:rPr>
              <w:t>中国新疆维吾尔自治区直属机关工作委员会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FECB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1AE29D">
            <w:pPr>
              <w:jc w:val="center"/>
            </w:pPr>
            <w:r>
              <w:rPr>
                <w:rFonts w:ascii="宋体" w:hAnsi="宋体" w:eastAsia="宋体"/>
                <w:sz w:val="16"/>
              </w:rPr>
              <w:t>中共疏附县委直属机关工作委员会</w:t>
            </w:r>
          </w:p>
        </w:tc>
      </w:tr>
      <w:tr w14:paraId="553BE9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4E516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6AF8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0B30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7C10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419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D4AF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1D43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90AE4">
            <w:pPr>
              <w:jc w:val="center"/>
            </w:pPr>
            <w:r>
              <w:rPr>
                <w:rFonts w:ascii="宋体" w:hAnsi="宋体" w:eastAsia="宋体"/>
                <w:sz w:val="16"/>
              </w:rPr>
              <w:t>得分</w:t>
            </w:r>
          </w:p>
        </w:tc>
      </w:tr>
      <w:tr w14:paraId="21B994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33D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5D7C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C3554">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A419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5052B">
            <w:pPr>
              <w:jc w:val="center"/>
            </w:pPr>
            <w:r>
              <w:rPr>
                <w:rFonts w:ascii="宋体" w:hAnsi="宋体" w:eastAsia="宋体"/>
                <w:sz w:val="16"/>
              </w:rPr>
              <w:t>19.10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423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22BB8">
            <w:pPr>
              <w:jc w:val="center"/>
            </w:pPr>
            <w:r>
              <w:rPr>
                <w:rFonts w:ascii="宋体" w:hAnsi="宋体" w:eastAsia="宋体"/>
                <w:sz w:val="16"/>
              </w:rPr>
              <w:t>95.50%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B3808">
            <w:pPr>
              <w:jc w:val="center"/>
            </w:pPr>
            <w:r>
              <w:rPr>
                <w:rFonts w:ascii="宋体" w:hAnsi="宋体" w:eastAsia="宋体"/>
                <w:sz w:val="16"/>
              </w:rPr>
              <w:t>8.88分</w:t>
            </w:r>
          </w:p>
        </w:tc>
      </w:tr>
      <w:tr w14:paraId="3209A0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83C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2C35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69F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36E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52B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068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46F6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AC648">
            <w:pPr>
              <w:jc w:val="center"/>
            </w:pPr>
            <w:r>
              <w:rPr>
                <w:rFonts w:ascii="宋体" w:hAnsi="宋体" w:eastAsia="宋体"/>
                <w:sz w:val="16"/>
              </w:rPr>
              <w:t>—</w:t>
            </w:r>
          </w:p>
        </w:tc>
      </w:tr>
      <w:tr w14:paraId="28D465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B54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23DB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A7ED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6EBD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7A9AF">
            <w:pPr>
              <w:jc w:val="center"/>
            </w:pPr>
            <w:r>
              <w:rPr>
                <w:rFonts w:ascii="宋体" w:hAnsi="宋体" w:eastAsia="宋体"/>
                <w:sz w:val="16"/>
              </w:rPr>
              <w:t>19.10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072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BE25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24E6">
            <w:pPr>
              <w:jc w:val="center"/>
            </w:pPr>
            <w:r>
              <w:rPr>
                <w:rFonts w:ascii="宋体" w:hAnsi="宋体" w:eastAsia="宋体"/>
                <w:sz w:val="16"/>
              </w:rPr>
              <w:t>—</w:t>
            </w:r>
          </w:p>
        </w:tc>
      </w:tr>
      <w:tr w14:paraId="743DEE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4E4BE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006E8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91F519">
            <w:pPr>
              <w:jc w:val="center"/>
            </w:pPr>
            <w:r>
              <w:rPr>
                <w:rFonts w:ascii="宋体" w:hAnsi="宋体" w:eastAsia="宋体"/>
                <w:sz w:val="16"/>
              </w:rPr>
              <w:t>实际完成情况</w:t>
            </w:r>
          </w:p>
        </w:tc>
      </w:tr>
      <w:tr w14:paraId="512464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1319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B2D6B9">
            <w:pPr>
              <w:jc w:val="both"/>
            </w:pPr>
            <w:r>
              <w:rPr>
                <w:rFonts w:ascii="宋体" w:hAnsi="宋体" w:eastAsia="宋体"/>
                <w:sz w:val="16"/>
              </w:rPr>
              <w:t>本项目预算金额为20万元，主要用于一是向组织部上缴2024年第一季度各机关党支部向</w:t>
            </w:r>
            <w:r>
              <w:rPr>
                <w:rFonts w:hint="eastAsia" w:ascii="宋体" w:hAnsi="宋体"/>
                <w:sz w:val="16"/>
                <w:lang w:eastAsia="zh-CN"/>
              </w:rPr>
              <w:t>本单位</w:t>
            </w:r>
            <w:r>
              <w:rPr>
                <w:rFonts w:ascii="宋体" w:hAnsi="宋体" w:eastAsia="宋体"/>
                <w:sz w:val="16"/>
              </w:rPr>
              <w:t>上缴的党费161449.7元，二是购买2023年度党风廉政建设系列电教片360元，三是其他费用38190.3元。资金支付合规率达到100%，预计通过项目的实施，有效增强党员的组织观念，党员满意度达到95%以上。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7BB632">
            <w:pPr>
              <w:jc w:val="both"/>
            </w:pPr>
            <w:r>
              <w:rPr>
                <w:rFonts w:ascii="宋体" w:hAnsi="宋体" w:eastAsia="宋体"/>
                <w:sz w:val="16"/>
              </w:rPr>
              <w:t>截至2024年12月31日，本项目预算金额为20万元，执行金额为20万元，执行率为100%。已完成购买党风廉政建设电教片1部，成本为360元，向组织部交纳党费1次，共缴纳16.144970万元，其他费用为2.9184万元，通过项目的实施有效增强党员的组织观念，党员满意度为95%。</w:t>
            </w:r>
          </w:p>
        </w:tc>
      </w:tr>
      <w:tr w14:paraId="27A813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6164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6950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D944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DF93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E69C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8C76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F313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309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1273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3C16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4669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1EC0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91578">
            <w:pPr>
              <w:jc w:val="center"/>
            </w:pPr>
            <w:r>
              <w:rPr>
                <w:rFonts w:ascii="宋体" w:hAnsi="宋体" w:eastAsia="宋体"/>
                <w:sz w:val="16"/>
              </w:rPr>
              <w:t>偏差原因分析及改进措施</w:t>
            </w:r>
          </w:p>
        </w:tc>
      </w:tr>
      <w:tr w14:paraId="4593B6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0A6AB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0659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1C8C1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D5C07">
            <w:pPr>
              <w:jc w:val="center"/>
            </w:pPr>
            <w:r>
              <w:rPr>
                <w:rFonts w:ascii="宋体" w:hAnsi="宋体" w:eastAsia="宋体"/>
                <w:sz w:val="16"/>
              </w:rPr>
              <w:t>购买党风廉政建设电教片（部）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2AE5">
            <w:pPr>
              <w:jc w:val="center"/>
            </w:pPr>
            <w:r>
              <w:rPr>
                <w:rFonts w:ascii="宋体" w:hAnsi="宋体" w:eastAsia="宋体"/>
                <w:sz w:val="16"/>
              </w:rPr>
              <w:t>&gt;=1部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698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4A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602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D56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5D4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74393">
            <w:pPr>
              <w:jc w:val="center"/>
            </w:pPr>
            <w:r>
              <w:rPr>
                <w:rFonts w:ascii="宋体" w:hAnsi="宋体" w:eastAsia="宋体"/>
                <w:sz w:val="16"/>
              </w:rPr>
              <w: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E4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33394">
            <w:pPr>
              <w:jc w:val="center"/>
            </w:pPr>
          </w:p>
        </w:tc>
      </w:tr>
      <w:tr w14:paraId="3FC623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065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7F5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A6A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C01A2">
            <w:pPr>
              <w:jc w:val="center"/>
            </w:pPr>
            <w:r>
              <w:rPr>
                <w:rFonts w:ascii="宋体" w:hAnsi="宋体" w:eastAsia="宋体"/>
                <w:sz w:val="16"/>
              </w:rPr>
              <w:t>向组织部</w:t>
            </w:r>
            <w:r>
              <w:rPr>
                <w:rFonts w:hint="eastAsia" w:ascii="宋体" w:hAnsi="宋体"/>
                <w:sz w:val="16"/>
                <w:lang w:eastAsia="zh-CN"/>
              </w:rPr>
              <w:t>交纳党费</w:t>
            </w:r>
            <w:r>
              <w:rPr>
                <w:rFonts w:ascii="宋体" w:hAnsi="宋体" w:eastAsia="宋体"/>
                <w:sz w:val="16"/>
              </w:rPr>
              <w:t>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59F3D">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593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EB0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ED6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707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4A9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5DCA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B03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D49E7">
            <w:pPr>
              <w:jc w:val="center"/>
            </w:pPr>
          </w:p>
        </w:tc>
      </w:tr>
      <w:tr w14:paraId="7B8040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409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629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B9A7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D3370">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E19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265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431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404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39D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A6E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E7C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9E4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8062C">
            <w:pPr>
              <w:jc w:val="center"/>
            </w:pPr>
          </w:p>
        </w:tc>
      </w:tr>
      <w:tr w14:paraId="4E88A609">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763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91F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66A3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A84FB">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092E2">
            <w:pPr>
              <w:jc w:val="center"/>
            </w:pPr>
            <w:r>
              <w:rPr>
                <w:rFonts w:ascii="宋体" w:hAnsi="宋体" w:eastAsia="宋体"/>
                <w:sz w:val="16"/>
              </w:rPr>
              <w:t>2024年4月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1EA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5ED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1AB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941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EE9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9D9A7">
            <w:pPr>
              <w:jc w:val="center"/>
            </w:pPr>
            <w:r>
              <w:rPr>
                <w:rFonts w:ascii="宋体" w:hAnsi="宋体" w:eastAsia="宋体"/>
                <w:sz w:val="16"/>
              </w:rPr>
              <w:t>=2024年4月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A85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C30B6">
            <w:pPr>
              <w:jc w:val="center"/>
            </w:pPr>
          </w:p>
        </w:tc>
      </w:tr>
      <w:tr w14:paraId="20579E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C02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77ADA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344BD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44009">
            <w:pPr>
              <w:jc w:val="center"/>
            </w:pPr>
            <w:r>
              <w:rPr>
                <w:rFonts w:ascii="宋体" w:hAnsi="宋体" w:eastAsia="宋体"/>
                <w:sz w:val="16"/>
              </w:rPr>
              <w:t>购买党风廉政建设电教片成本（元）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28C4B">
            <w:pPr>
              <w:jc w:val="center"/>
            </w:pPr>
            <w:r>
              <w:rPr>
                <w:rFonts w:ascii="宋体" w:hAnsi="宋体" w:eastAsia="宋体"/>
                <w:sz w:val="16"/>
              </w:rPr>
              <w:t>&lt;=360元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958D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071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5530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EC0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EE4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069DB">
            <w:pPr>
              <w:jc w:val="center"/>
            </w:pPr>
            <w:r>
              <w:rPr>
                <w:rFonts w:ascii="宋体" w:hAnsi="宋体" w:eastAsia="宋体"/>
                <w:sz w:val="16"/>
              </w:rPr>
              <w:t>=360元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D95D5">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F1ABD">
            <w:pPr>
              <w:jc w:val="center"/>
            </w:pPr>
          </w:p>
        </w:tc>
      </w:tr>
      <w:tr w14:paraId="29D348F7">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202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8B3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038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CE832">
            <w:pPr>
              <w:jc w:val="center"/>
            </w:pPr>
            <w:r>
              <w:rPr>
                <w:rFonts w:ascii="宋体" w:hAnsi="宋体" w:eastAsia="宋体"/>
                <w:sz w:val="16"/>
              </w:rPr>
              <w:t>向组织部</w:t>
            </w:r>
            <w:r>
              <w:rPr>
                <w:rFonts w:hint="eastAsia" w:ascii="宋体" w:hAnsi="宋体"/>
                <w:sz w:val="16"/>
                <w:lang w:eastAsia="zh-CN"/>
              </w:rPr>
              <w:t>交纳党费</w:t>
            </w:r>
            <w:r>
              <w:rPr>
                <w:rFonts w:ascii="宋体" w:hAnsi="宋体" w:eastAsia="宋体"/>
                <w:sz w:val="16"/>
              </w:rPr>
              <w:t>（元）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9AEED">
            <w:pPr>
              <w:jc w:val="center"/>
            </w:pPr>
            <w:r>
              <w:rPr>
                <w:rFonts w:ascii="宋体" w:hAnsi="宋体" w:eastAsia="宋体"/>
                <w:sz w:val="16"/>
              </w:rPr>
              <w:t>&lt;=161449.70元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2A9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603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E4C5C">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58C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E1C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93F1D">
            <w:pPr>
              <w:jc w:val="center"/>
            </w:pPr>
            <w:r>
              <w:rPr>
                <w:rFonts w:ascii="宋体" w:hAnsi="宋体" w:eastAsia="宋体"/>
                <w:sz w:val="16"/>
              </w:rPr>
              <w:t>=161449.7元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8D9A6">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BE60A">
            <w:pPr>
              <w:jc w:val="center"/>
            </w:pPr>
          </w:p>
        </w:tc>
      </w:tr>
      <w:tr w14:paraId="6DFDE6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02D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B9B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0EF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6294F">
            <w:pPr>
              <w:jc w:val="center"/>
            </w:pPr>
            <w:r>
              <w:rPr>
                <w:rFonts w:ascii="宋体" w:hAnsi="宋体" w:eastAsia="宋体"/>
                <w:sz w:val="16"/>
              </w:rPr>
              <w:t>其他费用（元）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9E756">
            <w:pPr>
              <w:jc w:val="center"/>
            </w:pPr>
            <w:r>
              <w:rPr>
                <w:rFonts w:ascii="宋体" w:hAnsi="宋体" w:eastAsia="宋体"/>
                <w:sz w:val="16"/>
              </w:rPr>
              <w:t>&lt;=38190.30元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5E09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1AE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1C86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EA5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478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A948B">
            <w:pPr>
              <w:jc w:val="center"/>
            </w:pPr>
            <w:r>
              <w:rPr>
                <w:rFonts w:ascii="宋体" w:hAnsi="宋体" w:eastAsia="宋体"/>
                <w:sz w:val="16"/>
              </w:rPr>
              <w:t>=29184元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A0221">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624E4">
            <w:pPr>
              <w:jc w:val="center"/>
            </w:pPr>
            <w:r>
              <w:rPr>
                <w:rFonts w:ascii="宋体" w:hAnsi="宋体" w:eastAsia="宋体"/>
                <w:sz w:val="16"/>
              </w:rPr>
              <w:t>预算编制依据不足，预算目标脱离实际，未考虑2024年度人员调整，应精准预算编制，对单位实际情况进行考量，预测对支出的影响。措施：加强预算测算精准性，提高预算执行率。</w:t>
            </w:r>
          </w:p>
        </w:tc>
      </w:tr>
      <w:tr w14:paraId="5D1B42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65E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E937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EBEC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CD7C2">
            <w:pPr>
              <w:jc w:val="center"/>
            </w:pPr>
            <w:r>
              <w:rPr>
                <w:rFonts w:ascii="宋体" w:hAnsi="宋体" w:eastAsia="宋体"/>
                <w:sz w:val="16"/>
              </w:rPr>
              <w:t>增强党员的组织观念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691A6">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3DA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E74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C71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5BBE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E0E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F397A">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8C6D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6081E">
            <w:pPr>
              <w:jc w:val="center"/>
            </w:pPr>
          </w:p>
        </w:tc>
      </w:tr>
      <w:tr w14:paraId="43085B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84C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82F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FF9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4066B">
            <w:pPr>
              <w:jc w:val="center"/>
            </w:pPr>
            <w:r>
              <w:rPr>
                <w:rFonts w:ascii="宋体" w:hAnsi="宋体" w:eastAsia="宋体"/>
                <w:sz w:val="16"/>
              </w:rPr>
              <w:t>党员满意度（%）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A6F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6BC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7B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4D1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91FE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A07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3C92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519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3B5B1">
            <w:pPr>
              <w:jc w:val="center"/>
            </w:pPr>
          </w:p>
        </w:tc>
      </w:tr>
      <w:tr w14:paraId="298F874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7C584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CE39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6B3C2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30216">
            <w:pPr>
              <w:jc w:val="center"/>
            </w:pPr>
            <w:r>
              <w:rPr>
                <w:rFonts w:ascii="宋体" w:hAnsi="宋体" w:eastAsia="宋体"/>
                <w:sz w:val="16"/>
              </w:rPr>
              <w:t>97.08分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C83AF22"/>
        </w:tc>
      </w:tr>
    </w:tbl>
    <w:p w14:paraId="57284674">
      <w:r>
        <w:br w:type="page"/>
      </w:r>
    </w:p>
    <w:p w14:paraId="29590200">
      <w:pPr>
        <w:spacing w:line="640" w:lineRule="exact"/>
        <w:ind w:firstLine="640"/>
        <w:jc w:val="both"/>
        <w:outlineLvl w:val="2"/>
      </w:pPr>
      <w:r>
        <w:rPr>
          <w:rFonts w:ascii="黑体" w:hAnsi="黑体" w:eastAsia="黑体"/>
          <w:sz w:val="32"/>
        </w:rPr>
        <w:t>十二、其他需说明的事项</w:t>
      </w:r>
    </w:p>
    <w:p w14:paraId="6260FDA7">
      <w:pPr>
        <w:spacing w:line="580" w:lineRule="exact"/>
        <w:ind w:firstLine="640"/>
        <w:jc w:val="both"/>
      </w:pPr>
      <w:r>
        <w:rPr>
          <w:rFonts w:ascii="仿宋_GB2312" w:hAnsi="仿宋_GB2312" w:eastAsia="仿宋_GB2312"/>
          <w:b w:val="0"/>
          <w:sz w:val="32"/>
        </w:rPr>
        <w:t>本单位无其他需说明的事项。</w:t>
      </w:r>
    </w:p>
    <w:p w14:paraId="5BCC9167">
      <w:r>
        <w:br w:type="page"/>
      </w:r>
    </w:p>
    <w:p w14:paraId="7E34D4C8">
      <w:pPr>
        <w:spacing w:line="240" w:lineRule="auto"/>
        <w:jc w:val="center"/>
        <w:outlineLvl w:val="1"/>
      </w:pPr>
      <w:r>
        <w:rPr>
          <w:rFonts w:ascii="黑体" w:hAnsi="黑体" w:eastAsia="黑体"/>
          <w:sz w:val="32"/>
        </w:rPr>
        <w:t>第三部分 专业名词解释</w:t>
      </w:r>
    </w:p>
    <w:p w14:paraId="05759E7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B84FAA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1651E4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7C2A8D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C037A9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DC21F6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79F328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FF5A25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56E8AC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B8B8B4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7BC5F0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F0D88F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0E5703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4FF016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5CFFB91">
      <w:r>
        <w:br w:type="page"/>
      </w:r>
    </w:p>
    <w:p w14:paraId="42B80C09">
      <w:pPr>
        <w:spacing w:line="240" w:lineRule="auto"/>
        <w:jc w:val="center"/>
        <w:outlineLvl w:val="1"/>
      </w:pPr>
      <w:r>
        <w:rPr>
          <w:rFonts w:ascii="黑体" w:hAnsi="黑体" w:eastAsia="黑体"/>
          <w:sz w:val="32"/>
        </w:rPr>
        <w:t>第四部分 部门决算报表（见附表）</w:t>
      </w:r>
    </w:p>
    <w:p w14:paraId="36F7B58A">
      <w:pPr>
        <w:spacing w:line="240" w:lineRule="auto"/>
        <w:ind w:firstLine="640"/>
        <w:jc w:val="both"/>
      </w:pPr>
      <w:r>
        <w:rPr>
          <w:rFonts w:ascii="仿宋_GB2312" w:hAnsi="仿宋_GB2312" w:eastAsia="仿宋_GB2312"/>
          <w:b w:val="0"/>
          <w:sz w:val="32"/>
        </w:rPr>
        <w:t>一、《收入支出决算总表》</w:t>
      </w:r>
    </w:p>
    <w:p w14:paraId="1EB6616F">
      <w:pPr>
        <w:spacing w:line="240" w:lineRule="auto"/>
        <w:ind w:firstLine="640"/>
        <w:jc w:val="both"/>
      </w:pPr>
      <w:r>
        <w:rPr>
          <w:rFonts w:ascii="仿宋_GB2312" w:hAnsi="仿宋_GB2312" w:eastAsia="仿宋_GB2312"/>
          <w:b w:val="0"/>
          <w:sz w:val="32"/>
        </w:rPr>
        <w:t>二、《收入决算表》</w:t>
      </w:r>
    </w:p>
    <w:p w14:paraId="08C669B9">
      <w:pPr>
        <w:spacing w:line="240" w:lineRule="auto"/>
        <w:ind w:firstLine="640"/>
        <w:jc w:val="both"/>
      </w:pPr>
      <w:r>
        <w:rPr>
          <w:rFonts w:ascii="仿宋_GB2312" w:hAnsi="仿宋_GB2312" w:eastAsia="仿宋_GB2312"/>
          <w:b w:val="0"/>
          <w:sz w:val="32"/>
        </w:rPr>
        <w:t>三、《支出决算表》</w:t>
      </w:r>
    </w:p>
    <w:p w14:paraId="49CD5852">
      <w:pPr>
        <w:spacing w:line="240" w:lineRule="auto"/>
        <w:ind w:firstLine="640"/>
        <w:jc w:val="both"/>
      </w:pPr>
      <w:r>
        <w:rPr>
          <w:rFonts w:ascii="仿宋_GB2312" w:hAnsi="仿宋_GB2312" w:eastAsia="仿宋_GB2312"/>
          <w:b w:val="0"/>
          <w:sz w:val="32"/>
        </w:rPr>
        <w:t>四、《财政拨款收入支出决算总表》</w:t>
      </w:r>
    </w:p>
    <w:p w14:paraId="3EFB2354">
      <w:pPr>
        <w:spacing w:line="240" w:lineRule="auto"/>
        <w:ind w:firstLine="640"/>
        <w:jc w:val="both"/>
      </w:pPr>
      <w:r>
        <w:rPr>
          <w:rFonts w:ascii="仿宋_GB2312" w:hAnsi="仿宋_GB2312" w:eastAsia="仿宋_GB2312"/>
          <w:b w:val="0"/>
          <w:sz w:val="32"/>
        </w:rPr>
        <w:t>五、《一般公共预算财政拨款支出决算表》</w:t>
      </w:r>
    </w:p>
    <w:p w14:paraId="25FBA529">
      <w:pPr>
        <w:spacing w:line="240" w:lineRule="auto"/>
        <w:ind w:firstLine="640"/>
        <w:jc w:val="both"/>
      </w:pPr>
      <w:r>
        <w:rPr>
          <w:rFonts w:ascii="仿宋_GB2312" w:hAnsi="仿宋_GB2312" w:eastAsia="仿宋_GB2312"/>
          <w:b w:val="0"/>
          <w:sz w:val="32"/>
        </w:rPr>
        <w:t>六、《一般公共预算财政拨款基本支出决算表》</w:t>
      </w:r>
    </w:p>
    <w:p w14:paraId="167EF779">
      <w:pPr>
        <w:spacing w:line="240" w:lineRule="auto"/>
        <w:ind w:firstLine="640"/>
        <w:jc w:val="both"/>
      </w:pPr>
      <w:r>
        <w:rPr>
          <w:rFonts w:ascii="仿宋_GB2312" w:hAnsi="仿宋_GB2312" w:eastAsia="仿宋_GB2312"/>
          <w:b w:val="0"/>
          <w:sz w:val="32"/>
        </w:rPr>
        <w:t>七、《政府性基金预算财政拨款收入支出决算表》</w:t>
      </w:r>
    </w:p>
    <w:p w14:paraId="153F377E">
      <w:pPr>
        <w:spacing w:line="240" w:lineRule="auto"/>
        <w:ind w:firstLine="640"/>
        <w:jc w:val="both"/>
      </w:pPr>
      <w:r>
        <w:rPr>
          <w:rFonts w:ascii="仿宋_GB2312" w:hAnsi="仿宋_GB2312" w:eastAsia="仿宋_GB2312"/>
          <w:b w:val="0"/>
          <w:sz w:val="32"/>
        </w:rPr>
        <w:t>八、《国有资本经营预算财政拨款收入支出决算表》</w:t>
      </w:r>
    </w:p>
    <w:p w14:paraId="38BB75E8">
      <w:pPr>
        <w:spacing w:line="240" w:lineRule="auto"/>
        <w:ind w:firstLine="640"/>
        <w:jc w:val="both"/>
      </w:pPr>
      <w:r>
        <w:rPr>
          <w:rFonts w:ascii="仿宋_GB2312" w:hAnsi="仿宋_GB2312" w:eastAsia="仿宋_GB2312"/>
          <w:b w:val="0"/>
          <w:sz w:val="32"/>
        </w:rPr>
        <w:t>九、《财政拨款“三公”经费支出决算表》</w:t>
      </w:r>
    </w:p>
    <w:p w14:paraId="6AC002D8">
      <w:pPr>
        <w:spacing w:line="240" w:lineRule="auto"/>
        <w:ind w:firstLine="640"/>
        <w:jc w:val="both"/>
      </w:pPr>
    </w:p>
    <w:p w14:paraId="347F5E8C">
      <w:pPr>
        <w:spacing w:line="240" w:lineRule="auto"/>
        <w:ind w:firstLine="640"/>
        <w:jc w:val="both"/>
      </w:pPr>
    </w:p>
    <w:p w14:paraId="579C19FE">
      <w:pPr>
        <w:spacing w:line="240" w:lineRule="auto"/>
        <w:ind w:firstLine="640"/>
        <w:jc w:val="both"/>
      </w:pPr>
    </w:p>
    <w:p w14:paraId="125F048F">
      <w:pPr>
        <w:spacing w:line="240" w:lineRule="auto"/>
        <w:ind w:firstLine="640"/>
        <w:jc w:val="both"/>
      </w:pPr>
    </w:p>
    <w:p w14:paraId="76AB29C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582D2D"/>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C8650D0"/>
    <w:rsid w:val="4F3F074E"/>
    <w:rsid w:val="50DB5F45"/>
    <w:rsid w:val="52F92565"/>
    <w:rsid w:val="543D17CB"/>
    <w:rsid w:val="55DA564E"/>
    <w:rsid w:val="56E07045"/>
    <w:rsid w:val="583059FA"/>
    <w:rsid w:val="587E6212"/>
    <w:rsid w:val="5AFC6609"/>
    <w:rsid w:val="5D3C5E9C"/>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29544C"/>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5920</Words>
  <Characters>6644</Characters>
  <Lines>0</Lines>
  <Paragraphs>0</Paragraphs>
  <TotalTime>14</TotalTime>
  <ScaleCrop>false</ScaleCrop>
  <LinksUpToDate>false</LinksUpToDate>
  <CharactersWithSpaces>6652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2025-09-16T11:23:25Z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