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544B541">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lang w:val="en-US" w:eastAsia="zh-CN"/>
        </w:rPr>
      </w:pPr>
      <w:r>
        <w:rPr>
          <w:rFonts w:hint="eastAsia" w:ascii="方正小标宋_GBK" w:hAnsi="宋体" w:eastAsia="方正小标宋_GBK"/>
          <w:sz w:val="44"/>
          <w:szCs w:val="44"/>
          <w:highlight w:val="none"/>
          <w:lang w:val="en-US" w:eastAsia="zh-CN"/>
        </w:rPr>
        <w:t>中共疏附县委政法委员会</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282BA8F7">
      <w:r>
        <w:br w:type="page"/>
      </w:r>
    </w:p>
    <w:p w14:paraId="3C585D16">
      <w:pPr>
        <w:spacing w:line="640" w:lineRule="exact"/>
        <w:jc w:val="center"/>
        <w:outlineLvl w:val="1"/>
      </w:pPr>
      <w:r>
        <w:rPr>
          <w:rFonts w:ascii="黑体" w:hAnsi="黑体" w:eastAsia="黑体"/>
          <w:sz w:val="32"/>
        </w:rPr>
        <w:t>第一部分 单位概况</w:t>
      </w:r>
    </w:p>
    <w:p w14:paraId="739FB5D6">
      <w:pPr>
        <w:spacing w:line="640" w:lineRule="exact"/>
        <w:ind w:firstLine="640"/>
        <w:jc w:val="both"/>
        <w:outlineLvl w:val="2"/>
      </w:pPr>
      <w:r>
        <w:rPr>
          <w:rFonts w:ascii="黑体" w:hAnsi="黑体" w:eastAsia="黑体"/>
          <w:sz w:val="32"/>
        </w:rPr>
        <w:t>一、主要职能</w:t>
      </w:r>
    </w:p>
    <w:p w14:paraId="002B74BE">
      <w:pPr>
        <w:spacing w:line="580" w:lineRule="exact"/>
        <w:ind w:firstLine="640"/>
        <w:jc w:val="both"/>
      </w:pPr>
      <w:r>
        <w:rPr>
          <w:rFonts w:ascii="仿宋_GB2312" w:hAnsi="仿宋_GB2312" w:eastAsia="仿宋_GB2312"/>
          <w:sz w:val="32"/>
        </w:rPr>
        <w:t>在县委统一领导下，深入贯彻习近平新时代中国特色社会主义思想，深入贯彻党的路线方针政策和决策部署，统一政法各部门思想和行动，坚持党对政法工作的绝对领导，坚决维护党中央权威和集中统一领导。</w:t>
      </w:r>
    </w:p>
    <w:p w14:paraId="3425897E">
      <w:pPr>
        <w:spacing w:line="640" w:lineRule="exact"/>
        <w:ind w:firstLine="640"/>
        <w:jc w:val="both"/>
        <w:outlineLvl w:val="2"/>
      </w:pPr>
      <w:r>
        <w:rPr>
          <w:rFonts w:ascii="黑体" w:hAnsi="黑体" w:eastAsia="黑体"/>
          <w:sz w:val="32"/>
        </w:rPr>
        <w:t>二、机构设置及人员情况</w:t>
      </w:r>
    </w:p>
    <w:p w14:paraId="06FB8EA7">
      <w:pPr>
        <w:spacing w:line="580" w:lineRule="exact"/>
        <w:ind w:firstLine="640"/>
        <w:jc w:val="both"/>
      </w:pPr>
      <w:r>
        <w:rPr>
          <w:rFonts w:ascii="仿宋_GB2312" w:hAnsi="仿宋_GB2312" w:eastAsia="仿宋_GB2312"/>
          <w:sz w:val="32"/>
        </w:rPr>
        <w:t>本单位机构设置及人员情况SM不予公开。</w:t>
      </w:r>
    </w:p>
    <w:p w14:paraId="3C4CBB84">
      <w:r>
        <w:br w:type="page"/>
      </w:r>
    </w:p>
    <w:p w14:paraId="41708111">
      <w:pPr>
        <w:spacing w:line="240" w:lineRule="auto"/>
        <w:jc w:val="center"/>
        <w:outlineLvl w:val="1"/>
      </w:pPr>
      <w:r>
        <w:rPr>
          <w:rFonts w:ascii="黑体" w:hAnsi="黑体" w:eastAsia="黑体"/>
          <w:sz w:val="32"/>
        </w:rPr>
        <w:t>第二部分 部门决算情况说明</w:t>
      </w:r>
    </w:p>
    <w:p w14:paraId="306B4433">
      <w:pPr>
        <w:spacing w:line="640" w:lineRule="exact"/>
        <w:ind w:firstLine="640"/>
        <w:jc w:val="both"/>
        <w:outlineLvl w:val="2"/>
      </w:pPr>
      <w:r>
        <w:rPr>
          <w:rFonts w:ascii="黑体" w:hAnsi="黑体" w:eastAsia="黑体"/>
          <w:sz w:val="32"/>
        </w:rPr>
        <w:t>一、收入支出决算总体情况说明</w:t>
      </w:r>
    </w:p>
    <w:p w14:paraId="2021462E">
      <w:pPr>
        <w:spacing w:line="580" w:lineRule="exact"/>
        <w:ind w:firstLine="640"/>
        <w:jc w:val="both"/>
      </w:pPr>
      <w:r>
        <w:rPr>
          <w:rFonts w:ascii="仿宋_GB2312" w:hAnsi="仿宋_GB2312" w:eastAsia="仿宋_GB2312"/>
          <w:b/>
          <w:sz w:val="32"/>
        </w:rPr>
        <w:t>2024年度收入总计2,554.08万元，</w:t>
      </w:r>
      <w:r>
        <w:rPr>
          <w:rFonts w:ascii="仿宋_GB2312" w:hAnsi="仿宋_GB2312" w:eastAsia="仿宋_GB2312"/>
          <w:b w:val="0"/>
          <w:sz w:val="32"/>
        </w:rPr>
        <w:t>其中：本年收入合计2,554.08万元，使用非财政拨款结余（含专用结余）0.00万元，年初结转和结余0.00万元。</w:t>
      </w:r>
    </w:p>
    <w:p w14:paraId="6B2E74D1">
      <w:pPr>
        <w:spacing w:line="580" w:lineRule="exact"/>
        <w:ind w:firstLine="640"/>
        <w:jc w:val="both"/>
      </w:pPr>
      <w:r>
        <w:rPr>
          <w:rFonts w:ascii="仿宋_GB2312" w:hAnsi="仿宋_GB2312" w:eastAsia="仿宋_GB2312"/>
          <w:b/>
          <w:sz w:val="32"/>
        </w:rPr>
        <w:t>2024年度支出总计2,554.08万元，</w:t>
      </w:r>
      <w:r>
        <w:rPr>
          <w:rFonts w:ascii="仿宋_GB2312" w:hAnsi="仿宋_GB2312" w:eastAsia="仿宋_GB2312"/>
          <w:b w:val="0"/>
          <w:sz w:val="32"/>
        </w:rPr>
        <w:t>其中：本年支出合计2,554.08万元，结余分配0.00万元，年末结转和结余0.00万元。</w:t>
      </w:r>
    </w:p>
    <w:p w14:paraId="5B457232">
      <w:pPr>
        <w:spacing w:line="580" w:lineRule="exact"/>
        <w:ind w:firstLine="640"/>
        <w:jc w:val="both"/>
      </w:pPr>
      <w:r>
        <w:rPr>
          <w:rFonts w:ascii="仿宋_GB2312" w:hAnsi="仿宋_GB2312" w:eastAsia="仿宋_GB2312"/>
          <w:b w:val="0"/>
          <w:sz w:val="32"/>
        </w:rPr>
        <w:t>收入支出总体与上年相比，增加1,587.53万元，增长164.25%，主要原因是：本年增加化解2023年暂付款项目。</w:t>
      </w:r>
    </w:p>
    <w:p w14:paraId="7AFAC32E">
      <w:pPr>
        <w:spacing w:line="640" w:lineRule="exact"/>
        <w:ind w:firstLine="640"/>
        <w:jc w:val="both"/>
        <w:outlineLvl w:val="2"/>
      </w:pPr>
      <w:r>
        <w:rPr>
          <w:rFonts w:ascii="黑体" w:hAnsi="黑体" w:eastAsia="黑体"/>
          <w:sz w:val="32"/>
        </w:rPr>
        <w:t>二、收入决算情况说明</w:t>
      </w:r>
    </w:p>
    <w:p w14:paraId="5A6071FA">
      <w:pPr>
        <w:spacing w:line="580" w:lineRule="exact"/>
        <w:ind w:firstLine="640"/>
        <w:jc w:val="both"/>
      </w:pPr>
      <w:r>
        <w:rPr>
          <w:rFonts w:ascii="仿宋_GB2312" w:hAnsi="仿宋_GB2312" w:eastAsia="仿宋_GB2312"/>
          <w:b/>
          <w:sz w:val="32"/>
        </w:rPr>
        <w:t>本年收入2,554.08万元，</w:t>
      </w:r>
      <w:r>
        <w:rPr>
          <w:rFonts w:ascii="仿宋_GB2312" w:hAnsi="仿宋_GB2312" w:eastAsia="仿宋_GB2312"/>
          <w:b w:val="0"/>
          <w:sz w:val="32"/>
        </w:rPr>
        <w:t>其中：财政拨款收入2,456.53万元，占96.18%；上级补助收入0.00万元，占0.00%；事业收入0.00万元，占0.00%；经营收入0.00万元，占0.00%；附属单位上缴收入0.00万元，占0.00%；其他收入97.55万元，占3.82%。</w:t>
      </w:r>
    </w:p>
    <w:p w14:paraId="4E499734">
      <w:pPr>
        <w:spacing w:line="640" w:lineRule="exact"/>
        <w:ind w:firstLine="640"/>
        <w:jc w:val="both"/>
        <w:outlineLvl w:val="2"/>
      </w:pPr>
      <w:r>
        <w:rPr>
          <w:rFonts w:ascii="黑体" w:hAnsi="黑体" w:eastAsia="黑体"/>
          <w:sz w:val="32"/>
        </w:rPr>
        <w:t>三、支出决算情况说明</w:t>
      </w:r>
    </w:p>
    <w:p w14:paraId="45C9D78E">
      <w:pPr>
        <w:spacing w:line="580" w:lineRule="exact"/>
        <w:ind w:firstLine="640"/>
        <w:jc w:val="both"/>
      </w:pPr>
      <w:r>
        <w:rPr>
          <w:rFonts w:ascii="仿宋_GB2312" w:hAnsi="仿宋_GB2312" w:eastAsia="仿宋_GB2312"/>
          <w:b/>
          <w:sz w:val="32"/>
        </w:rPr>
        <w:t>本年支出2,554.08万元，</w:t>
      </w:r>
      <w:r>
        <w:rPr>
          <w:rFonts w:ascii="仿宋_GB2312" w:hAnsi="仿宋_GB2312" w:eastAsia="仿宋_GB2312"/>
          <w:b w:val="0"/>
          <w:sz w:val="32"/>
        </w:rPr>
        <w:t>其中：基本支出706.50万元，占27.66%；项目支出1,847.58万元，占72.34%；上缴上级支出0.00万元，占0.00%；经营支出0.00万元，占0.00%；对附属单位补助支出0.00万元，占0.00%。</w:t>
      </w:r>
    </w:p>
    <w:p w14:paraId="54417CCF">
      <w:pPr>
        <w:spacing w:line="640" w:lineRule="exact"/>
        <w:ind w:firstLine="640"/>
        <w:jc w:val="both"/>
        <w:outlineLvl w:val="2"/>
      </w:pPr>
      <w:r>
        <w:rPr>
          <w:rFonts w:ascii="黑体" w:hAnsi="黑体" w:eastAsia="黑体"/>
          <w:sz w:val="32"/>
        </w:rPr>
        <w:t>四、财政拨款收入支出决算总体情况说明</w:t>
      </w:r>
    </w:p>
    <w:p w14:paraId="40FF1A2E">
      <w:pPr>
        <w:spacing w:line="580" w:lineRule="exact"/>
        <w:ind w:firstLine="640"/>
        <w:jc w:val="both"/>
      </w:pPr>
      <w:r>
        <w:rPr>
          <w:rFonts w:ascii="仿宋_GB2312" w:hAnsi="仿宋_GB2312" w:eastAsia="仿宋_GB2312"/>
          <w:b/>
          <w:sz w:val="32"/>
        </w:rPr>
        <w:t>2024年度财政拨款收入总计2,456.53万元，</w:t>
      </w:r>
      <w:r>
        <w:rPr>
          <w:rFonts w:ascii="仿宋_GB2312" w:hAnsi="仿宋_GB2312" w:eastAsia="仿宋_GB2312"/>
          <w:b w:val="0"/>
          <w:sz w:val="32"/>
        </w:rPr>
        <w:t>其中：年初财政拨款结转和结余0.00万元，本年财政拨款收入2,456.53万元。</w:t>
      </w:r>
      <w:r>
        <w:rPr>
          <w:rFonts w:ascii="仿宋_GB2312" w:hAnsi="仿宋_GB2312" w:eastAsia="仿宋_GB2312"/>
          <w:b/>
          <w:sz w:val="32"/>
        </w:rPr>
        <w:t>财政拨款支出总计2,456.53万元，</w:t>
      </w:r>
      <w:r>
        <w:rPr>
          <w:rFonts w:ascii="仿宋_GB2312" w:hAnsi="仿宋_GB2312" w:eastAsia="仿宋_GB2312"/>
          <w:b w:val="0"/>
          <w:sz w:val="32"/>
        </w:rPr>
        <w:t>其中：年末财政拨款结转和结余0.00万元，本年财政拨款支出2,456.53万元。</w:t>
      </w:r>
    </w:p>
    <w:p w14:paraId="387AC9AD">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增加1,489.98万元，增长154.15%，主要原因是：本年增加化解2023年暂付款项目。</w:t>
      </w:r>
      <w:r>
        <w:rPr>
          <w:rFonts w:ascii="仿宋_GB2312" w:hAnsi="仿宋_GB2312" w:eastAsia="仿宋_GB2312"/>
          <w:b/>
          <w:sz w:val="32"/>
        </w:rPr>
        <w:t>与年初预算相比，</w:t>
      </w:r>
      <w:r>
        <w:rPr>
          <w:rFonts w:ascii="仿宋_GB2312" w:hAnsi="仿宋_GB2312" w:eastAsia="仿宋_GB2312"/>
          <w:b w:val="0"/>
          <w:sz w:val="32"/>
        </w:rPr>
        <w:t>年初预算数777.39万元，决算数2,456.53万元，预决算差异率216.00%，主要原因是：年中追加化解2023年暂付款项目，导致预决算存在差异。</w:t>
      </w:r>
    </w:p>
    <w:p w14:paraId="7A4D8E40">
      <w:pPr>
        <w:spacing w:line="640" w:lineRule="exact"/>
        <w:ind w:firstLine="640"/>
        <w:jc w:val="both"/>
        <w:outlineLvl w:val="2"/>
      </w:pPr>
      <w:r>
        <w:rPr>
          <w:rFonts w:ascii="黑体" w:hAnsi="黑体" w:eastAsia="黑体"/>
          <w:sz w:val="32"/>
        </w:rPr>
        <w:t>五、一般公共预算财政拨款支出决算情况说明</w:t>
      </w:r>
    </w:p>
    <w:p w14:paraId="1D2A7743">
      <w:pPr>
        <w:spacing w:line="640" w:lineRule="exact"/>
        <w:ind w:firstLine="640"/>
        <w:jc w:val="both"/>
        <w:outlineLvl w:val="3"/>
      </w:pPr>
      <w:r>
        <w:rPr>
          <w:rFonts w:ascii="楷体_GB2312" w:hAnsi="楷体_GB2312" w:eastAsia="楷体_GB2312"/>
          <w:b/>
          <w:sz w:val="32"/>
        </w:rPr>
        <w:t>（一）一般公共预算财政拨款支出决算总体情况</w:t>
      </w:r>
    </w:p>
    <w:p w14:paraId="54AD6360">
      <w:pPr>
        <w:spacing w:line="580" w:lineRule="exact"/>
        <w:ind w:firstLine="640"/>
        <w:jc w:val="both"/>
      </w:pPr>
      <w:r>
        <w:rPr>
          <w:rFonts w:ascii="仿宋_GB2312" w:hAnsi="仿宋_GB2312" w:eastAsia="仿宋_GB2312"/>
          <w:b/>
          <w:sz w:val="32"/>
        </w:rPr>
        <w:t>2024年度一般公共预算财政拨款支出2,456.53万元，</w:t>
      </w:r>
      <w:r>
        <w:rPr>
          <w:rFonts w:ascii="仿宋_GB2312" w:hAnsi="仿宋_GB2312" w:eastAsia="仿宋_GB2312"/>
          <w:b w:val="0"/>
          <w:sz w:val="32"/>
        </w:rPr>
        <w:t>占本年支出合计的96.18%。</w:t>
      </w:r>
      <w:r>
        <w:rPr>
          <w:rFonts w:ascii="仿宋_GB2312" w:hAnsi="仿宋_GB2312" w:eastAsia="仿宋_GB2312"/>
          <w:b/>
          <w:sz w:val="32"/>
        </w:rPr>
        <w:t>与上年相比，</w:t>
      </w:r>
      <w:r>
        <w:rPr>
          <w:rFonts w:ascii="仿宋_GB2312" w:hAnsi="仿宋_GB2312" w:eastAsia="仿宋_GB2312"/>
          <w:b w:val="0"/>
          <w:sz w:val="32"/>
        </w:rPr>
        <w:t>增加1,489.98万元，增长154.15%，主要原因是：本年增加化解2023年暂付款项目。</w:t>
      </w:r>
      <w:r>
        <w:rPr>
          <w:rFonts w:ascii="仿宋_GB2312" w:hAnsi="仿宋_GB2312" w:eastAsia="仿宋_GB2312"/>
          <w:b/>
          <w:sz w:val="32"/>
        </w:rPr>
        <w:t>与年初预算相比</w:t>
      </w:r>
      <w:bookmarkStart w:id="0" w:name="_GoBack"/>
      <w:r>
        <w:rPr>
          <w:rFonts w:ascii="仿宋_GB2312" w:hAnsi="仿宋_GB2312" w:eastAsia="仿宋_GB2312"/>
          <w:b/>
          <w:sz w:val="32"/>
        </w:rPr>
        <w:t>,</w:t>
      </w:r>
      <w:bookmarkEnd w:id="0"/>
      <w:r>
        <w:rPr>
          <w:rFonts w:ascii="仿宋_GB2312" w:hAnsi="仿宋_GB2312" w:eastAsia="仿宋_GB2312"/>
          <w:b w:val="0"/>
          <w:sz w:val="32"/>
        </w:rPr>
        <w:t>年初预算数777.39万元，决算数2,456.53万元，预决算差异率216.00%，主要原因是：年中追加化解2023年暂付款项目，导致预决算存在差异。</w:t>
      </w:r>
    </w:p>
    <w:p w14:paraId="1F2C1022">
      <w:pPr>
        <w:spacing w:line="640" w:lineRule="exact"/>
        <w:ind w:firstLine="640"/>
        <w:jc w:val="both"/>
        <w:outlineLvl w:val="3"/>
      </w:pPr>
      <w:r>
        <w:rPr>
          <w:rFonts w:ascii="楷体_GB2312" w:hAnsi="楷体_GB2312" w:eastAsia="楷体_GB2312"/>
          <w:b/>
          <w:sz w:val="32"/>
        </w:rPr>
        <w:t>（二）一般公共预算财政拨款支出决算结构情况</w:t>
      </w:r>
    </w:p>
    <w:p w14:paraId="45DB9D9E">
      <w:pPr>
        <w:spacing w:line="580" w:lineRule="exact"/>
        <w:ind w:firstLine="640"/>
        <w:jc w:val="both"/>
      </w:pPr>
      <w:r>
        <w:rPr>
          <w:rFonts w:ascii="仿宋_GB2312" w:hAnsi="仿宋_GB2312" w:eastAsia="仿宋_GB2312"/>
          <w:b w:val="0"/>
          <w:sz w:val="32"/>
        </w:rPr>
        <w:t>1.一般公共服务支出(类)2,258.92万元,占91.96%。</w:t>
      </w:r>
    </w:p>
    <w:p w14:paraId="5E71EF0C">
      <w:pPr>
        <w:spacing w:line="580" w:lineRule="exact"/>
        <w:ind w:firstLine="640"/>
        <w:jc w:val="both"/>
      </w:pPr>
      <w:r>
        <w:rPr>
          <w:rFonts w:ascii="仿宋_GB2312" w:hAnsi="仿宋_GB2312" w:eastAsia="仿宋_GB2312"/>
          <w:b w:val="0"/>
          <w:sz w:val="32"/>
        </w:rPr>
        <w:t>2.社会保障和就业支出(类)102.30万元,占4.16%。</w:t>
      </w:r>
    </w:p>
    <w:p w14:paraId="59FC077A">
      <w:pPr>
        <w:spacing w:line="580" w:lineRule="exact"/>
        <w:ind w:firstLine="640"/>
        <w:jc w:val="both"/>
      </w:pPr>
      <w:r>
        <w:rPr>
          <w:rFonts w:ascii="仿宋_GB2312" w:hAnsi="仿宋_GB2312" w:eastAsia="仿宋_GB2312"/>
          <w:b w:val="0"/>
          <w:sz w:val="32"/>
        </w:rPr>
        <w:t>3.卫生健康支出(类)30.94万元,占1.26%。</w:t>
      </w:r>
    </w:p>
    <w:p w14:paraId="56DBD217">
      <w:pPr>
        <w:spacing w:line="580" w:lineRule="exact"/>
        <w:ind w:firstLine="640"/>
        <w:jc w:val="both"/>
      </w:pPr>
      <w:r>
        <w:rPr>
          <w:rFonts w:ascii="仿宋_GB2312" w:hAnsi="仿宋_GB2312" w:eastAsia="仿宋_GB2312"/>
          <w:b w:val="0"/>
          <w:sz w:val="32"/>
        </w:rPr>
        <w:t>4.住房保障支出(类)53.88万元,占2.19%。</w:t>
      </w:r>
    </w:p>
    <w:p w14:paraId="71E056D2">
      <w:pPr>
        <w:spacing w:line="580" w:lineRule="exact"/>
        <w:ind w:firstLine="640"/>
        <w:jc w:val="both"/>
      </w:pPr>
      <w:r>
        <w:rPr>
          <w:rFonts w:ascii="仿宋_GB2312" w:hAnsi="仿宋_GB2312" w:eastAsia="仿宋_GB2312"/>
          <w:b w:val="0"/>
          <w:sz w:val="32"/>
        </w:rPr>
        <w:t>5.其他支出(类)10.50万元,占0.43%。</w:t>
      </w:r>
    </w:p>
    <w:p w14:paraId="086E5B7C">
      <w:pPr>
        <w:spacing w:line="640" w:lineRule="exact"/>
        <w:ind w:firstLine="640"/>
        <w:jc w:val="both"/>
        <w:outlineLvl w:val="3"/>
      </w:pPr>
      <w:r>
        <w:rPr>
          <w:rFonts w:ascii="楷体_GB2312" w:hAnsi="楷体_GB2312" w:eastAsia="楷体_GB2312"/>
          <w:b/>
          <w:sz w:val="32"/>
        </w:rPr>
        <w:t>（三）一般公共预算财政拨款支出决算具体情况</w:t>
      </w:r>
    </w:p>
    <w:p w14:paraId="3F97817D">
      <w:pPr>
        <w:spacing w:line="580" w:lineRule="exact"/>
        <w:ind w:firstLine="640"/>
        <w:jc w:val="both"/>
      </w:pPr>
      <w:r>
        <w:rPr>
          <w:rFonts w:ascii="仿宋_GB2312" w:hAnsi="仿宋_GB2312" w:eastAsia="仿宋_GB2312"/>
          <w:b w:val="0"/>
          <w:sz w:val="32"/>
        </w:rPr>
        <w:t>1.一般公共服务支出(类)党委办公厅（室）及相关机构事务(款)行政运行(项):支出决算数为519.39万元，比上年决算减少58.98万元，下降10.20%,主要原因是：本年在职人员减少，相应人员经费较上年减少。</w:t>
      </w:r>
    </w:p>
    <w:p w14:paraId="5A0E02ED">
      <w:pPr>
        <w:spacing w:line="580" w:lineRule="exact"/>
        <w:ind w:firstLine="640"/>
        <w:jc w:val="both"/>
      </w:pPr>
      <w:r>
        <w:rPr>
          <w:rFonts w:ascii="仿宋_GB2312" w:hAnsi="仿宋_GB2312" w:eastAsia="仿宋_GB2312"/>
          <w:b w:val="0"/>
          <w:sz w:val="32"/>
        </w:rPr>
        <w:t>2.一般公共服务支出(类)党委办公厅（室）及相关机构事务(款)一般行政管理事务(项):支出决算数为1,699.73万元，比上年决算增加1,473.80万元，增长652.33%,主要原因是：本年增加化解2023年暂付款项目。</w:t>
      </w:r>
    </w:p>
    <w:p w14:paraId="54838DE7">
      <w:pPr>
        <w:spacing w:line="580" w:lineRule="exact"/>
        <w:ind w:firstLine="640"/>
        <w:jc w:val="both"/>
      </w:pPr>
      <w:r>
        <w:rPr>
          <w:rFonts w:ascii="仿宋_GB2312" w:hAnsi="仿宋_GB2312" w:eastAsia="仿宋_GB2312"/>
          <w:b w:val="0"/>
          <w:sz w:val="32"/>
        </w:rPr>
        <w:t>3.一般公共服务支出(类)党委办公厅（室）及相关机构事务(款)其他党委办公厅（室）及相关机构事务支出(项):支出决算数为39.80万元，比上年决算增加39.80万元，增长100.00%,主要原因是：本年新增“以奖代补”奖励经费项目。</w:t>
      </w:r>
    </w:p>
    <w:p w14:paraId="40741E9B">
      <w:pPr>
        <w:spacing w:line="580" w:lineRule="exact"/>
        <w:ind w:firstLine="640"/>
        <w:jc w:val="both"/>
      </w:pPr>
      <w:r>
        <w:rPr>
          <w:rFonts w:ascii="仿宋_GB2312" w:hAnsi="仿宋_GB2312" w:eastAsia="仿宋_GB2312"/>
          <w:b w:val="0"/>
          <w:sz w:val="32"/>
        </w:rPr>
        <w:t>4.社会保障和就业支出(类)行政事业单位养老支出(款)行政单位离退休(项):支出决算数为6.10万元，比上年决算增加0.69万元，增长12.75%,主要原因是：本年增加退休人员基础绩效奖，退休费支出增加。</w:t>
      </w:r>
    </w:p>
    <w:p w14:paraId="15F95F36">
      <w:pPr>
        <w:spacing w:line="580" w:lineRule="exact"/>
        <w:ind w:firstLine="640"/>
        <w:jc w:val="both"/>
      </w:pPr>
      <w:r>
        <w:rPr>
          <w:rFonts w:ascii="仿宋_GB2312" w:hAnsi="仿宋_GB2312" w:eastAsia="仿宋_GB2312"/>
          <w:b w:val="0"/>
          <w:sz w:val="32"/>
        </w:rPr>
        <w:t>5.社会保障和就业支出(类)行政事业单位养老支出(款)机关事业单位基本养老保险缴费支出(项):支出决算数为63.49万元，比上年决算增加0.21万元，增长0.33%,主要原因是：本年在职人员工资基数调增，养老缴费基数上涨，相应支出增加。</w:t>
      </w:r>
    </w:p>
    <w:p w14:paraId="6E20B290">
      <w:pPr>
        <w:spacing w:line="580" w:lineRule="exact"/>
        <w:ind w:firstLine="640"/>
        <w:jc w:val="both"/>
      </w:pPr>
      <w:r>
        <w:rPr>
          <w:rFonts w:ascii="仿宋_GB2312" w:hAnsi="仿宋_GB2312" w:eastAsia="仿宋_GB2312"/>
          <w:b w:val="0"/>
          <w:sz w:val="32"/>
        </w:rPr>
        <w:t>6.社会保障和就业支出(类)抚恤(款)死亡抚恤(项):支出决算数为32.70万元，比上年决算增加32.70万元，增长100.00%,主要原因是：本年新增死亡人员，死亡抚恤支出增加。</w:t>
      </w:r>
    </w:p>
    <w:p w14:paraId="48942F3F">
      <w:pPr>
        <w:spacing w:line="580" w:lineRule="exact"/>
        <w:ind w:firstLine="640"/>
        <w:jc w:val="both"/>
      </w:pPr>
      <w:r>
        <w:rPr>
          <w:rFonts w:ascii="仿宋_GB2312" w:hAnsi="仿宋_GB2312" w:eastAsia="仿宋_GB2312"/>
          <w:b w:val="0"/>
          <w:sz w:val="32"/>
        </w:rPr>
        <w:t>7.卫生健康支出(类)行政事业单位医疗(款)行政单位医疗(项):支出决算数为27.21万元，比上年决算增加0.32万元，增长1.19%,主要原因是：本年在职人员工资基数调增，医疗缴费基数上涨，相应支出增加。</w:t>
      </w:r>
    </w:p>
    <w:p w14:paraId="31EE5181">
      <w:pPr>
        <w:spacing w:line="580" w:lineRule="exact"/>
        <w:ind w:firstLine="640"/>
        <w:jc w:val="both"/>
      </w:pPr>
      <w:r>
        <w:rPr>
          <w:rFonts w:ascii="仿宋_GB2312" w:hAnsi="仿宋_GB2312" w:eastAsia="仿宋_GB2312"/>
          <w:b w:val="0"/>
          <w:sz w:val="32"/>
        </w:rPr>
        <w:t>8.卫生健康支出(类)行政事业单位医疗(款)公务员医疗补助(项):支出决算数为3.72万元，比上年决算增加0.28万元，增长8.14%,主要原因是：本年在职人员工资基数调增，公务员医疗补助上涨，相应支出增加。</w:t>
      </w:r>
    </w:p>
    <w:p w14:paraId="7B471273">
      <w:pPr>
        <w:spacing w:line="580" w:lineRule="exact"/>
        <w:ind w:firstLine="640"/>
        <w:jc w:val="both"/>
      </w:pPr>
      <w:r>
        <w:rPr>
          <w:rFonts w:ascii="仿宋_GB2312" w:hAnsi="仿宋_GB2312" w:eastAsia="仿宋_GB2312"/>
          <w:b w:val="0"/>
          <w:sz w:val="32"/>
        </w:rPr>
        <w:t>9.住房保障支出(类)住房改革支出(款)住房公积金(项):支出决算数为53.88万元，比上年决算减少1.85万元，下降3.32%,主要原因是：本年在职人员减少，住房公积金缴费较上年减少。</w:t>
      </w:r>
    </w:p>
    <w:p w14:paraId="60C3C70C">
      <w:pPr>
        <w:spacing w:line="580" w:lineRule="exact"/>
        <w:ind w:firstLine="640"/>
        <w:jc w:val="both"/>
      </w:pPr>
      <w:r>
        <w:rPr>
          <w:rFonts w:ascii="仿宋_GB2312" w:hAnsi="仿宋_GB2312" w:eastAsia="仿宋_GB2312"/>
          <w:b w:val="0"/>
          <w:sz w:val="32"/>
        </w:rPr>
        <w:t>10.其他支出(类)其他支出(款)其他支出(项):支出决算数为10.50万元，比上年决算增加3.00万元，增长40.00%,主要原因是：本年增加为民办实事经费项目支出，导致经费较上年增加。</w:t>
      </w:r>
    </w:p>
    <w:p w14:paraId="3601DB0F">
      <w:pPr>
        <w:spacing w:line="640" w:lineRule="exact"/>
        <w:ind w:firstLine="640"/>
        <w:jc w:val="both"/>
        <w:outlineLvl w:val="2"/>
      </w:pPr>
      <w:r>
        <w:rPr>
          <w:rFonts w:ascii="黑体" w:hAnsi="黑体" w:eastAsia="黑体"/>
          <w:sz w:val="32"/>
        </w:rPr>
        <w:t>六、一般公共预算财政拨款基本支出决算情况说明</w:t>
      </w:r>
    </w:p>
    <w:p w14:paraId="01A791FB">
      <w:pPr>
        <w:spacing w:line="580" w:lineRule="exact"/>
        <w:ind w:firstLine="640"/>
        <w:jc w:val="both"/>
      </w:pPr>
      <w:r>
        <w:rPr>
          <w:rFonts w:ascii="仿宋_GB2312" w:hAnsi="仿宋_GB2312" w:eastAsia="仿宋_GB2312"/>
          <w:b w:val="0"/>
          <w:sz w:val="32"/>
        </w:rPr>
        <w:t>2024年度一般公共预算财政拨款基本支出706.50万元，其中：</w:t>
      </w:r>
      <w:r>
        <w:rPr>
          <w:rFonts w:ascii="仿宋_GB2312" w:hAnsi="仿宋_GB2312" w:eastAsia="仿宋_GB2312"/>
          <w:b/>
          <w:sz w:val="32"/>
        </w:rPr>
        <w:t>人员经费690.65万元，</w:t>
      </w:r>
      <w:r>
        <w:rPr>
          <w:rFonts w:ascii="仿宋_GB2312" w:hAnsi="仿宋_GB2312" w:eastAsia="仿宋_GB2312"/>
          <w:b w:val="0"/>
          <w:sz w:val="32"/>
        </w:rPr>
        <w:t>包括：基本工资、津贴补贴、奖金、机关事业单位基本养老保险缴费、职工基本医疗保险缴费、公务员医疗补助缴费、其他社会保障缴费、住房公积金、退休费、抚恤金。</w:t>
      </w:r>
    </w:p>
    <w:p w14:paraId="6010A5E5">
      <w:pPr>
        <w:spacing w:line="580" w:lineRule="exact"/>
        <w:ind w:firstLine="640"/>
        <w:jc w:val="both"/>
      </w:pPr>
      <w:r>
        <w:rPr>
          <w:rFonts w:ascii="仿宋_GB2312" w:hAnsi="仿宋_GB2312" w:eastAsia="仿宋_GB2312"/>
          <w:b/>
          <w:sz w:val="32"/>
        </w:rPr>
        <w:t>公用经费15.85万元，</w:t>
      </w:r>
      <w:r>
        <w:rPr>
          <w:rFonts w:ascii="仿宋_GB2312" w:hAnsi="仿宋_GB2312" w:eastAsia="仿宋_GB2312"/>
          <w:b w:val="0"/>
          <w:sz w:val="32"/>
        </w:rPr>
        <w:t>包括：办公费、邮电费、差旅费、公务用车运行维护费。</w:t>
      </w:r>
    </w:p>
    <w:p w14:paraId="56A220D0">
      <w:pPr>
        <w:spacing w:line="640" w:lineRule="exact"/>
        <w:ind w:firstLine="640"/>
        <w:jc w:val="both"/>
        <w:outlineLvl w:val="2"/>
      </w:pPr>
      <w:r>
        <w:rPr>
          <w:rFonts w:ascii="黑体" w:hAnsi="黑体" w:eastAsia="黑体"/>
          <w:sz w:val="32"/>
        </w:rPr>
        <w:t>七、政府性基金预算财政拨款收入支出决算情况说明</w:t>
      </w:r>
    </w:p>
    <w:p w14:paraId="7599A03D">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3E3AEDB7">
      <w:pPr>
        <w:spacing w:line="640" w:lineRule="exact"/>
        <w:ind w:firstLine="640"/>
        <w:jc w:val="both"/>
        <w:outlineLvl w:val="2"/>
      </w:pPr>
      <w:r>
        <w:rPr>
          <w:rFonts w:ascii="黑体" w:hAnsi="黑体" w:eastAsia="黑体"/>
          <w:sz w:val="32"/>
        </w:rPr>
        <w:t>八、国有资本经营预算财政拨款收入支出决算情况说明</w:t>
      </w:r>
    </w:p>
    <w:p w14:paraId="5A574145">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39054FE2">
      <w:pPr>
        <w:spacing w:line="640" w:lineRule="exact"/>
        <w:ind w:firstLine="640"/>
        <w:jc w:val="both"/>
        <w:outlineLvl w:val="2"/>
      </w:pPr>
      <w:r>
        <w:rPr>
          <w:rFonts w:ascii="黑体" w:hAnsi="黑体" w:eastAsia="黑体"/>
          <w:sz w:val="32"/>
        </w:rPr>
        <w:t>九、财政拨款“三公”经费支出决算情况说明</w:t>
      </w:r>
    </w:p>
    <w:p w14:paraId="093E8F80">
      <w:pPr>
        <w:spacing w:line="580" w:lineRule="exact"/>
        <w:ind w:firstLine="640"/>
        <w:jc w:val="both"/>
      </w:pPr>
      <w:r>
        <w:rPr>
          <w:rFonts w:ascii="仿宋_GB2312" w:hAnsi="仿宋_GB2312" w:eastAsia="仿宋_GB2312"/>
          <w:b/>
          <w:sz w:val="32"/>
        </w:rPr>
        <w:t>2024年度财政拨款“三公”经费支出59.60万元，</w:t>
      </w:r>
      <w:r>
        <w:rPr>
          <w:rFonts w:ascii="仿宋_GB2312" w:hAnsi="仿宋_GB2312" w:eastAsia="仿宋_GB2312"/>
          <w:b w:val="0"/>
          <w:sz w:val="32"/>
        </w:rPr>
        <w:t>比上年增加55.90万元，增长1,510.81%，主要原因是：本年因业务需求，增加公务接待工作，导致公务接待费较上年增加。其中：因公出国（境）费支出0.00万元，占0.00%，比上年增加0.00万元，增长0.00%，主要原因是：2023年与2024年均未安排因公出国（境）费支出。公务用车购置及运行维护费支出3.20万元，占5.37%，比上年减少0.50万元，下降13.51%，主要原因是：严格落实中央八项规定精神，厉行节约，减少公务用车运行维护费。公务接待费支出56.40万元，占94.63%，比上年增加56.40万元，增长100.00%，主要原因是：本年因业务需求，增加公务接待工作，导致公务接待费较上年增加。</w:t>
      </w:r>
    </w:p>
    <w:p w14:paraId="63B646EB">
      <w:pPr>
        <w:spacing w:line="580" w:lineRule="exact"/>
        <w:ind w:firstLine="640"/>
        <w:jc w:val="both"/>
      </w:pPr>
      <w:r>
        <w:rPr>
          <w:rFonts w:ascii="仿宋_GB2312" w:hAnsi="仿宋_GB2312" w:eastAsia="仿宋_GB2312"/>
          <w:b/>
          <w:sz w:val="32"/>
        </w:rPr>
        <w:t>具体情况如下：</w:t>
      </w:r>
    </w:p>
    <w:p w14:paraId="47560F6C">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72750654">
      <w:pPr>
        <w:spacing w:line="580" w:lineRule="exact"/>
        <w:ind w:firstLine="640"/>
        <w:jc w:val="both"/>
      </w:pPr>
      <w:r>
        <w:rPr>
          <w:rFonts w:ascii="仿宋_GB2312" w:hAnsi="仿宋_GB2312" w:eastAsia="仿宋_GB2312"/>
          <w:b w:val="0"/>
          <w:sz w:val="32"/>
        </w:rPr>
        <w:t>公务用车购置及运行维护费3.20万元，其中：公务用车购置费0.00万元，公务用车运行维护费3.20万元。公务用车运行维护费开支内容包括车辆加油费、维修费、保险费、审车费、过路费等。公务用车购置数0辆，公务用车保有量3辆。国有资产占用情况中固定资产车辆3辆，与公务用车保有量差异原因是：本单位固定资产车辆与公务用车保有量一致无差异。</w:t>
      </w:r>
    </w:p>
    <w:p w14:paraId="586177B6">
      <w:pPr>
        <w:spacing w:line="580" w:lineRule="exact"/>
        <w:ind w:firstLine="640"/>
        <w:jc w:val="both"/>
      </w:pPr>
      <w:r>
        <w:rPr>
          <w:rFonts w:ascii="仿宋_GB2312" w:hAnsi="仿宋_GB2312" w:eastAsia="仿宋_GB2312"/>
          <w:b w:val="0"/>
          <w:sz w:val="32"/>
        </w:rPr>
        <w:t>公务接待费56.40万元，开支内容包括支付2018年至2024年指导组、督导组等检查工作产生的就餐费。单位全年安排的国内公务接待384批次，4,166人次。</w:t>
      </w:r>
    </w:p>
    <w:p w14:paraId="62276655">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59.60万元，决算数59.60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3.20万元，决算数3.20万元，预决算差异率0.00%，主要原因是：严格按照预算执行，预决算无差异。公务接待费全年预算数56.40万元，决算数56.40万元，预决算差异率0.00%，主要原因是：严格按照预算执行，预决算无差异。</w:t>
      </w:r>
    </w:p>
    <w:p w14:paraId="274EDA10">
      <w:pPr>
        <w:spacing w:line="640" w:lineRule="exact"/>
        <w:ind w:firstLine="640"/>
        <w:jc w:val="both"/>
        <w:outlineLvl w:val="2"/>
      </w:pPr>
      <w:r>
        <w:rPr>
          <w:rFonts w:ascii="黑体" w:hAnsi="黑体" w:eastAsia="黑体"/>
          <w:sz w:val="32"/>
        </w:rPr>
        <w:t>十、其他重要事项的情况说明</w:t>
      </w:r>
    </w:p>
    <w:p w14:paraId="6DA8806E">
      <w:pPr>
        <w:spacing w:line="640" w:lineRule="exact"/>
        <w:ind w:firstLine="640"/>
        <w:jc w:val="both"/>
        <w:outlineLvl w:val="3"/>
      </w:pPr>
      <w:r>
        <w:rPr>
          <w:rFonts w:ascii="楷体_GB2312" w:hAnsi="楷体_GB2312" w:eastAsia="楷体_GB2312"/>
          <w:b/>
          <w:sz w:val="32"/>
        </w:rPr>
        <w:t>（一）机关运行经费及公用经费支出情况</w:t>
      </w:r>
    </w:p>
    <w:p w14:paraId="65BFEC58">
      <w:pPr>
        <w:spacing w:line="580" w:lineRule="exact"/>
        <w:ind w:firstLine="640"/>
        <w:jc w:val="both"/>
      </w:pPr>
      <w:r>
        <w:rPr>
          <w:rFonts w:ascii="仿宋_GB2312" w:hAnsi="仿宋_GB2312" w:eastAsia="仿宋_GB2312"/>
          <w:b w:val="0"/>
          <w:sz w:val="32"/>
        </w:rPr>
        <w:t>2024年度中共疏附县委政法委员会（行政单位和参照公务员法管理事业单位）机关运行经费支出15.85万元，比上年减少4.52万元，下降22.19%，主要原因是：严控经费支出，厉行节约，减少经费支出。</w:t>
      </w:r>
    </w:p>
    <w:p w14:paraId="55B50CA1">
      <w:pPr>
        <w:spacing w:line="640" w:lineRule="exact"/>
        <w:ind w:firstLine="640"/>
        <w:jc w:val="both"/>
        <w:outlineLvl w:val="3"/>
      </w:pPr>
      <w:r>
        <w:rPr>
          <w:rFonts w:ascii="楷体_GB2312" w:hAnsi="楷体_GB2312" w:eastAsia="楷体_GB2312"/>
          <w:b/>
          <w:sz w:val="32"/>
        </w:rPr>
        <w:t>（二）政府采购情况</w:t>
      </w:r>
    </w:p>
    <w:p w14:paraId="13CEDCE3">
      <w:pPr>
        <w:spacing w:line="580" w:lineRule="exact"/>
        <w:ind w:firstLine="640"/>
        <w:jc w:val="both"/>
      </w:pPr>
      <w:r>
        <w:rPr>
          <w:rFonts w:ascii="仿宋_GB2312" w:hAnsi="仿宋_GB2312" w:eastAsia="仿宋_GB2312"/>
          <w:b w:val="0"/>
          <w:sz w:val="32"/>
        </w:rPr>
        <w:t>2024年度政府采购支出总额100.86万元，其中：政府采购货物支出24.32万元、政府采购工程支出0.00万元、政府采购服务支出76.54万元。</w:t>
      </w:r>
    </w:p>
    <w:p w14:paraId="2772F322">
      <w:pPr>
        <w:spacing w:line="580" w:lineRule="exact"/>
        <w:ind w:firstLine="640"/>
        <w:jc w:val="both"/>
      </w:pPr>
      <w:r>
        <w:rPr>
          <w:rFonts w:ascii="仿宋_GB2312" w:hAnsi="仿宋_GB2312" w:eastAsia="仿宋_GB2312"/>
          <w:b w:val="0"/>
          <w:sz w:val="32"/>
        </w:rPr>
        <w:t>授予中小企业合同金额100.86万元，占政府采购支出总额的100.00%，其中：授予小微企业合同金额100.86万元，占政府采购支出总额的100.00%。</w:t>
      </w:r>
    </w:p>
    <w:p w14:paraId="6BAA2DA2">
      <w:pPr>
        <w:spacing w:line="640" w:lineRule="exact"/>
        <w:ind w:firstLine="640"/>
        <w:jc w:val="both"/>
        <w:outlineLvl w:val="3"/>
      </w:pPr>
      <w:r>
        <w:rPr>
          <w:rFonts w:ascii="楷体_GB2312" w:hAnsi="楷体_GB2312" w:eastAsia="楷体_GB2312"/>
          <w:b/>
          <w:sz w:val="32"/>
        </w:rPr>
        <w:t>（三）国有资产占用情况说明</w:t>
      </w:r>
    </w:p>
    <w:p w14:paraId="30E2CF34">
      <w:pPr>
        <w:spacing w:line="580" w:lineRule="exact"/>
        <w:ind w:firstLine="640"/>
        <w:jc w:val="both"/>
      </w:pPr>
      <w:r>
        <w:rPr>
          <w:rFonts w:ascii="仿宋_GB2312" w:hAnsi="仿宋_GB2312" w:eastAsia="仿宋_GB2312"/>
          <w:b w:val="0"/>
          <w:sz w:val="32"/>
        </w:rPr>
        <w:t>截至2024年12月31日，房屋0.00平方米，价值0.00万元。车辆3辆，价值63.07万元，其中：副部（省）级及以上领导用车0辆、主要负责人用车0辆、机要通信用车0辆、应急保障用车0辆、执法执勤用车0辆、特种专业技术用车0辆、离退休干部服务用车0辆、其他用车3辆，其他用车主要是：一般公务用车。单价100万元（含）以上设备（不含车辆）0台（套）。</w:t>
      </w:r>
    </w:p>
    <w:p w14:paraId="7991D880">
      <w:pPr>
        <w:spacing w:line="640" w:lineRule="exact"/>
        <w:ind w:firstLine="640"/>
        <w:jc w:val="both"/>
        <w:outlineLvl w:val="2"/>
      </w:pPr>
      <w:r>
        <w:rPr>
          <w:rFonts w:ascii="黑体" w:hAnsi="黑体" w:eastAsia="黑体"/>
          <w:sz w:val="32"/>
        </w:rPr>
        <w:t>十一、预算绩效的情况说明</w:t>
      </w:r>
    </w:p>
    <w:p w14:paraId="311822DE">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根据预算绩效管理要求，本单位2024年度预算绩效管理形成整体支出绩效自评表1个，全年预算总额2,568.70万元，实际执行总额2,554.07万元；预算绩效评价项目</w:t>
      </w:r>
      <w:r>
        <w:rPr>
          <w:rFonts w:hint="eastAsia" w:ascii="仿宋_GB2312" w:hAnsi="仿宋_GB2312" w:eastAsia="仿宋_GB2312"/>
          <w:b w:val="0"/>
          <w:sz w:val="32"/>
        </w:rPr>
        <w:t>18个，全年预算数1,838.55万元，全年执行数1,825.52万元</w:t>
      </w:r>
      <w:r>
        <w:rPr>
          <w:rFonts w:ascii="仿宋_GB2312" w:hAnsi="仿宋_GB2312" w:eastAsia="仿宋_GB2312"/>
          <w:b w:val="0"/>
          <w:sz w:val="32"/>
        </w:rPr>
        <w:t>。预算绩效管理取得的成效：</w:t>
      </w:r>
      <w:r>
        <w:rPr>
          <w:rFonts w:hint="eastAsia" w:ascii="仿宋_GB2312" w:hAnsi="仿宋_GB2312" w:eastAsia="仿宋_GB2312"/>
          <w:b w:val="0"/>
          <w:sz w:val="32"/>
          <w:lang w:eastAsia="zh-CN"/>
        </w:rPr>
        <w:t>本单位</w:t>
      </w:r>
      <w:r>
        <w:rPr>
          <w:rFonts w:ascii="仿宋_GB2312" w:hAnsi="仿宋_GB2312" w:eastAsia="仿宋_GB2312"/>
          <w:b w:val="0"/>
          <w:sz w:val="32"/>
        </w:rPr>
        <w:t>项目绩效SM不予公开。发现的问题及原因：</w:t>
      </w:r>
      <w:r>
        <w:rPr>
          <w:rFonts w:hint="eastAsia" w:ascii="仿宋_GB2312" w:hAnsi="仿宋_GB2312" w:eastAsia="仿宋_GB2312"/>
          <w:b w:val="0"/>
          <w:sz w:val="32"/>
          <w:lang w:eastAsia="zh-CN"/>
        </w:rPr>
        <w:t>本单位</w:t>
      </w:r>
      <w:r>
        <w:rPr>
          <w:rFonts w:ascii="仿宋_GB2312" w:hAnsi="仿宋_GB2312" w:eastAsia="仿宋_GB2312"/>
          <w:b w:val="0"/>
          <w:sz w:val="32"/>
        </w:rPr>
        <w:t>项目绩效SM不予公开。下一步改进措施：</w:t>
      </w:r>
      <w:r>
        <w:rPr>
          <w:rFonts w:hint="eastAsia" w:ascii="仿宋_GB2312" w:hAnsi="仿宋_GB2312" w:eastAsia="仿宋_GB2312"/>
          <w:b w:val="0"/>
          <w:sz w:val="32"/>
          <w:lang w:eastAsia="zh-CN"/>
        </w:rPr>
        <w:t>本单位</w:t>
      </w:r>
      <w:r>
        <w:rPr>
          <w:rFonts w:ascii="仿宋_GB2312" w:hAnsi="仿宋_GB2312" w:eastAsia="仿宋_GB2312"/>
          <w:b w:val="0"/>
          <w:sz w:val="32"/>
        </w:rPr>
        <w:t>项目绩效SM不予公开。具体附整体支出绩效自评表。</w:t>
      </w:r>
    </w:p>
    <w:p w14:paraId="2641E338">
      <w:r>
        <w:br w:type="page"/>
      </w:r>
    </w:p>
    <w:tbl>
      <w:tblPr>
        <w:tblStyle w:val="9"/>
        <w:tblW w:w="9400" w:type="dxa"/>
        <w:tblInd w:w="0" w:type="dxa"/>
        <w:tblLayout w:type="autofit"/>
        <w:tblCellMar>
          <w:top w:w="0" w:type="dxa"/>
          <w:left w:w="108" w:type="dxa"/>
          <w:bottom w:w="0" w:type="dxa"/>
          <w:right w:w="108" w:type="dxa"/>
        </w:tblCellMar>
      </w:tblPr>
      <w:tblGrid>
        <w:gridCol w:w="1043"/>
        <w:gridCol w:w="1043"/>
        <w:gridCol w:w="1043"/>
        <w:gridCol w:w="1043"/>
        <w:gridCol w:w="1043"/>
        <w:gridCol w:w="1043"/>
        <w:gridCol w:w="1043"/>
        <w:gridCol w:w="1043"/>
        <w:gridCol w:w="1056"/>
      </w:tblGrid>
      <w:tr w14:paraId="0281125C">
        <w:tblPrEx>
          <w:tblCellMar>
            <w:top w:w="0" w:type="dxa"/>
            <w:left w:w="108" w:type="dxa"/>
            <w:bottom w:w="0" w:type="dxa"/>
            <w:right w:w="108" w:type="dxa"/>
          </w:tblCellMar>
        </w:tblPrEx>
        <w:trPr>
          <w:trHeight w:val="90" w:hRule="atLeast"/>
        </w:trPr>
        <w:tc>
          <w:tcPr>
            <w:tcW w:w="9400" w:type="dxa"/>
            <w:gridSpan w:val="9"/>
            <w:vAlign w:val="center"/>
          </w:tcPr>
          <w:p w14:paraId="34E877EC">
            <w:pPr>
              <w:jc w:val="center"/>
            </w:pPr>
            <w:r>
              <w:rPr>
                <w:rFonts w:ascii="宋体" w:hAnsi="宋体" w:eastAsia="宋体"/>
                <w:sz w:val="24"/>
              </w:rPr>
              <w:t>单位整体支出绩效自评表</w:t>
            </w:r>
          </w:p>
        </w:tc>
      </w:tr>
      <w:tr w14:paraId="207C0309">
        <w:tblPrEx>
          <w:tblCellMar>
            <w:top w:w="0" w:type="dxa"/>
            <w:left w:w="108" w:type="dxa"/>
            <w:bottom w:w="0" w:type="dxa"/>
            <w:right w:w="108" w:type="dxa"/>
          </w:tblCellMar>
        </w:tblPrEx>
        <w:trPr>
          <w:trHeight w:val="90" w:hRule="atLeast"/>
        </w:trPr>
        <w:tc>
          <w:tcPr>
            <w:tcW w:w="9400" w:type="dxa"/>
            <w:gridSpan w:val="9"/>
            <w:vAlign w:val="center"/>
          </w:tcPr>
          <w:p w14:paraId="439DFDFF">
            <w:pPr>
              <w:jc w:val="center"/>
            </w:pPr>
            <w:r>
              <w:rPr>
                <w:rFonts w:ascii="宋体" w:hAnsi="宋体" w:eastAsia="宋体"/>
                <w:sz w:val="24"/>
              </w:rPr>
              <w:t>（2024年度）</w:t>
            </w:r>
          </w:p>
        </w:tc>
      </w:tr>
      <w:tr w14:paraId="5CB26ADB">
        <w:trPr>
          <w:trHeight w:val="90" w:hRule="atLeast"/>
        </w:trPr>
        <w:tc>
          <w:tcPr>
            <w:tcW w:w="1043" w:type="dxa"/>
            <w:tcBorders>
              <w:top w:val="single" w:color="auto" w:sz="10" w:space="0"/>
              <w:left w:val="single" w:color="auto" w:sz="10" w:space="0"/>
              <w:bottom w:val="single" w:color="auto" w:sz="10" w:space="0"/>
              <w:right w:val="single" w:color="auto" w:sz="10" w:space="0"/>
              <w:insideV w:val="single" w:sz="10" w:space="0"/>
            </w:tcBorders>
            <w:vAlign w:val="center"/>
          </w:tcPr>
          <w:p w14:paraId="64E6A99B">
            <w:pPr>
              <w:jc w:val="center"/>
            </w:pPr>
            <w:r>
              <w:rPr>
                <w:rFonts w:ascii="宋体" w:hAnsi="宋体" w:eastAsia="宋体"/>
                <w:sz w:val="16"/>
              </w:rPr>
              <w:t>单位名称</w:t>
            </w:r>
          </w:p>
        </w:tc>
        <w:tc>
          <w:tcPr>
            <w:tcW w:w="8357"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42F65647">
            <w:pPr>
              <w:jc w:val="center"/>
            </w:pPr>
            <w:r>
              <w:rPr>
                <w:rFonts w:ascii="宋体" w:hAnsi="宋体" w:eastAsia="宋体"/>
                <w:sz w:val="16"/>
              </w:rPr>
              <w:t>中共疏附县委政法委员会</w:t>
            </w:r>
          </w:p>
        </w:tc>
      </w:tr>
      <w:tr w14:paraId="6C78EB3C">
        <w:tblPrEx>
          <w:tblCellMar>
            <w:top w:w="0" w:type="dxa"/>
            <w:left w:w="108" w:type="dxa"/>
            <w:bottom w:w="0" w:type="dxa"/>
            <w:right w:w="108" w:type="dxa"/>
          </w:tblCellMar>
        </w:tblPrEx>
        <w:trPr>
          <w:trHeight w:val="164" w:hRule="atLeast"/>
        </w:trPr>
        <w:tc>
          <w:tcPr>
            <w:tcW w:w="104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7CB65B1">
            <w:pPr>
              <w:jc w:val="center"/>
            </w:pPr>
            <w:r>
              <w:rPr>
                <w:rFonts w:ascii="宋体" w:hAnsi="宋体" w:eastAsia="宋体"/>
                <w:sz w:val="16"/>
              </w:rPr>
              <w:t>部门资金（万元）</w:t>
            </w:r>
          </w:p>
        </w:tc>
        <w:tc>
          <w:tcPr>
            <w:tcW w:w="1043" w:type="dxa"/>
            <w:tcBorders>
              <w:top w:val="single" w:color="auto" w:sz="10" w:space="0"/>
              <w:left w:val="single" w:color="auto" w:sz="10" w:space="0"/>
              <w:bottom w:val="single" w:color="auto" w:sz="10" w:space="0"/>
              <w:right w:val="single" w:color="auto" w:sz="10" w:space="0"/>
              <w:insideV w:val="single" w:sz="10" w:space="0"/>
            </w:tcBorders>
            <w:vAlign w:val="center"/>
          </w:tcPr>
          <w:p w14:paraId="43D50900">
            <w:pPr>
              <w:jc w:val="center"/>
            </w:pPr>
            <w:r>
              <w:rPr>
                <w:rFonts w:ascii="宋体" w:hAnsi="宋体" w:eastAsia="宋体"/>
                <w:sz w:val="16"/>
              </w:rPr>
              <w:t>资金来源</w:t>
            </w:r>
          </w:p>
        </w:tc>
        <w:tc>
          <w:tcPr>
            <w:tcW w:w="1043" w:type="dxa"/>
            <w:tcBorders>
              <w:top w:val="single" w:color="auto" w:sz="10" w:space="0"/>
              <w:left w:val="single" w:color="auto" w:sz="10" w:space="0"/>
              <w:bottom w:val="single" w:color="auto" w:sz="10" w:space="0"/>
              <w:right w:val="single" w:color="auto" w:sz="10" w:space="0"/>
              <w:insideV w:val="single" w:sz="10" w:space="0"/>
            </w:tcBorders>
            <w:vAlign w:val="center"/>
          </w:tcPr>
          <w:p w14:paraId="495B9180">
            <w:pPr>
              <w:jc w:val="center"/>
            </w:pPr>
            <w:r>
              <w:rPr>
                <w:rFonts w:ascii="宋体" w:hAnsi="宋体" w:eastAsia="宋体"/>
                <w:sz w:val="16"/>
              </w:rPr>
              <w:t>年初预算数</w:t>
            </w:r>
          </w:p>
        </w:tc>
        <w:tc>
          <w:tcPr>
            <w:tcW w:w="1043" w:type="dxa"/>
            <w:tcBorders>
              <w:top w:val="single" w:color="auto" w:sz="10" w:space="0"/>
              <w:left w:val="single" w:color="auto" w:sz="10" w:space="0"/>
              <w:bottom w:val="single" w:color="auto" w:sz="10" w:space="0"/>
              <w:right w:val="single" w:color="auto" w:sz="10" w:space="0"/>
              <w:insideV w:val="single" w:sz="10" w:space="0"/>
            </w:tcBorders>
            <w:vAlign w:val="center"/>
          </w:tcPr>
          <w:p w14:paraId="0181B268">
            <w:pPr>
              <w:jc w:val="center"/>
            </w:pPr>
            <w:r>
              <w:rPr>
                <w:rFonts w:ascii="宋体" w:hAnsi="宋体" w:eastAsia="宋体"/>
                <w:sz w:val="16"/>
              </w:rPr>
              <w:t>预算数（调整后）</w:t>
            </w:r>
          </w:p>
        </w:tc>
        <w:tc>
          <w:tcPr>
            <w:tcW w:w="1043" w:type="dxa"/>
            <w:tcBorders>
              <w:top w:val="single" w:color="auto" w:sz="10" w:space="0"/>
              <w:left w:val="single" w:color="auto" w:sz="10" w:space="0"/>
              <w:bottom w:val="single" w:color="auto" w:sz="10" w:space="0"/>
              <w:right w:val="single" w:color="auto" w:sz="10" w:space="0"/>
              <w:insideV w:val="single" w:sz="10" w:space="0"/>
            </w:tcBorders>
            <w:vAlign w:val="center"/>
          </w:tcPr>
          <w:p w14:paraId="375CF5E3">
            <w:pPr>
              <w:jc w:val="center"/>
            </w:pPr>
            <w:r>
              <w:rPr>
                <w:rFonts w:ascii="宋体" w:hAnsi="宋体" w:eastAsia="宋体"/>
                <w:sz w:val="16"/>
              </w:rPr>
              <w:t>执行数</w:t>
            </w:r>
          </w:p>
        </w:tc>
        <w:tc>
          <w:tcPr>
            <w:tcW w:w="1043" w:type="dxa"/>
            <w:tcBorders>
              <w:top w:val="single" w:color="auto" w:sz="10" w:space="0"/>
              <w:left w:val="single" w:color="auto" w:sz="10" w:space="0"/>
              <w:bottom w:val="single" w:color="auto" w:sz="10" w:space="0"/>
              <w:right w:val="single" w:color="auto" w:sz="10" w:space="0"/>
              <w:insideV w:val="single" w:sz="10" w:space="0"/>
            </w:tcBorders>
            <w:vAlign w:val="center"/>
          </w:tcPr>
          <w:p w14:paraId="59A0509A">
            <w:pPr>
              <w:jc w:val="center"/>
            </w:pPr>
            <w:r>
              <w:rPr>
                <w:rFonts w:ascii="宋体" w:hAnsi="宋体" w:eastAsia="宋体"/>
                <w:sz w:val="16"/>
              </w:rPr>
              <w:t>分值权重</w:t>
            </w:r>
          </w:p>
        </w:tc>
        <w:tc>
          <w:tcPr>
            <w:tcW w:w="1043" w:type="dxa"/>
            <w:tcBorders>
              <w:top w:val="single" w:color="auto" w:sz="10" w:space="0"/>
              <w:left w:val="single" w:color="auto" w:sz="10" w:space="0"/>
              <w:bottom w:val="single" w:color="auto" w:sz="10" w:space="0"/>
              <w:right w:val="single" w:color="auto" w:sz="10" w:space="0"/>
              <w:insideV w:val="single" w:sz="10" w:space="0"/>
            </w:tcBorders>
            <w:vAlign w:val="center"/>
          </w:tcPr>
          <w:p w14:paraId="2D418BC2">
            <w:pPr>
              <w:jc w:val="center"/>
            </w:pPr>
            <w:r>
              <w:rPr>
                <w:rFonts w:ascii="宋体" w:hAnsi="宋体" w:eastAsia="宋体"/>
                <w:sz w:val="16"/>
              </w:rPr>
              <w:t>执行率</w:t>
            </w:r>
          </w:p>
        </w:tc>
        <w:tc>
          <w:tcPr>
            <w:tcW w:w="209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EA730F">
            <w:pPr>
              <w:jc w:val="center"/>
            </w:pPr>
            <w:r>
              <w:rPr>
                <w:rFonts w:ascii="宋体" w:hAnsi="宋体" w:eastAsia="宋体"/>
                <w:sz w:val="16"/>
              </w:rPr>
              <w:t>得分</w:t>
            </w:r>
          </w:p>
        </w:tc>
      </w:tr>
      <w:tr w14:paraId="181FE5B9">
        <w:tblPrEx>
          <w:tblCellMar>
            <w:top w:w="0" w:type="dxa"/>
            <w:left w:w="108" w:type="dxa"/>
            <w:bottom w:w="0" w:type="dxa"/>
            <w:right w:w="108" w:type="dxa"/>
          </w:tblCellMar>
        </w:tblPrEx>
        <w:trPr>
          <w:trHeight w:val="164" w:hRule="atLeast"/>
        </w:trPr>
        <w:tc>
          <w:tcPr>
            <w:tcW w:w="1043" w:type="dxa"/>
            <w:vMerge w:val="continue"/>
            <w:tcBorders>
              <w:top w:val="single" w:color="auto" w:sz="10" w:space="0"/>
              <w:left w:val="single" w:color="auto" w:sz="10" w:space="0"/>
              <w:bottom w:val="single" w:color="auto" w:sz="10" w:space="0"/>
              <w:right w:val="single" w:color="auto" w:sz="10" w:space="0"/>
              <w:insideV w:val="single" w:sz="10" w:space="0"/>
            </w:tcBorders>
          </w:tcPr>
          <w:p w14:paraId="030040E9"/>
        </w:tc>
        <w:tc>
          <w:tcPr>
            <w:tcW w:w="1043" w:type="dxa"/>
            <w:tcBorders>
              <w:top w:val="single" w:color="auto" w:sz="10" w:space="0"/>
              <w:left w:val="single" w:color="auto" w:sz="10" w:space="0"/>
              <w:bottom w:val="single" w:color="auto" w:sz="10" w:space="0"/>
              <w:right w:val="single" w:color="auto" w:sz="10" w:space="0"/>
              <w:insideV w:val="single" w:sz="10" w:space="0"/>
            </w:tcBorders>
            <w:vAlign w:val="center"/>
          </w:tcPr>
          <w:p w14:paraId="21C37585">
            <w:pPr>
              <w:jc w:val="center"/>
            </w:pPr>
            <w:r>
              <w:rPr>
                <w:rFonts w:ascii="宋体" w:hAnsi="宋体" w:eastAsia="宋体"/>
                <w:sz w:val="16"/>
              </w:rPr>
              <w:t>年度总资金：</w:t>
            </w:r>
          </w:p>
        </w:tc>
        <w:tc>
          <w:tcPr>
            <w:tcW w:w="1043" w:type="dxa"/>
            <w:tcBorders>
              <w:top w:val="single" w:color="auto" w:sz="10" w:space="0"/>
              <w:left w:val="single" w:color="auto" w:sz="10" w:space="0"/>
              <w:bottom w:val="single" w:color="auto" w:sz="10" w:space="0"/>
              <w:right w:val="single" w:color="auto" w:sz="10" w:space="0"/>
              <w:insideV w:val="single" w:sz="10" w:space="0"/>
            </w:tcBorders>
            <w:vAlign w:val="center"/>
          </w:tcPr>
          <w:p w14:paraId="40E67975">
            <w:pPr>
              <w:jc w:val="center"/>
            </w:pPr>
            <w:r>
              <w:rPr>
                <w:rFonts w:ascii="宋体" w:hAnsi="宋体" w:eastAsia="宋体"/>
                <w:sz w:val="16"/>
              </w:rPr>
              <w:t>777.39</w:t>
            </w:r>
          </w:p>
        </w:tc>
        <w:tc>
          <w:tcPr>
            <w:tcW w:w="1043" w:type="dxa"/>
            <w:tcBorders>
              <w:top w:val="single" w:color="auto" w:sz="10" w:space="0"/>
              <w:left w:val="single" w:color="auto" w:sz="10" w:space="0"/>
              <w:bottom w:val="single" w:color="auto" w:sz="10" w:space="0"/>
              <w:right w:val="single" w:color="auto" w:sz="10" w:space="0"/>
              <w:insideV w:val="single" w:sz="10" w:space="0"/>
            </w:tcBorders>
            <w:vAlign w:val="center"/>
          </w:tcPr>
          <w:p w14:paraId="537EA4C1">
            <w:pPr>
              <w:jc w:val="center"/>
            </w:pPr>
            <w:r>
              <w:rPr>
                <w:rFonts w:ascii="宋体" w:hAnsi="宋体" w:eastAsia="宋体"/>
                <w:sz w:val="16"/>
              </w:rPr>
              <w:t>2,568.70</w:t>
            </w:r>
          </w:p>
        </w:tc>
        <w:tc>
          <w:tcPr>
            <w:tcW w:w="1043" w:type="dxa"/>
            <w:tcBorders>
              <w:top w:val="single" w:color="auto" w:sz="10" w:space="0"/>
              <w:left w:val="single" w:color="auto" w:sz="10" w:space="0"/>
              <w:bottom w:val="single" w:color="auto" w:sz="10" w:space="0"/>
              <w:right w:val="single" w:color="auto" w:sz="10" w:space="0"/>
              <w:insideV w:val="single" w:sz="10" w:space="0"/>
            </w:tcBorders>
            <w:vAlign w:val="center"/>
          </w:tcPr>
          <w:p w14:paraId="21FD9829">
            <w:pPr>
              <w:jc w:val="center"/>
            </w:pPr>
            <w:r>
              <w:rPr>
                <w:rFonts w:ascii="宋体" w:hAnsi="宋体" w:eastAsia="宋体"/>
                <w:sz w:val="16"/>
              </w:rPr>
              <w:t>2,554.07</w:t>
            </w:r>
          </w:p>
        </w:tc>
        <w:tc>
          <w:tcPr>
            <w:tcW w:w="1043" w:type="dxa"/>
            <w:tcBorders>
              <w:top w:val="single" w:color="auto" w:sz="10" w:space="0"/>
              <w:left w:val="single" w:color="auto" w:sz="10" w:space="0"/>
              <w:bottom w:val="single" w:color="auto" w:sz="10" w:space="0"/>
              <w:right w:val="single" w:color="auto" w:sz="10" w:space="0"/>
              <w:insideV w:val="single" w:sz="10" w:space="0"/>
            </w:tcBorders>
            <w:vAlign w:val="center"/>
          </w:tcPr>
          <w:p w14:paraId="6AFEB4A4">
            <w:pPr>
              <w:jc w:val="center"/>
            </w:pPr>
            <w:r>
              <w:rPr>
                <w:rFonts w:ascii="宋体" w:hAnsi="宋体" w:eastAsia="宋体"/>
                <w:sz w:val="16"/>
              </w:rPr>
              <w:t>10</w:t>
            </w:r>
          </w:p>
        </w:tc>
        <w:tc>
          <w:tcPr>
            <w:tcW w:w="1043" w:type="dxa"/>
            <w:tcBorders>
              <w:top w:val="single" w:color="auto" w:sz="10" w:space="0"/>
              <w:left w:val="single" w:color="auto" w:sz="10" w:space="0"/>
              <w:bottom w:val="single" w:color="auto" w:sz="10" w:space="0"/>
              <w:right w:val="single" w:color="auto" w:sz="10" w:space="0"/>
              <w:insideV w:val="single" w:sz="10" w:space="0"/>
            </w:tcBorders>
            <w:vAlign w:val="center"/>
          </w:tcPr>
          <w:p w14:paraId="7F7FBA44">
            <w:pPr>
              <w:jc w:val="center"/>
            </w:pPr>
            <w:r>
              <w:rPr>
                <w:rFonts w:ascii="宋体" w:hAnsi="宋体" w:eastAsia="宋体"/>
                <w:sz w:val="16"/>
              </w:rPr>
              <w:t>99.43%</w:t>
            </w:r>
          </w:p>
        </w:tc>
        <w:tc>
          <w:tcPr>
            <w:tcW w:w="209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CB46E3">
            <w:pPr>
              <w:jc w:val="center"/>
            </w:pPr>
            <w:r>
              <w:rPr>
                <w:rFonts w:ascii="宋体" w:hAnsi="宋体" w:eastAsia="宋体"/>
                <w:sz w:val="16"/>
              </w:rPr>
              <w:t>9.9</w:t>
            </w:r>
          </w:p>
        </w:tc>
      </w:tr>
      <w:tr w14:paraId="237B472D">
        <w:tblPrEx>
          <w:tblCellMar>
            <w:top w:w="0" w:type="dxa"/>
            <w:left w:w="108" w:type="dxa"/>
            <w:bottom w:w="0" w:type="dxa"/>
            <w:right w:w="108" w:type="dxa"/>
          </w:tblCellMar>
        </w:tblPrEx>
        <w:trPr>
          <w:trHeight w:val="90" w:hRule="atLeast"/>
        </w:trPr>
        <w:tc>
          <w:tcPr>
            <w:tcW w:w="1043" w:type="dxa"/>
            <w:vMerge w:val="continue"/>
            <w:tcBorders>
              <w:top w:val="single" w:color="auto" w:sz="10" w:space="0"/>
              <w:left w:val="single" w:color="auto" w:sz="10" w:space="0"/>
              <w:bottom w:val="single" w:color="auto" w:sz="10" w:space="0"/>
              <w:right w:val="single" w:color="auto" w:sz="10" w:space="0"/>
              <w:insideV w:val="single" w:sz="10" w:space="0"/>
            </w:tcBorders>
          </w:tcPr>
          <w:p w14:paraId="198380F3"/>
        </w:tc>
        <w:tc>
          <w:tcPr>
            <w:tcW w:w="1043" w:type="dxa"/>
            <w:tcBorders>
              <w:top w:val="single" w:color="auto" w:sz="10" w:space="0"/>
              <w:left w:val="single" w:color="auto" w:sz="10" w:space="0"/>
              <w:bottom w:val="single" w:color="auto" w:sz="10" w:space="0"/>
              <w:right w:val="single" w:color="auto" w:sz="10" w:space="0"/>
              <w:insideV w:val="single" w:sz="10" w:space="0"/>
            </w:tcBorders>
            <w:vAlign w:val="center"/>
          </w:tcPr>
          <w:p w14:paraId="716DC9D8">
            <w:pPr>
              <w:jc w:val="center"/>
            </w:pPr>
            <w:r>
              <w:rPr>
                <w:rFonts w:ascii="宋体" w:hAnsi="宋体" w:eastAsia="宋体"/>
                <w:sz w:val="16"/>
              </w:rPr>
              <w:t>上级资金：</w:t>
            </w:r>
          </w:p>
        </w:tc>
        <w:tc>
          <w:tcPr>
            <w:tcW w:w="1043" w:type="dxa"/>
            <w:tcBorders>
              <w:top w:val="single" w:color="auto" w:sz="10" w:space="0"/>
              <w:left w:val="single" w:color="auto" w:sz="10" w:space="0"/>
              <w:bottom w:val="single" w:color="auto" w:sz="10" w:space="0"/>
              <w:right w:val="single" w:color="auto" w:sz="10" w:space="0"/>
              <w:insideV w:val="single" w:sz="10" w:space="0"/>
            </w:tcBorders>
            <w:vAlign w:val="center"/>
          </w:tcPr>
          <w:p w14:paraId="446AD7AA">
            <w:pPr>
              <w:jc w:val="center"/>
            </w:pPr>
            <w:r>
              <w:rPr>
                <w:rFonts w:ascii="宋体" w:hAnsi="宋体" w:eastAsia="宋体"/>
                <w:sz w:val="16"/>
              </w:rPr>
              <w:t>0.00</w:t>
            </w:r>
          </w:p>
        </w:tc>
        <w:tc>
          <w:tcPr>
            <w:tcW w:w="1043" w:type="dxa"/>
            <w:tcBorders>
              <w:top w:val="single" w:color="auto" w:sz="10" w:space="0"/>
              <w:left w:val="single" w:color="auto" w:sz="10" w:space="0"/>
              <w:bottom w:val="single" w:color="auto" w:sz="10" w:space="0"/>
              <w:right w:val="single" w:color="auto" w:sz="10" w:space="0"/>
              <w:insideV w:val="single" w:sz="10" w:space="0"/>
            </w:tcBorders>
            <w:vAlign w:val="center"/>
          </w:tcPr>
          <w:p w14:paraId="123F61BD">
            <w:pPr>
              <w:jc w:val="center"/>
            </w:pPr>
            <w:r>
              <w:rPr>
                <w:rFonts w:ascii="宋体" w:hAnsi="宋体" w:eastAsia="宋体"/>
                <w:sz w:val="16"/>
              </w:rPr>
              <w:t>851.07</w:t>
            </w:r>
          </w:p>
        </w:tc>
        <w:tc>
          <w:tcPr>
            <w:tcW w:w="1043" w:type="dxa"/>
            <w:tcBorders>
              <w:top w:val="single" w:color="auto" w:sz="10" w:space="0"/>
              <w:left w:val="single" w:color="auto" w:sz="10" w:space="0"/>
              <w:bottom w:val="single" w:color="auto" w:sz="10" w:space="0"/>
              <w:right w:val="single" w:color="auto" w:sz="10" w:space="0"/>
              <w:insideV w:val="single" w:sz="10" w:space="0"/>
            </w:tcBorders>
            <w:vAlign w:val="center"/>
          </w:tcPr>
          <w:p w14:paraId="37DA6A7C">
            <w:pPr>
              <w:jc w:val="center"/>
            </w:pPr>
            <w:r>
              <w:rPr>
                <w:rFonts w:ascii="宋体" w:hAnsi="宋体" w:eastAsia="宋体"/>
                <w:sz w:val="16"/>
              </w:rPr>
              <w:t>851.07</w:t>
            </w:r>
          </w:p>
        </w:tc>
        <w:tc>
          <w:tcPr>
            <w:tcW w:w="1043" w:type="dxa"/>
            <w:tcBorders>
              <w:top w:val="single" w:color="auto" w:sz="10" w:space="0"/>
              <w:left w:val="single" w:color="auto" w:sz="10" w:space="0"/>
              <w:bottom w:val="single" w:color="auto" w:sz="10" w:space="0"/>
              <w:right w:val="single" w:color="auto" w:sz="10" w:space="0"/>
              <w:insideV w:val="single" w:sz="10" w:space="0"/>
            </w:tcBorders>
            <w:vAlign w:val="center"/>
          </w:tcPr>
          <w:p w14:paraId="76C29A73">
            <w:pPr>
              <w:jc w:val="center"/>
            </w:pPr>
            <w:r>
              <w:rPr>
                <w:rFonts w:ascii="宋体" w:hAnsi="宋体" w:eastAsia="宋体"/>
                <w:sz w:val="16"/>
              </w:rPr>
              <w:t>—</w:t>
            </w:r>
          </w:p>
        </w:tc>
        <w:tc>
          <w:tcPr>
            <w:tcW w:w="1043" w:type="dxa"/>
            <w:tcBorders>
              <w:top w:val="single" w:color="auto" w:sz="10" w:space="0"/>
              <w:left w:val="single" w:color="auto" w:sz="10" w:space="0"/>
              <w:bottom w:val="single" w:color="auto" w:sz="10" w:space="0"/>
              <w:right w:val="single" w:color="auto" w:sz="10" w:space="0"/>
              <w:insideV w:val="single" w:sz="10" w:space="0"/>
            </w:tcBorders>
            <w:vAlign w:val="center"/>
          </w:tcPr>
          <w:p w14:paraId="35CD3865">
            <w:pPr>
              <w:jc w:val="center"/>
            </w:pPr>
            <w:r>
              <w:rPr>
                <w:rFonts w:ascii="宋体" w:hAnsi="宋体" w:eastAsia="宋体"/>
                <w:sz w:val="16"/>
              </w:rPr>
              <w:t>—</w:t>
            </w:r>
          </w:p>
        </w:tc>
        <w:tc>
          <w:tcPr>
            <w:tcW w:w="209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045FC2">
            <w:pPr>
              <w:jc w:val="center"/>
            </w:pPr>
            <w:r>
              <w:rPr>
                <w:rFonts w:ascii="宋体" w:hAnsi="宋体" w:eastAsia="宋体"/>
                <w:sz w:val="16"/>
              </w:rPr>
              <w:t>—</w:t>
            </w:r>
          </w:p>
        </w:tc>
      </w:tr>
      <w:tr w14:paraId="4E6C413F">
        <w:tblPrEx>
          <w:tblCellMar>
            <w:top w:w="0" w:type="dxa"/>
            <w:left w:w="108" w:type="dxa"/>
            <w:bottom w:w="0" w:type="dxa"/>
            <w:right w:w="108" w:type="dxa"/>
          </w:tblCellMar>
        </w:tblPrEx>
        <w:trPr>
          <w:trHeight w:val="90" w:hRule="atLeast"/>
        </w:trPr>
        <w:tc>
          <w:tcPr>
            <w:tcW w:w="1043" w:type="dxa"/>
            <w:vMerge w:val="continue"/>
            <w:tcBorders>
              <w:top w:val="single" w:color="auto" w:sz="10" w:space="0"/>
              <w:left w:val="single" w:color="auto" w:sz="10" w:space="0"/>
              <w:bottom w:val="single" w:color="auto" w:sz="10" w:space="0"/>
              <w:right w:val="single" w:color="auto" w:sz="10" w:space="0"/>
              <w:insideV w:val="single" w:sz="10" w:space="0"/>
            </w:tcBorders>
          </w:tcPr>
          <w:p w14:paraId="2F2598EE"/>
        </w:tc>
        <w:tc>
          <w:tcPr>
            <w:tcW w:w="1043" w:type="dxa"/>
            <w:tcBorders>
              <w:top w:val="single" w:color="auto" w:sz="10" w:space="0"/>
              <w:left w:val="single" w:color="auto" w:sz="10" w:space="0"/>
              <w:bottom w:val="single" w:color="auto" w:sz="10" w:space="0"/>
              <w:right w:val="single" w:color="auto" w:sz="10" w:space="0"/>
              <w:insideV w:val="single" w:sz="10" w:space="0"/>
            </w:tcBorders>
            <w:vAlign w:val="center"/>
          </w:tcPr>
          <w:p w14:paraId="4D62D136">
            <w:pPr>
              <w:jc w:val="center"/>
            </w:pPr>
            <w:r>
              <w:rPr>
                <w:rFonts w:ascii="宋体" w:hAnsi="宋体" w:eastAsia="宋体"/>
                <w:sz w:val="16"/>
              </w:rPr>
              <w:t>本级资金：</w:t>
            </w:r>
          </w:p>
        </w:tc>
        <w:tc>
          <w:tcPr>
            <w:tcW w:w="1043" w:type="dxa"/>
            <w:tcBorders>
              <w:top w:val="single" w:color="auto" w:sz="10" w:space="0"/>
              <w:left w:val="single" w:color="auto" w:sz="10" w:space="0"/>
              <w:bottom w:val="single" w:color="auto" w:sz="10" w:space="0"/>
              <w:right w:val="single" w:color="auto" w:sz="10" w:space="0"/>
              <w:insideV w:val="single" w:sz="10" w:space="0"/>
            </w:tcBorders>
            <w:vAlign w:val="center"/>
          </w:tcPr>
          <w:p w14:paraId="7E9B6E24">
            <w:pPr>
              <w:jc w:val="center"/>
            </w:pPr>
            <w:r>
              <w:rPr>
                <w:rFonts w:ascii="宋体" w:hAnsi="宋体" w:eastAsia="宋体"/>
                <w:sz w:val="16"/>
              </w:rPr>
              <w:t>777.39</w:t>
            </w:r>
          </w:p>
        </w:tc>
        <w:tc>
          <w:tcPr>
            <w:tcW w:w="1043" w:type="dxa"/>
            <w:tcBorders>
              <w:top w:val="single" w:color="auto" w:sz="10" w:space="0"/>
              <w:left w:val="single" w:color="auto" w:sz="10" w:space="0"/>
              <w:bottom w:val="single" w:color="auto" w:sz="10" w:space="0"/>
              <w:right w:val="single" w:color="auto" w:sz="10" w:space="0"/>
              <w:insideV w:val="single" w:sz="10" w:space="0"/>
            </w:tcBorders>
            <w:vAlign w:val="center"/>
          </w:tcPr>
          <w:p w14:paraId="2E59BE99">
            <w:pPr>
              <w:jc w:val="center"/>
            </w:pPr>
            <w:r>
              <w:rPr>
                <w:rFonts w:ascii="宋体" w:hAnsi="宋体" w:eastAsia="宋体"/>
                <w:sz w:val="16"/>
              </w:rPr>
              <w:t>1,617.63</w:t>
            </w:r>
          </w:p>
        </w:tc>
        <w:tc>
          <w:tcPr>
            <w:tcW w:w="1043" w:type="dxa"/>
            <w:tcBorders>
              <w:top w:val="single" w:color="auto" w:sz="10" w:space="0"/>
              <w:left w:val="single" w:color="auto" w:sz="10" w:space="0"/>
              <w:bottom w:val="single" w:color="auto" w:sz="10" w:space="0"/>
              <w:right w:val="single" w:color="auto" w:sz="10" w:space="0"/>
              <w:insideV w:val="single" w:sz="10" w:space="0"/>
            </w:tcBorders>
            <w:vAlign w:val="center"/>
          </w:tcPr>
          <w:p w14:paraId="07990ABC">
            <w:pPr>
              <w:jc w:val="center"/>
            </w:pPr>
            <w:r>
              <w:rPr>
                <w:rFonts w:ascii="宋体" w:hAnsi="宋体" w:eastAsia="宋体"/>
                <w:sz w:val="16"/>
              </w:rPr>
              <w:t>1,605.45</w:t>
            </w:r>
          </w:p>
        </w:tc>
        <w:tc>
          <w:tcPr>
            <w:tcW w:w="1043" w:type="dxa"/>
            <w:tcBorders>
              <w:top w:val="single" w:color="auto" w:sz="10" w:space="0"/>
              <w:left w:val="single" w:color="auto" w:sz="10" w:space="0"/>
              <w:bottom w:val="single" w:color="auto" w:sz="10" w:space="0"/>
              <w:right w:val="single" w:color="auto" w:sz="10" w:space="0"/>
              <w:insideV w:val="single" w:sz="10" w:space="0"/>
            </w:tcBorders>
            <w:vAlign w:val="center"/>
          </w:tcPr>
          <w:p w14:paraId="4E06E328">
            <w:pPr>
              <w:jc w:val="center"/>
            </w:pPr>
            <w:r>
              <w:rPr>
                <w:rFonts w:ascii="宋体" w:hAnsi="宋体" w:eastAsia="宋体"/>
                <w:sz w:val="16"/>
              </w:rPr>
              <w:t>—</w:t>
            </w:r>
          </w:p>
        </w:tc>
        <w:tc>
          <w:tcPr>
            <w:tcW w:w="1043" w:type="dxa"/>
            <w:tcBorders>
              <w:top w:val="single" w:color="auto" w:sz="10" w:space="0"/>
              <w:left w:val="single" w:color="auto" w:sz="10" w:space="0"/>
              <w:bottom w:val="single" w:color="auto" w:sz="10" w:space="0"/>
              <w:right w:val="single" w:color="auto" w:sz="10" w:space="0"/>
              <w:insideV w:val="single" w:sz="10" w:space="0"/>
            </w:tcBorders>
            <w:vAlign w:val="center"/>
          </w:tcPr>
          <w:p w14:paraId="174BA9C4">
            <w:pPr>
              <w:jc w:val="center"/>
            </w:pPr>
            <w:r>
              <w:rPr>
                <w:rFonts w:ascii="宋体" w:hAnsi="宋体" w:eastAsia="宋体"/>
                <w:sz w:val="16"/>
              </w:rPr>
              <w:t>—</w:t>
            </w:r>
          </w:p>
        </w:tc>
        <w:tc>
          <w:tcPr>
            <w:tcW w:w="209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858924">
            <w:pPr>
              <w:jc w:val="center"/>
            </w:pPr>
            <w:r>
              <w:rPr>
                <w:rFonts w:ascii="宋体" w:hAnsi="宋体" w:eastAsia="宋体"/>
                <w:sz w:val="16"/>
              </w:rPr>
              <w:t>—</w:t>
            </w:r>
          </w:p>
        </w:tc>
      </w:tr>
      <w:tr w14:paraId="140535DC">
        <w:tblPrEx>
          <w:tblCellMar>
            <w:top w:w="0" w:type="dxa"/>
            <w:left w:w="108" w:type="dxa"/>
            <w:bottom w:w="0" w:type="dxa"/>
            <w:right w:w="108" w:type="dxa"/>
          </w:tblCellMar>
        </w:tblPrEx>
        <w:trPr>
          <w:trHeight w:val="90" w:hRule="atLeast"/>
        </w:trPr>
        <w:tc>
          <w:tcPr>
            <w:tcW w:w="1043" w:type="dxa"/>
            <w:vMerge w:val="continue"/>
            <w:tcBorders>
              <w:top w:val="single" w:color="auto" w:sz="10" w:space="0"/>
              <w:left w:val="single" w:color="auto" w:sz="10" w:space="0"/>
              <w:bottom w:val="single" w:color="auto" w:sz="10" w:space="0"/>
              <w:right w:val="single" w:color="auto" w:sz="10" w:space="0"/>
              <w:insideV w:val="single" w:sz="10" w:space="0"/>
            </w:tcBorders>
          </w:tcPr>
          <w:p w14:paraId="636F64BB"/>
        </w:tc>
        <w:tc>
          <w:tcPr>
            <w:tcW w:w="1043" w:type="dxa"/>
            <w:tcBorders>
              <w:top w:val="single" w:color="auto" w:sz="10" w:space="0"/>
              <w:left w:val="single" w:color="auto" w:sz="10" w:space="0"/>
              <w:bottom w:val="single" w:color="auto" w:sz="10" w:space="0"/>
              <w:right w:val="single" w:color="auto" w:sz="10" w:space="0"/>
              <w:insideV w:val="single" w:sz="10" w:space="0"/>
            </w:tcBorders>
            <w:vAlign w:val="center"/>
          </w:tcPr>
          <w:p w14:paraId="1EBA186F">
            <w:pPr>
              <w:jc w:val="center"/>
            </w:pPr>
            <w:r>
              <w:rPr>
                <w:rFonts w:ascii="宋体" w:hAnsi="宋体" w:eastAsia="宋体"/>
                <w:sz w:val="16"/>
              </w:rPr>
              <w:t>其他资金：</w:t>
            </w:r>
          </w:p>
        </w:tc>
        <w:tc>
          <w:tcPr>
            <w:tcW w:w="1043" w:type="dxa"/>
            <w:tcBorders>
              <w:top w:val="single" w:color="auto" w:sz="10" w:space="0"/>
              <w:left w:val="single" w:color="auto" w:sz="10" w:space="0"/>
              <w:bottom w:val="single" w:color="auto" w:sz="10" w:space="0"/>
              <w:right w:val="single" w:color="auto" w:sz="10" w:space="0"/>
              <w:insideV w:val="single" w:sz="10" w:space="0"/>
            </w:tcBorders>
            <w:vAlign w:val="center"/>
          </w:tcPr>
          <w:p w14:paraId="42EB3A77">
            <w:pPr>
              <w:jc w:val="center"/>
            </w:pPr>
            <w:r>
              <w:rPr>
                <w:rFonts w:ascii="宋体" w:hAnsi="宋体" w:eastAsia="宋体"/>
                <w:sz w:val="16"/>
              </w:rPr>
              <w:t>0.00</w:t>
            </w:r>
          </w:p>
        </w:tc>
        <w:tc>
          <w:tcPr>
            <w:tcW w:w="1043" w:type="dxa"/>
            <w:tcBorders>
              <w:top w:val="single" w:color="auto" w:sz="10" w:space="0"/>
              <w:left w:val="single" w:color="auto" w:sz="10" w:space="0"/>
              <w:bottom w:val="single" w:color="auto" w:sz="10" w:space="0"/>
              <w:right w:val="single" w:color="auto" w:sz="10" w:space="0"/>
              <w:insideV w:val="single" w:sz="10" w:space="0"/>
            </w:tcBorders>
            <w:vAlign w:val="center"/>
          </w:tcPr>
          <w:p w14:paraId="2075A1C7">
            <w:pPr>
              <w:jc w:val="center"/>
            </w:pPr>
            <w:r>
              <w:rPr>
                <w:rFonts w:ascii="宋体" w:hAnsi="宋体" w:eastAsia="宋体"/>
                <w:sz w:val="16"/>
              </w:rPr>
              <w:t>100.00</w:t>
            </w:r>
          </w:p>
        </w:tc>
        <w:tc>
          <w:tcPr>
            <w:tcW w:w="1043" w:type="dxa"/>
            <w:tcBorders>
              <w:top w:val="single" w:color="auto" w:sz="10" w:space="0"/>
              <w:left w:val="single" w:color="auto" w:sz="10" w:space="0"/>
              <w:bottom w:val="single" w:color="auto" w:sz="10" w:space="0"/>
              <w:right w:val="single" w:color="auto" w:sz="10" w:space="0"/>
              <w:insideV w:val="single" w:sz="10" w:space="0"/>
            </w:tcBorders>
            <w:vAlign w:val="center"/>
          </w:tcPr>
          <w:p w14:paraId="0570EB54">
            <w:pPr>
              <w:jc w:val="center"/>
            </w:pPr>
            <w:r>
              <w:rPr>
                <w:rFonts w:ascii="宋体" w:hAnsi="宋体" w:eastAsia="宋体"/>
                <w:sz w:val="16"/>
              </w:rPr>
              <w:t>97.55</w:t>
            </w:r>
          </w:p>
        </w:tc>
        <w:tc>
          <w:tcPr>
            <w:tcW w:w="1043" w:type="dxa"/>
            <w:tcBorders>
              <w:top w:val="single" w:color="auto" w:sz="10" w:space="0"/>
              <w:left w:val="single" w:color="auto" w:sz="10" w:space="0"/>
              <w:bottom w:val="single" w:color="auto" w:sz="10" w:space="0"/>
              <w:right w:val="single" w:color="auto" w:sz="10" w:space="0"/>
              <w:insideV w:val="single" w:sz="10" w:space="0"/>
            </w:tcBorders>
            <w:vAlign w:val="center"/>
          </w:tcPr>
          <w:p w14:paraId="7EF6DEF2">
            <w:pPr>
              <w:jc w:val="center"/>
            </w:pPr>
            <w:r>
              <w:rPr>
                <w:rFonts w:ascii="宋体" w:hAnsi="宋体" w:eastAsia="宋体"/>
                <w:sz w:val="16"/>
              </w:rPr>
              <w:t>—</w:t>
            </w:r>
          </w:p>
        </w:tc>
        <w:tc>
          <w:tcPr>
            <w:tcW w:w="1043" w:type="dxa"/>
            <w:tcBorders>
              <w:top w:val="single" w:color="auto" w:sz="10" w:space="0"/>
              <w:left w:val="single" w:color="auto" w:sz="10" w:space="0"/>
              <w:bottom w:val="single" w:color="auto" w:sz="10" w:space="0"/>
              <w:right w:val="single" w:color="auto" w:sz="10" w:space="0"/>
              <w:insideV w:val="single" w:sz="10" w:space="0"/>
            </w:tcBorders>
            <w:vAlign w:val="center"/>
          </w:tcPr>
          <w:p w14:paraId="0390E27A">
            <w:pPr>
              <w:jc w:val="center"/>
            </w:pPr>
            <w:r>
              <w:rPr>
                <w:rFonts w:ascii="宋体" w:hAnsi="宋体" w:eastAsia="宋体"/>
                <w:sz w:val="16"/>
              </w:rPr>
              <w:t>—</w:t>
            </w:r>
          </w:p>
        </w:tc>
        <w:tc>
          <w:tcPr>
            <w:tcW w:w="209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A031C0">
            <w:pPr>
              <w:jc w:val="center"/>
            </w:pPr>
            <w:r>
              <w:rPr>
                <w:rFonts w:ascii="宋体" w:hAnsi="宋体" w:eastAsia="宋体"/>
                <w:sz w:val="16"/>
              </w:rPr>
              <w:t>—</w:t>
            </w:r>
          </w:p>
        </w:tc>
      </w:tr>
      <w:tr w14:paraId="13F59D52">
        <w:tblPrEx>
          <w:tblCellMar>
            <w:top w:w="0" w:type="dxa"/>
            <w:left w:w="108" w:type="dxa"/>
            <w:bottom w:w="0" w:type="dxa"/>
            <w:right w:w="108" w:type="dxa"/>
          </w:tblCellMar>
        </w:tblPrEx>
        <w:trPr>
          <w:trHeight w:val="90" w:hRule="atLeast"/>
        </w:trPr>
        <w:tc>
          <w:tcPr>
            <w:tcW w:w="104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216C47">
            <w:pPr>
              <w:jc w:val="center"/>
            </w:pPr>
            <w:r>
              <w:rPr>
                <w:rFonts w:ascii="宋体" w:hAnsi="宋体" w:eastAsia="宋体"/>
                <w:sz w:val="16"/>
              </w:rPr>
              <w:t>年度总体目标</w:t>
            </w:r>
          </w:p>
        </w:tc>
        <w:tc>
          <w:tcPr>
            <w:tcW w:w="312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15D9402">
            <w:pPr>
              <w:jc w:val="center"/>
            </w:pPr>
            <w:r>
              <w:rPr>
                <w:rFonts w:ascii="宋体" w:hAnsi="宋体" w:eastAsia="宋体"/>
                <w:sz w:val="16"/>
              </w:rPr>
              <w:t>预期目标</w:t>
            </w:r>
          </w:p>
        </w:tc>
        <w:tc>
          <w:tcPr>
            <w:tcW w:w="5228"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4117586">
            <w:pPr>
              <w:jc w:val="center"/>
            </w:pPr>
            <w:r>
              <w:rPr>
                <w:rFonts w:ascii="宋体" w:hAnsi="宋体" w:eastAsia="宋体"/>
                <w:sz w:val="16"/>
              </w:rPr>
              <w:t>实际完成情况</w:t>
            </w:r>
          </w:p>
        </w:tc>
      </w:tr>
      <w:tr w14:paraId="0DD1CE8F">
        <w:tblPrEx>
          <w:tblCellMar>
            <w:top w:w="0" w:type="dxa"/>
            <w:left w:w="108" w:type="dxa"/>
            <w:bottom w:w="0" w:type="dxa"/>
            <w:right w:w="108" w:type="dxa"/>
          </w:tblCellMar>
        </w:tblPrEx>
        <w:trPr>
          <w:trHeight w:val="1105" w:hRule="atLeast"/>
        </w:trPr>
        <w:tc>
          <w:tcPr>
            <w:tcW w:w="1043" w:type="dxa"/>
            <w:vMerge w:val="continue"/>
            <w:tcBorders>
              <w:top w:val="single" w:color="auto" w:sz="10" w:space="0"/>
              <w:left w:val="single" w:color="auto" w:sz="10" w:space="0"/>
              <w:bottom w:val="single" w:color="auto" w:sz="10" w:space="0"/>
              <w:right w:val="single" w:color="auto" w:sz="10" w:space="0"/>
              <w:insideV w:val="single" w:sz="10" w:space="0"/>
            </w:tcBorders>
          </w:tcPr>
          <w:p w14:paraId="35C08D43"/>
        </w:tc>
        <w:tc>
          <w:tcPr>
            <w:tcW w:w="312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C440DEB">
            <w:pPr>
              <w:jc w:val="both"/>
            </w:pPr>
            <w:r>
              <w:rPr>
                <w:rFonts w:ascii="宋体" w:hAnsi="宋体" w:eastAsia="宋体"/>
                <w:sz w:val="16"/>
              </w:rPr>
              <w:t>深入贯彻党中央、自治区党委、地委以及县委各项决策部署，对政法工作研究提出意见建议，推进平安疏附、法治疏附建设，加强过硬队伍建设，深化智能化建设；组织做好政法领域调查研究，研究拟订贯彻落实政法工作方针政策和决策部署的具体措施，及时向县委提出对策建议；指导政法部门做好涉及政法工作的重大宣传工作；监督和支持政法各单位依法行使职权，指导和协调政法各部门密切配合，研究和协调重大、疑难案件，推进严格执法，公正执法；创建本年度自治区级平安乡镇1个；举办法治专业技术人才培训班次4次。</w:t>
            </w:r>
          </w:p>
        </w:tc>
        <w:tc>
          <w:tcPr>
            <w:tcW w:w="5228"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2BED53E">
            <w:pPr>
              <w:jc w:val="both"/>
            </w:pPr>
            <w:r>
              <w:rPr>
                <w:rFonts w:ascii="宋体" w:hAnsi="宋体" w:eastAsia="宋体"/>
                <w:sz w:val="16"/>
              </w:rPr>
              <w:t>深入贯彻党中央、自治区党委、地委以及县委各项决策部署，对政法工作研究提出了切实可行的意见建议，推进了平安疏附、法治疏附建设，深化智能化建设；积极组织做好政法领域调查研究，研究拟定了贯彻落实政法工作方针政策和决策部署的具体措施，及时向县委提出对策建议；参与指导了政府部门做好涉及政法工作的重大宣传工作；贯彻监督和支持政法各单位依法行使职权，指导和协调政法各部门密切配合，研究和协调重大、疑难案件，推进了严格执法，公正执法；创建了本年度自治区级平安乡镇1个，举办了法治专业技术人才培训班次3次。</w:t>
            </w:r>
          </w:p>
        </w:tc>
      </w:tr>
      <w:tr w14:paraId="43F81CC0">
        <w:tblPrEx>
          <w:tblCellMar>
            <w:top w:w="0" w:type="dxa"/>
            <w:left w:w="108" w:type="dxa"/>
            <w:bottom w:w="0" w:type="dxa"/>
            <w:right w:w="108" w:type="dxa"/>
          </w:tblCellMar>
        </w:tblPrEx>
        <w:trPr>
          <w:trHeight w:val="164" w:hRule="atLeast"/>
        </w:trPr>
        <w:tc>
          <w:tcPr>
            <w:tcW w:w="1043" w:type="dxa"/>
            <w:tcBorders>
              <w:top w:val="single" w:color="auto" w:sz="10" w:space="0"/>
              <w:left w:val="single" w:color="auto" w:sz="10" w:space="0"/>
              <w:bottom w:val="single" w:color="auto" w:sz="10" w:space="0"/>
              <w:right w:val="single" w:color="auto" w:sz="10" w:space="0"/>
              <w:insideV w:val="single" w:sz="10" w:space="0"/>
            </w:tcBorders>
            <w:vAlign w:val="center"/>
          </w:tcPr>
          <w:p w14:paraId="07E8163B">
            <w:pPr>
              <w:jc w:val="center"/>
            </w:pPr>
            <w:r>
              <w:rPr>
                <w:rFonts w:ascii="宋体" w:hAnsi="宋体" w:eastAsia="宋体"/>
                <w:sz w:val="16"/>
              </w:rPr>
              <w:t>一级指标</w:t>
            </w:r>
          </w:p>
        </w:tc>
        <w:tc>
          <w:tcPr>
            <w:tcW w:w="1043" w:type="dxa"/>
            <w:tcBorders>
              <w:top w:val="single" w:color="auto" w:sz="10" w:space="0"/>
              <w:left w:val="single" w:color="auto" w:sz="10" w:space="0"/>
              <w:bottom w:val="single" w:color="auto" w:sz="10" w:space="0"/>
              <w:right w:val="single" w:color="auto" w:sz="10" w:space="0"/>
              <w:insideV w:val="single" w:sz="10" w:space="0"/>
            </w:tcBorders>
            <w:vAlign w:val="center"/>
          </w:tcPr>
          <w:p w14:paraId="6912B6C3">
            <w:pPr>
              <w:jc w:val="center"/>
            </w:pPr>
            <w:r>
              <w:rPr>
                <w:rFonts w:ascii="宋体" w:hAnsi="宋体" w:eastAsia="宋体"/>
                <w:sz w:val="16"/>
              </w:rPr>
              <w:t>二级指标</w:t>
            </w:r>
          </w:p>
        </w:tc>
        <w:tc>
          <w:tcPr>
            <w:tcW w:w="1043" w:type="dxa"/>
            <w:tcBorders>
              <w:top w:val="single" w:color="auto" w:sz="10" w:space="0"/>
              <w:left w:val="single" w:color="auto" w:sz="10" w:space="0"/>
              <w:bottom w:val="single" w:color="auto" w:sz="10" w:space="0"/>
              <w:right w:val="single" w:color="auto" w:sz="10" w:space="0"/>
              <w:insideV w:val="single" w:sz="10" w:space="0"/>
            </w:tcBorders>
            <w:vAlign w:val="center"/>
          </w:tcPr>
          <w:p w14:paraId="60DBBC8F">
            <w:pPr>
              <w:jc w:val="center"/>
            </w:pPr>
            <w:r>
              <w:rPr>
                <w:rFonts w:ascii="宋体" w:hAnsi="宋体" w:eastAsia="宋体"/>
                <w:sz w:val="16"/>
              </w:rPr>
              <w:t>三级指标</w:t>
            </w:r>
          </w:p>
        </w:tc>
        <w:tc>
          <w:tcPr>
            <w:tcW w:w="1043" w:type="dxa"/>
            <w:tcBorders>
              <w:top w:val="single" w:color="auto" w:sz="10" w:space="0"/>
              <w:left w:val="single" w:color="auto" w:sz="10" w:space="0"/>
              <w:bottom w:val="single" w:color="auto" w:sz="10" w:space="0"/>
              <w:right w:val="single" w:color="auto" w:sz="10" w:space="0"/>
              <w:insideV w:val="single" w:sz="10" w:space="0"/>
            </w:tcBorders>
            <w:vAlign w:val="center"/>
          </w:tcPr>
          <w:p w14:paraId="1E88FC0C">
            <w:pPr>
              <w:jc w:val="center"/>
            </w:pPr>
            <w:r>
              <w:rPr>
                <w:rFonts w:ascii="宋体" w:hAnsi="宋体" w:eastAsia="宋体"/>
                <w:sz w:val="16"/>
              </w:rPr>
              <w:t>指标值</w:t>
            </w:r>
          </w:p>
        </w:tc>
        <w:tc>
          <w:tcPr>
            <w:tcW w:w="1043" w:type="dxa"/>
            <w:tcBorders>
              <w:top w:val="single" w:color="auto" w:sz="10" w:space="0"/>
              <w:left w:val="single" w:color="auto" w:sz="10" w:space="0"/>
              <w:bottom w:val="single" w:color="auto" w:sz="10" w:space="0"/>
              <w:right w:val="single" w:color="auto" w:sz="10" w:space="0"/>
              <w:insideV w:val="single" w:sz="10" w:space="0"/>
            </w:tcBorders>
            <w:vAlign w:val="center"/>
          </w:tcPr>
          <w:p w14:paraId="2B1D40FA">
            <w:pPr>
              <w:jc w:val="center"/>
            </w:pPr>
            <w:r>
              <w:rPr>
                <w:rFonts w:ascii="宋体" w:hAnsi="宋体" w:eastAsia="宋体"/>
                <w:sz w:val="16"/>
              </w:rPr>
              <w:t>指标值设定依据</w:t>
            </w:r>
          </w:p>
        </w:tc>
        <w:tc>
          <w:tcPr>
            <w:tcW w:w="1043" w:type="dxa"/>
            <w:tcBorders>
              <w:top w:val="single" w:color="auto" w:sz="10" w:space="0"/>
              <w:left w:val="single" w:color="auto" w:sz="10" w:space="0"/>
              <w:bottom w:val="single" w:color="auto" w:sz="10" w:space="0"/>
              <w:right w:val="single" w:color="auto" w:sz="10" w:space="0"/>
              <w:insideV w:val="single" w:sz="10" w:space="0"/>
            </w:tcBorders>
            <w:vAlign w:val="center"/>
          </w:tcPr>
          <w:p w14:paraId="2643CD8C">
            <w:pPr>
              <w:jc w:val="center"/>
            </w:pPr>
            <w:r>
              <w:rPr>
                <w:rFonts w:ascii="宋体" w:hAnsi="宋体" w:eastAsia="宋体"/>
                <w:sz w:val="16"/>
              </w:rPr>
              <w:t>分值权重</w:t>
            </w:r>
          </w:p>
        </w:tc>
        <w:tc>
          <w:tcPr>
            <w:tcW w:w="1043" w:type="dxa"/>
            <w:tcBorders>
              <w:top w:val="single" w:color="auto" w:sz="10" w:space="0"/>
              <w:left w:val="single" w:color="auto" w:sz="10" w:space="0"/>
              <w:bottom w:val="single" w:color="auto" w:sz="10" w:space="0"/>
              <w:right w:val="single" w:color="auto" w:sz="10" w:space="0"/>
              <w:insideV w:val="single" w:sz="10" w:space="0"/>
            </w:tcBorders>
            <w:vAlign w:val="center"/>
          </w:tcPr>
          <w:p w14:paraId="5E8DA103">
            <w:pPr>
              <w:jc w:val="center"/>
            </w:pPr>
            <w:r>
              <w:rPr>
                <w:rFonts w:ascii="宋体" w:hAnsi="宋体" w:eastAsia="宋体"/>
                <w:sz w:val="16"/>
              </w:rPr>
              <w:t>实际完成值</w:t>
            </w:r>
          </w:p>
        </w:tc>
        <w:tc>
          <w:tcPr>
            <w:tcW w:w="1043" w:type="dxa"/>
            <w:tcBorders>
              <w:top w:val="single" w:color="auto" w:sz="10" w:space="0"/>
              <w:left w:val="single" w:color="auto" w:sz="10" w:space="0"/>
              <w:bottom w:val="single" w:color="auto" w:sz="10" w:space="0"/>
              <w:right w:val="single" w:color="auto" w:sz="10" w:space="0"/>
              <w:insideV w:val="single" w:sz="10" w:space="0"/>
            </w:tcBorders>
            <w:vAlign w:val="center"/>
          </w:tcPr>
          <w:p w14:paraId="16730616">
            <w:pPr>
              <w:jc w:val="center"/>
            </w:pPr>
            <w:r>
              <w:rPr>
                <w:rFonts w:ascii="宋体" w:hAnsi="宋体" w:eastAsia="宋体"/>
                <w:sz w:val="16"/>
              </w:rPr>
              <w:t>完成率</w:t>
            </w:r>
          </w:p>
        </w:tc>
        <w:tc>
          <w:tcPr>
            <w:tcW w:w="1056" w:type="dxa"/>
            <w:tcBorders>
              <w:top w:val="single" w:color="auto" w:sz="10" w:space="0"/>
              <w:left w:val="single" w:color="auto" w:sz="10" w:space="0"/>
              <w:bottom w:val="single" w:color="auto" w:sz="10" w:space="0"/>
              <w:right w:val="single" w:color="auto" w:sz="10" w:space="0"/>
              <w:insideV w:val="single" w:sz="10" w:space="0"/>
            </w:tcBorders>
            <w:vAlign w:val="center"/>
          </w:tcPr>
          <w:p w14:paraId="2996E802">
            <w:pPr>
              <w:jc w:val="center"/>
            </w:pPr>
            <w:r>
              <w:rPr>
                <w:rFonts w:ascii="宋体" w:hAnsi="宋体" w:eastAsia="宋体"/>
                <w:sz w:val="16"/>
              </w:rPr>
              <w:t>得分</w:t>
            </w:r>
          </w:p>
        </w:tc>
      </w:tr>
      <w:tr w14:paraId="36F4E1B7">
        <w:tblPrEx>
          <w:tblCellMar>
            <w:top w:w="0" w:type="dxa"/>
            <w:left w:w="108" w:type="dxa"/>
            <w:bottom w:w="0" w:type="dxa"/>
            <w:right w:w="108" w:type="dxa"/>
          </w:tblCellMar>
        </w:tblPrEx>
        <w:trPr>
          <w:trHeight w:val="242" w:hRule="atLeast"/>
        </w:trPr>
        <w:tc>
          <w:tcPr>
            <w:tcW w:w="104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4049DFC">
            <w:pPr>
              <w:jc w:val="center"/>
            </w:pPr>
            <w:r>
              <w:rPr>
                <w:rFonts w:ascii="宋体" w:hAnsi="宋体" w:eastAsia="宋体"/>
                <w:sz w:val="16"/>
              </w:rPr>
              <w:t>履职效能</w:t>
            </w:r>
          </w:p>
        </w:tc>
        <w:tc>
          <w:tcPr>
            <w:tcW w:w="104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C6CABD7">
            <w:pPr>
              <w:jc w:val="center"/>
            </w:pPr>
            <w:r>
              <w:rPr>
                <w:rFonts w:ascii="宋体" w:hAnsi="宋体" w:eastAsia="宋体"/>
                <w:sz w:val="16"/>
              </w:rPr>
              <w:t>数量指标</w:t>
            </w:r>
          </w:p>
        </w:tc>
        <w:tc>
          <w:tcPr>
            <w:tcW w:w="1043" w:type="dxa"/>
            <w:tcBorders>
              <w:top w:val="single" w:color="auto" w:sz="10" w:space="0"/>
              <w:left w:val="single" w:color="auto" w:sz="10" w:space="0"/>
              <w:bottom w:val="single" w:color="auto" w:sz="10" w:space="0"/>
              <w:right w:val="single" w:color="auto" w:sz="10" w:space="0"/>
              <w:insideV w:val="single" w:sz="10" w:space="0"/>
            </w:tcBorders>
            <w:vAlign w:val="center"/>
          </w:tcPr>
          <w:p w14:paraId="789F8F1D">
            <w:pPr>
              <w:jc w:val="center"/>
            </w:pPr>
            <w:r>
              <w:rPr>
                <w:rFonts w:ascii="宋体" w:hAnsi="宋体" w:eastAsia="宋体"/>
                <w:sz w:val="16"/>
              </w:rPr>
              <w:t>创建自治区平安乡镇（个）</w:t>
            </w:r>
          </w:p>
        </w:tc>
        <w:tc>
          <w:tcPr>
            <w:tcW w:w="1043" w:type="dxa"/>
            <w:tcBorders>
              <w:top w:val="single" w:color="auto" w:sz="10" w:space="0"/>
              <w:left w:val="single" w:color="auto" w:sz="10" w:space="0"/>
              <w:bottom w:val="single" w:color="auto" w:sz="10" w:space="0"/>
              <w:right w:val="single" w:color="auto" w:sz="10" w:space="0"/>
              <w:insideV w:val="single" w:sz="10" w:space="0"/>
            </w:tcBorders>
            <w:vAlign w:val="center"/>
          </w:tcPr>
          <w:p w14:paraId="0B99E16A">
            <w:pPr>
              <w:jc w:val="center"/>
            </w:pPr>
            <w:r>
              <w:rPr>
                <w:rFonts w:ascii="宋体" w:hAnsi="宋体" w:eastAsia="宋体"/>
                <w:sz w:val="16"/>
              </w:rPr>
              <w:t>&gt;=1个</w:t>
            </w:r>
          </w:p>
        </w:tc>
        <w:tc>
          <w:tcPr>
            <w:tcW w:w="1043" w:type="dxa"/>
            <w:tcBorders>
              <w:top w:val="single" w:color="auto" w:sz="10" w:space="0"/>
              <w:left w:val="single" w:color="auto" w:sz="10" w:space="0"/>
              <w:bottom w:val="single" w:color="auto" w:sz="10" w:space="0"/>
              <w:right w:val="single" w:color="auto" w:sz="10" w:space="0"/>
              <w:insideV w:val="single" w:sz="10" w:space="0"/>
            </w:tcBorders>
            <w:vAlign w:val="center"/>
          </w:tcPr>
          <w:p w14:paraId="0648D712">
            <w:pPr>
              <w:jc w:val="center"/>
            </w:pPr>
            <w:r>
              <w:rPr>
                <w:rFonts w:ascii="宋体" w:hAnsi="宋体" w:eastAsia="宋体"/>
                <w:sz w:val="16"/>
              </w:rPr>
              <w:t>政法委2024年工作计划</w:t>
            </w:r>
          </w:p>
        </w:tc>
        <w:tc>
          <w:tcPr>
            <w:tcW w:w="1043" w:type="dxa"/>
            <w:tcBorders>
              <w:top w:val="single" w:color="auto" w:sz="10" w:space="0"/>
              <w:left w:val="single" w:color="auto" w:sz="10" w:space="0"/>
              <w:bottom w:val="single" w:color="auto" w:sz="10" w:space="0"/>
              <w:right w:val="single" w:color="auto" w:sz="10" w:space="0"/>
              <w:insideV w:val="single" w:sz="10" w:space="0"/>
            </w:tcBorders>
            <w:vAlign w:val="center"/>
          </w:tcPr>
          <w:p w14:paraId="05016689">
            <w:pPr>
              <w:jc w:val="center"/>
            </w:pPr>
            <w:r>
              <w:rPr>
                <w:rFonts w:ascii="宋体" w:hAnsi="宋体" w:eastAsia="宋体"/>
                <w:sz w:val="16"/>
              </w:rPr>
              <w:t>22</w:t>
            </w:r>
          </w:p>
        </w:tc>
        <w:tc>
          <w:tcPr>
            <w:tcW w:w="1043" w:type="dxa"/>
            <w:tcBorders>
              <w:top w:val="single" w:color="auto" w:sz="10" w:space="0"/>
              <w:left w:val="single" w:color="auto" w:sz="10" w:space="0"/>
              <w:bottom w:val="single" w:color="auto" w:sz="10" w:space="0"/>
              <w:right w:val="single" w:color="auto" w:sz="10" w:space="0"/>
              <w:insideV w:val="single" w:sz="10" w:space="0"/>
            </w:tcBorders>
            <w:vAlign w:val="center"/>
          </w:tcPr>
          <w:p w14:paraId="1EBEDF43">
            <w:pPr>
              <w:jc w:val="center"/>
            </w:pPr>
            <w:r>
              <w:rPr>
                <w:rFonts w:ascii="宋体" w:hAnsi="宋体" w:eastAsia="宋体"/>
                <w:sz w:val="16"/>
              </w:rPr>
              <w:t>1个</w:t>
            </w:r>
          </w:p>
        </w:tc>
        <w:tc>
          <w:tcPr>
            <w:tcW w:w="1043" w:type="dxa"/>
            <w:tcBorders>
              <w:top w:val="single" w:color="auto" w:sz="10" w:space="0"/>
              <w:left w:val="single" w:color="auto" w:sz="10" w:space="0"/>
              <w:bottom w:val="single" w:color="auto" w:sz="10" w:space="0"/>
              <w:right w:val="single" w:color="auto" w:sz="10" w:space="0"/>
              <w:insideV w:val="single" w:sz="10" w:space="0"/>
            </w:tcBorders>
            <w:vAlign w:val="center"/>
          </w:tcPr>
          <w:p w14:paraId="7D3F97A5">
            <w:pPr>
              <w:jc w:val="center"/>
            </w:pPr>
            <w:r>
              <w:rPr>
                <w:rFonts w:ascii="宋体" w:hAnsi="宋体" w:eastAsia="宋体"/>
                <w:sz w:val="16"/>
              </w:rPr>
              <w:t>100</w:t>
            </w:r>
          </w:p>
        </w:tc>
        <w:tc>
          <w:tcPr>
            <w:tcW w:w="1056" w:type="dxa"/>
            <w:tcBorders>
              <w:top w:val="single" w:color="auto" w:sz="10" w:space="0"/>
              <w:left w:val="single" w:color="auto" w:sz="10" w:space="0"/>
              <w:bottom w:val="single" w:color="auto" w:sz="10" w:space="0"/>
              <w:right w:val="single" w:color="auto" w:sz="10" w:space="0"/>
              <w:insideV w:val="single" w:sz="10" w:space="0"/>
            </w:tcBorders>
            <w:vAlign w:val="center"/>
          </w:tcPr>
          <w:p w14:paraId="2CD96D28">
            <w:pPr>
              <w:jc w:val="center"/>
            </w:pPr>
            <w:r>
              <w:rPr>
                <w:rFonts w:ascii="宋体" w:hAnsi="宋体" w:eastAsia="宋体"/>
                <w:sz w:val="16"/>
              </w:rPr>
              <w:t>22</w:t>
            </w:r>
          </w:p>
        </w:tc>
      </w:tr>
      <w:tr w14:paraId="03B3CE46">
        <w:tblPrEx>
          <w:tblCellMar>
            <w:top w:w="0" w:type="dxa"/>
            <w:left w:w="108" w:type="dxa"/>
            <w:bottom w:w="0" w:type="dxa"/>
            <w:right w:w="108" w:type="dxa"/>
          </w:tblCellMar>
        </w:tblPrEx>
        <w:trPr>
          <w:trHeight w:val="242" w:hRule="atLeast"/>
        </w:trPr>
        <w:tc>
          <w:tcPr>
            <w:tcW w:w="1043" w:type="dxa"/>
            <w:vMerge w:val="continue"/>
            <w:tcBorders>
              <w:top w:val="single" w:color="auto" w:sz="10" w:space="0"/>
              <w:left w:val="single" w:color="auto" w:sz="10" w:space="0"/>
              <w:bottom w:val="single" w:color="auto" w:sz="10" w:space="0"/>
              <w:right w:val="single" w:color="auto" w:sz="10" w:space="0"/>
              <w:insideV w:val="single" w:sz="10" w:space="0"/>
            </w:tcBorders>
          </w:tcPr>
          <w:p w14:paraId="36DD1698"/>
        </w:tc>
        <w:tc>
          <w:tcPr>
            <w:tcW w:w="1043" w:type="dxa"/>
            <w:vMerge w:val="continue"/>
            <w:tcBorders>
              <w:top w:val="single" w:color="auto" w:sz="10" w:space="0"/>
              <w:left w:val="single" w:color="auto" w:sz="10" w:space="0"/>
              <w:bottom w:val="single" w:color="auto" w:sz="10" w:space="0"/>
              <w:right w:val="single" w:color="auto" w:sz="10" w:space="0"/>
              <w:insideV w:val="single" w:sz="10" w:space="0"/>
            </w:tcBorders>
          </w:tcPr>
          <w:p w14:paraId="57A4BD4A"/>
        </w:tc>
        <w:tc>
          <w:tcPr>
            <w:tcW w:w="1043" w:type="dxa"/>
            <w:tcBorders>
              <w:top w:val="single" w:color="auto" w:sz="10" w:space="0"/>
              <w:left w:val="single" w:color="auto" w:sz="10" w:space="0"/>
              <w:bottom w:val="single" w:color="auto" w:sz="10" w:space="0"/>
              <w:right w:val="single" w:color="auto" w:sz="10" w:space="0"/>
              <w:insideV w:val="single" w:sz="10" w:space="0"/>
            </w:tcBorders>
            <w:vAlign w:val="center"/>
          </w:tcPr>
          <w:p w14:paraId="01A56A91">
            <w:pPr>
              <w:jc w:val="center"/>
            </w:pPr>
            <w:r>
              <w:rPr>
                <w:rFonts w:ascii="宋体" w:hAnsi="宋体" w:eastAsia="宋体"/>
                <w:sz w:val="16"/>
              </w:rPr>
              <w:t>政法工作考核合格率（%）</w:t>
            </w:r>
          </w:p>
        </w:tc>
        <w:tc>
          <w:tcPr>
            <w:tcW w:w="1043" w:type="dxa"/>
            <w:tcBorders>
              <w:top w:val="single" w:color="auto" w:sz="10" w:space="0"/>
              <w:left w:val="single" w:color="auto" w:sz="10" w:space="0"/>
              <w:bottom w:val="single" w:color="auto" w:sz="10" w:space="0"/>
              <w:right w:val="single" w:color="auto" w:sz="10" w:space="0"/>
              <w:insideV w:val="single" w:sz="10" w:space="0"/>
            </w:tcBorders>
            <w:vAlign w:val="center"/>
          </w:tcPr>
          <w:p w14:paraId="05C43BF8">
            <w:pPr>
              <w:jc w:val="center"/>
            </w:pPr>
            <w:r>
              <w:rPr>
                <w:rFonts w:ascii="宋体" w:hAnsi="宋体" w:eastAsia="宋体"/>
                <w:sz w:val="16"/>
              </w:rPr>
              <w:t>&gt;=90%</w:t>
            </w:r>
          </w:p>
        </w:tc>
        <w:tc>
          <w:tcPr>
            <w:tcW w:w="1043" w:type="dxa"/>
            <w:tcBorders>
              <w:top w:val="single" w:color="auto" w:sz="10" w:space="0"/>
              <w:left w:val="single" w:color="auto" w:sz="10" w:space="0"/>
              <w:bottom w:val="single" w:color="auto" w:sz="10" w:space="0"/>
              <w:right w:val="single" w:color="auto" w:sz="10" w:space="0"/>
              <w:insideV w:val="single" w:sz="10" w:space="0"/>
            </w:tcBorders>
            <w:vAlign w:val="center"/>
          </w:tcPr>
          <w:p w14:paraId="513BAF4E">
            <w:pPr>
              <w:jc w:val="center"/>
            </w:pPr>
            <w:r>
              <w:rPr>
                <w:rFonts w:ascii="宋体" w:hAnsi="宋体" w:eastAsia="宋体"/>
                <w:sz w:val="16"/>
              </w:rPr>
              <w:t>政法委2024年工作计划</w:t>
            </w:r>
          </w:p>
        </w:tc>
        <w:tc>
          <w:tcPr>
            <w:tcW w:w="1043" w:type="dxa"/>
            <w:tcBorders>
              <w:top w:val="single" w:color="auto" w:sz="10" w:space="0"/>
              <w:left w:val="single" w:color="auto" w:sz="10" w:space="0"/>
              <w:bottom w:val="single" w:color="auto" w:sz="10" w:space="0"/>
              <w:right w:val="single" w:color="auto" w:sz="10" w:space="0"/>
              <w:insideV w:val="single" w:sz="10" w:space="0"/>
            </w:tcBorders>
            <w:vAlign w:val="center"/>
          </w:tcPr>
          <w:p w14:paraId="4A7104FC">
            <w:pPr>
              <w:jc w:val="center"/>
            </w:pPr>
            <w:r>
              <w:rPr>
                <w:rFonts w:ascii="宋体" w:hAnsi="宋体" w:eastAsia="宋体"/>
                <w:sz w:val="16"/>
              </w:rPr>
              <w:t>22</w:t>
            </w:r>
          </w:p>
        </w:tc>
        <w:tc>
          <w:tcPr>
            <w:tcW w:w="1043" w:type="dxa"/>
            <w:tcBorders>
              <w:top w:val="single" w:color="auto" w:sz="10" w:space="0"/>
              <w:left w:val="single" w:color="auto" w:sz="10" w:space="0"/>
              <w:bottom w:val="single" w:color="auto" w:sz="10" w:space="0"/>
              <w:right w:val="single" w:color="auto" w:sz="10" w:space="0"/>
              <w:insideV w:val="single" w:sz="10" w:space="0"/>
            </w:tcBorders>
            <w:vAlign w:val="center"/>
          </w:tcPr>
          <w:p w14:paraId="6B72235A">
            <w:pPr>
              <w:jc w:val="center"/>
            </w:pPr>
            <w:r>
              <w:rPr>
                <w:rFonts w:ascii="宋体" w:hAnsi="宋体" w:eastAsia="宋体"/>
                <w:sz w:val="16"/>
              </w:rPr>
              <w:t>90%</w:t>
            </w:r>
          </w:p>
        </w:tc>
        <w:tc>
          <w:tcPr>
            <w:tcW w:w="1043" w:type="dxa"/>
            <w:tcBorders>
              <w:top w:val="single" w:color="auto" w:sz="10" w:space="0"/>
              <w:left w:val="single" w:color="auto" w:sz="10" w:space="0"/>
              <w:bottom w:val="single" w:color="auto" w:sz="10" w:space="0"/>
              <w:right w:val="single" w:color="auto" w:sz="10" w:space="0"/>
              <w:insideV w:val="single" w:sz="10" w:space="0"/>
            </w:tcBorders>
            <w:vAlign w:val="center"/>
          </w:tcPr>
          <w:p w14:paraId="59C291B3">
            <w:pPr>
              <w:jc w:val="center"/>
            </w:pPr>
            <w:r>
              <w:rPr>
                <w:rFonts w:ascii="宋体" w:hAnsi="宋体" w:eastAsia="宋体"/>
                <w:sz w:val="16"/>
              </w:rPr>
              <w:t>100</w:t>
            </w:r>
          </w:p>
        </w:tc>
        <w:tc>
          <w:tcPr>
            <w:tcW w:w="1056" w:type="dxa"/>
            <w:tcBorders>
              <w:top w:val="single" w:color="auto" w:sz="10" w:space="0"/>
              <w:left w:val="single" w:color="auto" w:sz="10" w:space="0"/>
              <w:bottom w:val="single" w:color="auto" w:sz="10" w:space="0"/>
              <w:right w:val="single" w:color="auto" w:sz="10" w:space="0"/>
              <w:insideV w:val="single" w:sz="10" w:space="0"/>
            </w:tcBorders>
            <w:vAlign w:val="center"/>
          </w:tcPr>
          <w:p w14:paraId="3DD63D8A">
            <w:pPr>
              <w:jc w:val="center"/>
            </w:pPr>
            <w:r>
              <w:rPr>
                <w:rFonts w:ascii="宋体" w:hAnsi="宋体" w:eastAsia="宋体"/>
                <w:sz w:val="16"/>
              </w:rPr>
              <w:t>22</w:t>
            </w:r>
          </w:p>
        </w:tc>
      </w:tr>
      <w:tr w14:paraId="3BDCD88C">
        <w:tblPrEx>
          <w:tblCellMar>
            <w:top w:w="0" w:type="dxa"/>
            <w:left w:w="108" w:type="dxa"/>
            <w:bottom w:w="0" w:type="dxa"/>
            <w:right w:w="108" w:type="dxa"/>
          </w:tblCellMar>
        </w:tblPrEx>
        <w:trPr>
          <w:trHeight w:val="321" w:hRule="atLeast"/>
        </w:trPr>
        <w:tc>
          <w:tcPr>
            <w:tcW w:w="1043" w:type="dxa"/>
            <w:vMerge w:val="continue"/>
            <w:tcBorders>
              <w:top w:val="single" w:color="auto" w:sz="10" w:space="0"/>
              <w:left w:val="single" w:color="auto" w:sz="10" w:space="0"/>
              <w:bottom w:val="single" w:color="auto" w:sz="10" w:space="0"/>
              <w:right w:val="single" w:color="auto" w:sz="10" w:space="0"/>
              <w:insideV w:val="single" w:sz="10" w:space="0"/>
            </w:tcBorders>
          </w:tcPr>
          <w:p w14:paraId="6B1CF134"/>
        </w:tc>
        <w:tc>
          <w:tcPr>
            <w:tcW w:w="1043" w:type="dxa"/>
            <w:vMerge w:val="continue"/>
            <w:tcBorders>
              <w:top w:val="single" w:color="auto" w:sz="10" w:space="0"/>
              <w:left w:val="single" w:color="auto" w:sz="10" w:space="0"/>
              <w:bottom w:val="single" w:color="auto" w:sz="10" w:space="0"/>
              <w:right w:val="single" w:color="auto" w:sz="10" w:space="0"/>
              <w:insideV w:val="single" w:sz="10" w:space="0"/>
            </w:tcBorders>
          </w:tcPr>
          <w:p w14:paraId="2D39214A"/>
        </w:tc>
        <w:tc>
          <w:tcPr>
            <w:tcW w:w="1043" w:type="dxa"/>
            <w:tcBorders>
              <w:top w:val="single" w:color="auto" w:sz="10" w:space="0"/>
              <w:left w:val="single" w:color="auto" w:sz="10" w:space="0"/>
              <w:bottom w:val="single" w:color="auto" w:sz="10" w:space="0"/>
              <w:right w:val="single" w:color="auto" w:sz="10" w:space="0"/>
              <w:insideV w:val="single" w:sz="10" w:space="0"/>
            </w:tcBorders>
            <w:vAlign w:val="center"/>
          </w:tcPr>
          <w:p w14:paraId="0063A14F">
            <w:pPr>
              <w:jc w:val="center"/>
            </w:pPr>
            <w:r>
              <w:rPr>
                <w:rFonts w:ascii="宋体" w:hAnsi="宋体" w:eastAsia="宋体"/>
                <w:sz w:val="16"/>
              </w:rPr>
              <w:t>举办法治专业技术人才培训班次（次）</w:t>
            </w:r>
          </w:p>
        </w:tc>
        <w:tc>
          <w:tcPr>
            <w:tcW w:w="1043" w:type="dxa"/>
            <w:tcBorders>
              <w:top w:val="single" w:color="auto" w:sz="10" w:space="0"/>
              <w:left w:val="single" w:color="auto" w:sz="10" w:space="0"/>
              <w:bottom w:val="single" w:color="auto" w:sz="10" w:space="0"/>
              <w:right w:val="single" w:color="auto" w:sz="10" w:space="0"/>
              <w:insideV w:val="single" w:sz="10" w:space="0"/>
            </w:tcBorders>
            <w:vAlign w:val="center"/>
          </w:tcPr>
          <w:p w14:paraId="231AD361">
            <w:pPr>
              <w:jc w:val="center"/>
            </w:pPr>
            <w:r>
              <w:rPr>
                <w:rFonts w:ascii="宋体" w:hAnsi="宋体" w:eastAsia="宋体"/>
                <w:sz w:val="16"/>
              </w:rPr>
              <w:t>&gt;=4次</w:t>
            </w:r>
          </w:p>
        </w:tc>
        <w:tc>
          <w:tcPr>
            <w:tcW w:w="1043" w:type="dxa"/>
            <w:tcBorders>
              <w:top w:val="single" w:color="auto" w:sz="10" w:space="0"/>
              <w:left w:val="single" w:color="auto" w:sz="10" w:space="0"/>
              <w:bottom w:val="single" w:color="auto" w:sz="10" w:space="0"/>
              <w:right w:val="single" w:color="auto" w:sz="10" w:space="0"/>
              <w:insideV w:val="single" w:sz="10" w:space="0"/>
            </w:tcBorders>
            <w:vAlign w:val="center"/>
          </w:tcPr>
          <w:p w14:paraId="6039D839">
            <w:pPr>
              <w:jc w:val="center"/>
            </w:pPr>
            <w:r>
              <w:rPr>
                <w:rFonts w:ascii="宋体" w:hAnsi="宋体" w:eastAsia="宋体"/>
                <w:sz w:val="16"/>
              </w:rPr>
              <w:t>政法委2024年工作计划</w:t>
            </w:r>
          </w:p>
        </w:tc>
        <w:tc>
          <w:tcPr>
            <w:tcW w:w="1043" w:type="dxa"/>
            <w:tcBorders>
              <w:top w:val="single" w:color="auto" w:sz="10" w:space="0"/>
              <w:left w:val="single" w:color="auto" w:sz="10" w:space="0"/>
              <w:bottom w:val="single" w:color="auto" w:sz="10" w:space="0"/>
              <w:right w:val="single" w:color="auto" w:sz="10" w:space="0"/>
              <w:insideV w:val="single" w:sz="10" w:space="0"/>
            </w:tcBorders>
            <w:vAlign w:val="center"/>
          </w:tcPr>
          <w:p w14:paraId="6B4E1DB3">
            <w:pPr>
              <w:jc w:val="center"/>
            </w:pPr>
            <w:r>
              <w:rPr>
                <w:rFonts w:ascii="宋体" w:hAnsi="宋体" w:eastAsia="宋体"/>
                <w:sz w:val="16"/>
              </w:rPr>
              <w:t>23</w:t>
            </w:r>
          </w:p>
        </w:tc>
        <w:tc>
          <w:tcPr>
            <w:tcW w:w="1043" w:type="dxa"/>
            <w:tcBorders>
              <w:top w:val="single" w:color="auto" w:sz="10" w:space="0"/>
              <w:left w:val="single" w:color="auto" w:sz="10" w:space="0"/>
              <w:bottom w:val="single" w:color="auto" w:sz="10" w:space="0"/>
              <w:right w:val="single" w:color="auto" w:sz="10" w:space="0"/>
              <w:insideV w:val="single" w:sz="10" w:space="0"/>
            </w:tcBorders>
            <w:vAlign w:val="center"/>
          </w:tcPr>
          <w:p w14:paraId="24368890">
            <w:pPr>
              <w:jc w:val="center"/>
            </w:pPr>
            <w:r>
              <w:rPr>
                <w:rFonts w:ascii="宋体" w:hAnsi="宋体" w:eastAsia="宋体"/>
                <w:sz w:val="16"/>
              </w:rPr>
              <w:t>3次</w:t>
            </w:r>
          </w:p>
        </w:tc>
        <w:tc>
          <w:tcPr>
            <w:tcW w:w="1043" w:type="dxa"/>
            <w:tcBorders>
              <w:top w:val="single" w:color="auto" w:sz="10" w:space="0"/>
              <w:left w:val="single" w:color="auto" w:sz="10" w:space="0"/>
              <w:bottom w:val="single" w:color="auto" w:sz="10" w:space="0"/>
              <w:right w:val="single" w:color="auto" w:sz="10" w:space="0"/>
              <w:insideV w:val="single" w:sz="10" w:space="0"/>
            </w:tcBorders>
            <w:vAlign w:val="center"/>
          </w:tcPr>
          <w:p w14:paraId="42DA6F8B">
            <w:pPr>
              <w:jc w:val="center"/>
            </w:pPr>
            <w:r>
              <w:rPr>
                <w:rFonts w:ascii="宋体" w:hAnsi="宋体" w:eastAsia="宋体"/>
                <w:sz w:val="16"/>
              </w:rPr>
              <w:t>75</w:t>
            </w:r>
          </w:p>
        </w:tc>
        <w:tc>
          <w:tcPr>
            <w:tcW w:w="1056" w:type="dxa"/>
            <w:tcBorders>
              <w:top w:val="single" w:color="auto" w:sz="10" w:space="0"/>
              <w:left w:val="single" w:color="auto" w:sz="10" w:space="0"/>
              <w:bottom w:val="single" w:color="auto" w:sz="10" w:space="0"/>
              <w:right w:val="single" w:color="auto" w:sz="10" w:space="0"/>
              <w:insideV w:val="single" w:sz="10" w:space="0"/>
            </w:tcBorders>
            <w:vAlign w:val="center"/>
          </w:tcPr>
          <w:p w14:paraId="3004FA80">
            <w:pPr>
              <w:jc w:val="center"/>
            </w:pPr>
            <w:r>
              <w:rPr>
                <w:rFonts w:ascii="宋体" w:hAnsi="宋体" w:eastAsia="宋体"/>
                <w:sz w:val="16"/>
              </w:rPr>
              <w:t>20</w:t>
            </w:r>
          </w:p>
        </w:tc>
      </w:tr>
      <w:tr w14:paraId="1DD50317">
        <w:tblPrEx>
          <w:tblCellMar>
            <w:top w:w="0" w:type="dxa"/>
            <w:left w:w="108" w:type="dxa"/>
            <w:bottom w:w="0" w:type="dxa"/>
            <w:right w:w="108" w:type="dxa"/>
          </w:tblCellMar>
        </w:tblPrEx>
        <w:trPr>
          <w:trHeight w:val="170" w:hRule="atLeast"/>
        </w:trPr>
        <w:tc>
          <w:tcPr>
            <w:tcW w:w="1043" w:type="dxa"/>
            <w:vMerge w:val="continue"/>
            <w:tcBorders>
              <w:top w:val="single" w:color="auto" w:sz="10" w:space="0"/>
              <w:left w:val="single" w:color="auto" w:sz="10" w:space="0"/>
              <w:bottom w:val="single" w:color="auto" w:sz="10" w:space="0"/>
              <w:right w:val="single" w:color="auto" w:sz="10" w:space="0"/>
              <w:insideV w:val="single" w:sz="10" w:space="0"/>
            </w:tcBorders>
          </w:tcPr>
          <w:p w14:paraId="01022923"/>
        </w:tc>
        <w:tc>
          <w:tcPr>
            <w:tcW w:w="1043" w:type="dxa"/>
            <w:vMerge w:val="continue"/>
            <w:tcBorders>
              <w:top w:val="single" w:color="auto" w:sz="10" w:space="0"/>
              <w:left w:val="single" w:color="auto" w:sz="10" w:space="0"/>
              <w:bottom w:val="single" w:color="auto" w:sz="10" w:space="0"/>
              <w:right w:val="single" w:color="auto" w:sz="10" w:space="0"/>
              <w:insideV w:val="single" w:sz="10" w:space="0"/>
            </w:tcBorders>
          </w:tcPr>
          <w:p w14:paraId="5F2AAA11"/>
        </w:tc>
        <w:tc>
          <w:tcPr>
            <w:tcW w:w="1043" w:type="dxa"/>
            <w:tcBorders>
              <w:top w:val="single" w:color="auto" w:sz="10" w:space="0"/>
              <w:left w:val="single" w:color="auto" w:sz="10" w:space="0"/>
              <w:bottom w:val="single" w:color="auto" w:sz="10" w:space="0"/>
              <w:right w:val="single" w:color="auto" w:sz="10" w:space="0"/>
              <w:insideV w:val="single" w:sz="10" w:space="0"/>
            </w:tcBorders>
            <w:vAlign w:val="center"/>
          </w:tcPr>
          <w:p w14:paraId="1D64C8C4">
            <w:pPr>
              <w:jc w:val="center"/>
            </w:pPr>
            <w:r>
              <w:rPr>
                <w:rFonts w:ascii="宋体" w:hAnsi="宋体" w:eastAsia="宋体"/>
                <w:sz w:val="16"/>
              </w:rPr>
              <w:t>重点工作办结率（%）</w:t>
            </w:r>
          </w:p>
        </w:tc>
        <w:tc>
          <w:tcPr>
            <w:tcW w:w="1043" w:type="dxa"/>
            <w:tcBorders>
              <w:top w:val="single" w:color="auto" w:sz="10" w:space="0"/>
              <w:left w:val="single" w:color="auto" w:sz="10" w:space="0"/>
              <w:bottom w:val="single" w:color="auto" w:sz="10" w:space="0"/>
              <w:right w:val="single" w:color="auto" w:sz="10" w:space="0"/>
              <w:insideV w:val="single" w:sz="10" w:space="0"/>
            </w:tcBorders>
            <w:vAlign w:val="center"/>
          </w:tcPr>
          <w:p w14:paraId="541296B2">
            <w:pPr>
              <w:jc w:val="center"/>
            </w:pPr>
            <w:r>
              <w:rPr>
                <w:rFonts w:ascii="宋体" w:hAnsi="宋体" w:eastAsia="宋体"/>
                <w:sz w:val="16"/>
              </w:rPr>
              <w:t>=100%</w:t>
            </w:r>
          </w:p>
        </w:tc>
        <w:tc>
          <w:tcPr>
            <w:tcW w:w="1043" w:type="dxa"/>
            <w:tcBorders>
              <w:top w:val="single" w:color="auto" w:sz="10" w:space="0"/>
              <w:left w:val="single" w:color="auto" w:sz="10" w:space="0"/>
              <w:bottom w:val="single" w:color="auto" w:sz="10" w:space="0"/>
              <w:right w:val="single" w:color="auto" w:sz="10" w:space="0"/>
              <w:insideV w:val="single" w:sz="10" w:space="0"/>
            </w:tcBorders>
            <w:vAlign w:val="center"/>
          </w:tcPr>
          <w:p w14:paraId="54711119">
            <w:pPr>
              <w:jc w:val="center"/>
            </w:pPr>
            <w:r>
              <w:rPr>
                <w:rFonts w:ascii="宋体" w:hAnsi="宋体" w:eastAsia="宋体"/>
                <w:sz w:val="16"/>
              </w:rPr>
              <w:t>政法委2024年工作计划</w:t>
            </w:r>
          </w:p>
        </w:tc>
        <w:tc>
          <w:tcPr>
            <w:tcW w:w="1043" w:type="dxa"/>
            <w:tcBorders>
              <w:top w:val="single" w:color="auto" w:sz="10" w:space="0"/>
              <w:left w:val="single" w:color="auto" w:sz="10" w:space="0"/>
              <w:bottom w:val="single" w:color="auto" w:sz="10" w:space="0"/>
              <w:right w:val="single" w:color="auto" w:sz="10" w:space="0"/>
              <w:insideV w:val="single" w:sz="10" w:space="0"/>
            </w:tcBorders>
            <w:vAlign w:val="center"/>
          </w:tcPr>
          <w:p w14:paraId="2D41B80F">
            <w:pPr>
              <w:jc w:val="center"/>
            </w:pPr>
            <w:r>
              <w:rPr>
                <w:rFonts w:ascii="宋体" w:hAnsi="宋体" w:eastAsia="宋体"/>
                <w:sz w:val="16"/>
              </w:rPr>
              <w:t>23</w:t>
            </w:r>
          </w:p>
        </w:tc>
        <w:tc>
          <w:tcPr>
            <w:tcW w:w="1043" w:type="dxa"/>
            <w:tcBorders>
              <w:top w:val="single" w:color="auto" w:sz="10" w:space="0"/>
              <w:left w:val="single" w:color="auto" w:sz="10" w:space="0"/>
              <w:bottom w:val="single" w:color="auto" w:sz="10" w:space="0"/>
              <w:right w:val="single" w:color="auto" w:sz="10" w:space="0"/>
              <w:insideV w:val="single" w:sz="10" w:space="0"/>
            </w:tcBorders>
            <w:vAlign w:val="center"/>
          </w:tcPr>
          <w:p w14:paraId="358A803B">
            <w:pPr>
              <w:jc w:val="center"/>
            </w:pPr>
            <w:r>
              <w:rPr>
                <w:rFonts w:ascii="宋体" w:hAnsi="宋体" w:eastAsia="宋体"/>
                <w:sz w:val="16"/>
              </w:rPr>
              <w:t>100%</w:t>
            </w:r>
          </w:p>
        </w:tc>
        <w:tc>
          <w:tcPr>
            <w:tcW w:w="1043" w:type="dxa"/>
            <w:tcBorders>
              <w:top w:val="single" w:color="auto" w:sz="10" w:space="0"/>
              <w:left w:val="single" w:color="auto" w:sz="10" w:space="0"/>
              <w:bottom w:val="single" w:color="auto" w:sz="10" w:space="0"/>
              <w:right w:val="single" w:color="auto" w:sz="10" w:space="0"/>
              <w:insideV w:val="single" w:sz="10" w:space="0"/>
            </w:tcBorders>
            <w:vAlign w:val="center"/>
          </w:tcPr>
          <w:p w14:paraId="72794E91">
            <w:pPr>
              <w:jc w:val="center"/>
            </w:pPr>
            <w:r>
              <w:rPr>
                <w:rFonts w:ascii="宋体" w:hAnsi="宋体" w:eastAsia="宋体"/>
                <w:sz w:val="16"/>
              </w:rPr>
              <w:t>100</w:t>
            </w:r>
          </w:p>
        </w:tc>
        <w:tc>
          <w:tcPr>
            <w:tcW w:w="1056" w:type="dxa"/>
            <w:tcBorders>
              <w:top w:val="single" w:color="auto" w:sz="10" w:space="0"/>
              <w:left w:val="single" w:color="auto" w:sz="10" w:space="0"/>
              <w:bottom w:val="single" w:color="auto" w:sz="10" w:space="0"/>
              <w:right w:val="single" w:color="auto" w:sz="10" w:space="0"/>
              <w:insideV w:val="single" w:sz="10" w:space="0"/>
            </w:tcBorders>
            <w:vAlign w:val="center"/>
          </w:tcPr>
          <w:p w14:paraId="1514A4B1">
            <w:pPr>
              <w:jc w:val="center"/>
            </w:pPr>
            <w:r>
              <w:rPr>
                <w:rFonts w:ascii="宋体" w:hAnsi="宋体" w:eastAsia="宋体"/>
                <w:sz w:val="16"/>
              </w:rPr>
              <w:t>23</w:t>
            </w:r>
          </w:p>
        </w:tc>
      </w:tr>
    </w:tbl>
    <w:p w14:paraId="2C1CD65D">
      <w:r>
        <w:br w:type="page"/>
      </w:r>
    </w:p>
    <w:p w14:paraId="0D98EF36">
      <w:pPr>
        <w:spacing w:line="640" w:lineRule="exact"/>
        <w:ind w:firstLine="640"/>
        <w:jc w:val="both"/>
        <w:outlineLvl w:val="2"/>
      </w:pPr>
      <w:r>
        <w:rPr>
          <w:rFonts w:ascii="黑体" w:hAnsi="黑体" w:eastAsia="黑体"/>
          <w:sz w:val="32"/>
        </w:rPr>
        <w:t>十二、其他需说明的事项</w:t>
      </w:r>
    </w:p>
    <w:p w14:paraId="48CD98A5">
      <w:pPr>
        <w:spacing w:line="580" w:lineRule="exact"/>
        <w:ind w:firstLine="640"/>
        <w:jc w:val="both"/>
      </w:pPr>
      <w:r>
        <w:rPr>
          <w:rFonts w:ascii="仿宋_GB2312" w:hAnsi="仿宋_GB2312" w:eastAsia="仿宋_GB2312"/>
          <w:b w:val="0"/>
          <w:sz w:val="32"/>
        </w:rPr>
        <w:t>本年本单位SM项目18个，全年预算数1838.55万元，全年执行数1825.52万元。</w:t>
      </w:r>
    </w:p>
    <w:p w14:paraId="519B5E58">
      <w:r>
        <w:br w:type="page"/>
      </w:r>
    </w:p>
    <w:p w14:paraId="5F038685">
      <w:pPr>
        <w:spacing w:line="240" w:lineRule="auto"/>
        <w:jc w:val="center"/>
        <w:outlineLvl w:val="1"/>
      </w:pPr>
      <w:r>
        <w:rPr>
          <w:rFonts w:ascii="黑体" w:hAnsi="黑体" w:eastAsia="黑体"/>
          <w:sz w:val="32"/>
        </w:rPr>
        <w:t>第三部分 专业名词解释</w:t>
      </w:r>
    </w:p>
    <w:p w14:paraId="3FE373A9">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1600EE39">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0B6D4C0B">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17DAC839">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3719E36D">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229DC71D">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20F9604B">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5FDEB291">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3B3CA7C0">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4BA5C01E">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28077DA4">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2AE0F4EF">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40DF8F1A">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61776D97">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17DEE137">
      <w:r>
        <w:br w:type="page"/>
      </w:r>
    </w:p>
    <w:p w14:paraId="702912A6">
      <w:pPr>
        <w:spacing w:line="240" w:lineRule="auto"/>
        <w:jc w:val="center"/>
        <w:outlineLvl w:val="1"/>
      </w:pPr>
      <w:r>
        <w:rPr>
          <w:rFonts w:ascii="黑体" w:hAnsi="黑体" w:eastAsia="黑体"/>
          <w:sz w:val="32"/>
        </w:rPr>
        <w:t>第四部分 部门决算报表（见附表）</w:t>
      </w:r>
    </w:p>
    <w:p w14:paraId="2F0D8530">
      <w:pPr>
        <w:spacing w:line="240" w:lineRule="auto"/>
        <w:ind w:firstLine="640"/>
        <w:jc w:val="both"/>
      </w:pPr>
      <w:r>
        <w:rPr>
          <w:rFonts w:ascii="仿宋_GB2312" w:hAnsi="仿宋_GB2312" w:eastAsia="仿宋_GB2312"/>
          <w:b w:val="0"/>
          <w:sz w:val="32"/>
        </w:rPr>
        <w:t>一、《收入支出决算总表》</w:t>
      </w:r>
    </w:p>
    <w:p w14:paraId="41378DE5">
      <w:pPr>
        <w:spacing w:line="240" w:lineRule="auto"/>
        <w:ind w:firstLine="640"/>
        <w:jc w:val="both"/>
      </w:pPr>
      <w:r>
        <w:rPr>
          <w:rFonts w:ascii="仿宋_GB2312" w:hAnsi="仿宋_GB2312" w:eastAsia="仿宋_GB2312"/>
          <w:b w:val="0"/>
          <w:sz w:val="32"/>
        </w:rPr>
        <w:t>二、《收入决算表》</w:t>
      </w:r>
    </w:p>
    <w:p w14:paraId="5EF02D74">
      <w:pPr>
        <w:spacing w:line="240" w:lineRule="auto"/>
        <w:ind w:firstLine="640"/>
        <w:jc w:val="both"/>
      </w:pPr>
      <w:r>
        <w:rPr>
          <w:rFonts w:ascii="仿宋_GB2312" w:hAnsi="仿宋_GB2312" w:eastAsia="仿宋_GB2312"/>
          <w:b w:val="0"/>
          <w:sz w:val="32"/>
        </w:rPr>
        <w:t>三、《支出决算表》</w:t>
      </w:r>
    </w:p>
    <w:p w14:paraId="35DD4A27">
      <w:pPr>
        <w:spacing w:line="240" w:lineRule="auto"/>
        <w:ind w:firstLine="640"/>
        <w:jc w:val="both"/>
      </w:pPr>
      <w:r>
        <w:rPr>
          <w:rFonts w:ascii="仿宋_GB2312" w:hAnsi="仿宋_GB2312" w:eastAsia="仿宋_GB2312"/>
          <w:b w:val="0"/>
          <w:sz w:val="32"/>
        </w:rPr>
        <w:t>四、《财政拨款收入支出决算总表》</w:t>
      </w:r>
    </w:p>
    <w:p w14:paraId="7249EA35">
      <w:pPr>
        <w:spacing w:line="240" w:lineRule="auto"/>
        <w:ind w:firstLine="640"/>
        <w:jc w:val="both"/>
      </w:pPr>
      <w:r>
        <w:rPr>
          <w:rFonts w:ascii="仿宋_GB2312" w:hAnsi="仿宋_GB2312" w:eastAsia="仿宋_GB2312"/>
          <w:b w:val="0"/>
          <w:sz w:val="32"/>
        </w:rPr>
        <w:t>五、《一般公共预算财政拨款支出决算表》</w:t>
      </w:r>
    </w:p>
    <w:p w14:paraId="4B24100F">
      <w:pPr>
        <w:spacing w:line="240" w:lineRule="auto"/>
        <w:ind w:firstLine="640"/>
        <w:jc w:val="both"/>
      </w:pPr>
      <w:r>
        <w:rPr>
          <w:rFonts w:ascii="仿宋_GB2312" w:hAnsi="仿宋_GB2312" w:eastAsia="仿宋_GB2312"/>
          <w:b w:val="0"/>
          <w:sz w:val="32"/>
        </w:rPr>
        <w:t>六、《一般公共预算财政拨款基本支出决算表》</w:t>
      </w:r>
    </w:p>
    <w:p w14:paraId="49B551BE">
      <w:pPr>
        <w:spacing w:line="240" w:lineRule="auto"/>
        <w:ind w:firstLine="640"/>
        <w:jc w:val="both"/>
      </w:pPr>
      <w:r>
        <w:rPr>
          <w:rFonts w:ascii="仿宋_GB2312" w:hAnsi="仿宋_GB2312" w:eastAsia="仿宋_GB2312"/>
          <w:b w:val="0"/>
          <w:sz w:val="32"/>
        </w:rPr>
        <w:t>七、《政府性基金预算财政拨款收入支出决算表》</w:t>
      </w:r>
    </w:p>
    <w:p w14:paraId="46ADA698">
      <w:pPr>
        <w:spacing w:line="240" w:lineRule="auto"/>
        <w:ind w:firstLine="640"/>
        <w:jc w:val="both"/>
      </w:pPr>
      <w:r>
        <w:rPr>
          <w:rFonts w:ascii="仿宋_GB2312" w:hAnsi="仿宋_GB2312" w:eastAsia="仿宋_GB2312"/>
          <w:b w:val="0"/>
          <w:sz w:val="32"/>
        </w:rPr>
        <w:t>八、《国有资本经营预算财政拨款收入支出决算表》</w:t>
      </w:r>
    </w:p>
    <w:p w14:paraId="2A5C93DF">
      <w:pPr>
        <w:spacing w:line="240" w:lineRule="auto"/>
        <w:ind w:firstLine="640"/>
        <w:jc w:val="both"/>
      </w:pPr>
      <w:r>
        <w:rPr>
          <w:rFonts w:ascii="仿宋_GB2312" w:hAnsi="仿宋_GB2312" w:eastAsia="仿宋_GB2312"/>
          <w:b w:val="0"/>
          <w:sz w:val="32"/>
        </w:rPr>
        <w:t>九、《财政拨款“三公”经费支出决算表》</w:t>
      </w:r>
    </w:p>
    <w:p w14:paraId="28FD5619">
      <w:pPr>
        <w:spacing w:line="240" w:lineRule="auto"/>
        <w:ind w:firstLine="640"/>
        <w:jc w:val="both"/>
      </w:pPr>
    </w:p>
    <w:p w14:paraId="29AC386D">
      <w:pPr>
        <w:spacing w:line="240" w:lineRule="auto"/>
        <w:ind w:firstLine="640"/>
        <w:jc w:val="both"/>
      </w:pPr>
    </w:p>
    <w:p w14:paraId="2694ECA5">
      <w:pPr>
        <w:spacing w:line="240" w:lineRule="auto"/>
        <w:ind w:firstLine="640"/>
        <w:jc w:val="both"/>
      </w:pPr>
    </w:p>
    <w:p w14:paraId="55918B9D">
      <w:pPr>
        <w:spacing w:line="240" w:lineRule="auto"/>
        <w:ind w:firstLine="640"/>
        <w:jc w:val="both"/>
      </w:pPr>
    </w:p>
    <w:p w14:paraId="181AB50C">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kzYTY1ODhmZjRiY2MxNDhlNzhkN2RkNzk0ZmMyNjI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DD6696A"/>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3A17D79"/>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0664E0"/>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17</Pages>
  <Words>6028</Words>
  <Characters>6954</Characters>
  <Lines>0</Lines>
  <Paragraphs>0</Paragraphs>
  <TotalTime>3</TotalTime>
  <ScaleCrop>false</ScaleCrop>
  <LinksUpToDate>false</LinksUpToDate>
  <CharactersWithSpaces>6964</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GaYi.</cp:lastModifiedBy>
  <cp:lastPrinted>2024-07-22T11:58:00Z</cp:lastPrinted>
  <dcterms:modified xsi:type="dcterms:W3CDTF">2025-09-16T04:13:23Z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eyJoZGlkIjoiNTliMzZiYjRlN2VlNDIwNWJkNWMyNGYxMWEyN2ViYWUiLCJ1c2VySWQiOiI0NDQ5NDYzNjEifQ==</vt:lpwstr>
  </property>
</Properties>
</file>