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C829E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疏附县阿凡提歌舞团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92B8EB">
      <w:r>
        <w:br w:type="page"/>
      </w:r>
    </w:p>
    <w:p w14:paraId="38F61501">
      <w:pPr>
        <w:spacing w:line="640" w:lineRule="exact"/>
        <w:jc w:val="center"/>
        <w:outlineLvl w:val="1"/>
      </w:pPr>
      <w:r>
        <w:rPr>
          <w:rFonts w:ascii="黑体" w:hAnsi="黑体" w:eastAsia="黑体"/>
          <w:sz w:val="32"/>
        </w:rPr>
        <w:t>第一部分 单位概况</w:t>
      </w:r>
    </w:p>
    <w:p w14:paraId="60741072">
      <w:pPr>
        <w:spacing w:line="640" w:lineRule="exact"/>
        <w:ind w:firstLine="640"/>
        <w:jc w:val="both"/>
        <w:outlineLvl w:val="2"/>
      </w:pPr>
      <w:r>
        <w:rPr>
          <w:rFonts w:ascii="黑体" w:hAnsi="黑体" w:eastAsia="黑体"/>
          <w:sz w:val="32"/>
        </w:rPr>
        <w:t>一、主要职能</w:t>
      </w:r>
    </w:p>
    <w:p w14:paraId="360A2605">
      <w:pPr>
        <w:spacing w:line="580" w:lineRule="exact"/>
        <w:ind w:firstLine="640"/>
        <w:jc w:val="both"/>
      </w:pPr>
      <w:r>
        <w:rPr>
          <w:rFonts w:ascii="仿宋_GB2312" w:hAnsi="仿宋_GB2312" w:eastAsia="仿宋_GB2312"/>
          <w:sz w:val="32"/>
        </w:rPr>
        <w:t>（一）贯彻执行党和国家、自治区有关文化、体育、广播电视、旅游工作的方针政策和法律法规，牢牢掌握意识形态工作的领导权和主动权。</w:t>
      </w:r>
    </w:p>
    <w:p w14:paraId="678137BC">
      <w:pPr>
        <w:spacing w:line="580" w:lineRule="exact"/>
        <w:ind w:firstLine="640"/>
        <w:jc w:val="both"/>
      </w:pPr>
      <w:r>
        <w:rPr>
          <w:rFonts w:ascii="仿宋_GB2312" w:hAnsi="仿宋_GB2312" w:eastAsia="仿宋_GB2312"/>
          <w:sz w:val="32"/>
        </w:rPr>
        <w:t>（二）统筹文化、体育、广播电视和旅游事业、产业振兴发展，研究制定和组织实施全县文化、体育、广播电视、旅游事业、产业发展规划，指导推进全县文化、体育、广播电视、旅游工作；结合乡村振兴战略，推进文化和旅游扶贫工作。</w:t>
      </w:r>
    </w:p>
    <w:p w14:paraId="5FE1C59B">
      <w:pPr>
        <w:spacing w:line="580" w:lineRule="exact"/>
        <w:ind w:firstLine="640"/>
        <w:jc w:val="both"/>
      </w:pPr>
      <w:r>
        <w:rPr>
          <w:rFonts w:ascii="仿宋_GB2312" w:hAnsi="仿宋_GB2312" w:eastAsia="仿宋_GB2312"/>
          <w:sz w:val="32"/>
        </w:rPr>
        <w:t>（三）指导、管理文化和旅游对外交流、合作、宣传、推广；研究拟定疏附县国际、国内文化旅游市场开发战略并组织实施。</w:t>
      </w:r>
    </w:p>
    <w:p w14:paraId="3B652C6D">
      <w:pPr>
        <w:spacing w:line="580" w:lineRule="exact"/>
        <w:ind w:firstLine="640"/>
        <w:jc w:val="both"/>
      </w:pPr>
      <w:r>
        <w:rPr>
          <w:rFonts w:ascii="仿宋_GB2312" w:hAnsi="仿宋_GB2312" w:eastAsia="仿宋_GB2312"/>
          <w:sz w:val="32"/>
        </w:rPr>
        <w:t>（四）构建全媒体时代的宣传营销平台和机制，组织、指导重要文化旅游产品的开发；组织开展文化、体育、广播电视、旅游对口援疆工作。</w:t>
      </w:r>
    </w:p>
    <w:p w14:paraId="7BC172C9">
      <w:pPr>
        <w:spacing w:line="580" w:lineRule="exact"/>
        <w:ind w:firstLine="640"/>
        <w:jc w:val="both"/>
      </w:pPr>
      <w:r>
        <w:rPr>
          <w:rFonts w:ascii="仿宋_GB2312" w:hAnsi="仿宋_GB2312" w:eastAsia="仿宋_GB2312"/>
          <w:sz w:val="32"/>
        </w:rPr>
        <w:t>（五）统筹规划和综合管理文化、体育、广播电视、旅游产业，协调指导文化、体育、广播电视、旅游产业基地和特色文化、体育、广播电视、旅游产业群建设；引导文化、体育、广播电视、旅游产业的社会投资和利用外资工作，推动文化体育和旅游产业投融资体系建设。</w:t>
      </w:r>
    </w:p>
    <w:p w14:paraId="23C93E56">
      <w:pPr>
        <w:spacing w:line="580" w:lineRule="exact"/>
        <w:ind w:firstLine="640"/>
        <w:jc w:val="both"/>
      </w:pPr>
      <w:r>
        <w:rPr>
          <w:rFonts w:ascii="仿宋_GB2312" w:hAnsi="仿宋_GB2312" w:eastAsia="仿宋_GB2312"/>
          <w:sz w:val="32"/>
        </w:rPr>
        <w:t>（六）负责全县文化、体育、广播电视、旅游统计及行业信息发布；指导文化、体育和旅游科技创新发展，推进文化、体育和旅游行业信息化、标准化建设；协助地区体彩中心管理体育彩票销售工作。</w:t>
      </w:r>
    </w:p>
    <w:p w14:paraId="32879DCF">
      <w:pPr>
        <w:spacing w:line="580" w:lineRule="exact"/>
        <w:ind w:firstLine="640"/>
        <w:jc w:val="both"/>
      </w:pPr>
      <w:r>
        <w:rPr>
          <w:rFonts w:ascii="仿宋_GB2312" w:hAnsi="仿宋_GB2312" w:eastAsia="仿宋_GB2312"/>
          <w:sz w:val="32"/>
        </w:rPr>
        <w:t>（七）推进文化、体育、广播电视、旅游创新融合绿色发展，实施</w:t>
      </w:r>
      <w:r>
        <w:rPr>
          <w:rFonts w:hint="eastAsia" w:ascii="仿宋_GB2312" w:hAnsi="仿宋_GB2312" w:eastAsia="仿宋_GB2312"/>
          <w:sz w:val="32"/>
          <w:lang w:eastAsia="zh-CN"/>
        </w:rPr>
        <w:t>“</w:t>
      </w:r>
      <w:r>
        <w:rPr>
          <w:rFonts w:ascii="仿宋_GB2312" w:hAnsi="仿宋_GB2312" w:eastAsia="仿宋_GB2312"/>
          <w:sz w:val="32"/>
        </w:rPr>
        <w:t>文化体育广播电视和旅游＋</w:t>
      </w:r>
      <w:r>
        <w:rPr>
          <w:rFonts w:hint="eastAsia" w:ascii="仿宋_GB2312" w:hAnsi="仿宋_GB2312" w:eastAsia="仿宋_GB2312"/>
          <w:sz w:val="32"/>
          <w:lang w:eastAsia="zh-CN"/>
        </w:rPr>
        <w:t>”</w:t>
      </w:r>
      <w:bookmarkStart w:id="0" w:name="_GoBack"/>
      <w:r>
        <w:rPr>
          <w:rFonts w:ascii="仿宋_GB2312" w:hAnsi="仿宋_GB2312" w:eastAsia="仿宋_GB2312"/>
          <w:sz w:val="32"/>
        </w:rPr>
        <w:t>;</w:t>
      </w:r>
      <w:bookmarkEnd w:id="0"/>
      <w:r>
        <w:rPr>
          <w:rFonts w:ascii="仿宋_GB2312" w:hAnsi="仿宋_GB2312" w:eastAsia="仿宋_GB2312"/>
          <w:sz w:val="32"/>
        </w:rPr>
        <w:t>指导和实施全县文化、体育、广播电视、旅游体制机制改革。</w:t>
      </w:r>
    </w:p>
    <w:p w14:paraId="5A847EFB">
      <w:pPr>
        <w:spacing w:line="580" w:lineRule="exact"/>
        <w:ind w:firstLine="640"/>
        <w:jc w:val="both"/>
      </w:pPr>
      <w:r>
        <w:rPr>
          <w:rFonts w:ascii="仿宋_GB2312" w:hAnsi="仿宋_GB2312" w:eastAsia="仿宋_GB2312"/>
          <w:sz w:val="32"/>
        </w:rPr>
        <w:t>（八）组织实施全县文化、体育、广播电视、旅游重大工程，指导监督文化、体育、广播电视、旅游重点基础设施建设；组织实施和协调指导全县重大文化、体育、广播电视、旅游活动。</w:t>
      </w:r>
    </w:p>
    <w:p w14:paraId="424474B8">
      <w:pPr>
        <w:spacing w:line="580" w:lineRule="exact"/>
        <w:ind w:firstLine="640"/>
        <w:jc w:val="both"/>
      </w:pPr>
      <w:r>
        <w:rPr>
          <w:rFonts w:ascii="仿宋_GB2312" w:hAnsi="仿宋_GB2312" w:eastAsia="仿宋_GB2312"/>
          <w:sz w:val="32"/>
        </w:rPr>
        <w:t>（九）依照法律法规，负责全县文化、体育、广播、电视、旅游行政审批和执法工作。</w:t>
      </w:r>
    </w:p>
    <w:p w14:paraId="2BD44327">
      <w:pPr>
        <w:spacing w:line="580" w:lineRule="exact"/>
        <w:ind w:firstLine="640"/>
        <w:jc w:val="both"/>
      </w:pPr>
      <w:r>
        <w:rPr>
          <w:rFonts w:ascii="仿宋_GB2312" w:hAnsi="仿宋_GB2312" w:eastAsia="仿宋_GB2312"/>
          <w:sz w:val="32"/>
        </w:rPr>
        <w:t>（十）依法管理文化、体育、广播电视、旅游、文物经营活动，组织和指导文化、体育、广播电视、旅游、文物市场稽查工作；开展文化市场</w:t>
      </w:r>
      <w:r>
        <w:rPr>
          <w:rFonts w:hint="eastAsia" w:ascii="仿宋_GB2312" w:hAnsi="仿宋_GB2312" w:eastAsia="仿宋_GB2312"/>
          <w:sz w:val="32"/>
          <w:lang w:eastAsia="zh-CN"/>
        </w:rPr>
        <w:t>“</w:t>
      </w:r>
      <w:r>
        <w:rPr>
          <w:rFonts w:ascii="仿宋_GB2312" w:hAnsi="仿宋_GB2312" w:eastAsia="仿宋_GB2312"/>
          <w:sz w:val="32"/>
        </w:rPr>
        <w:t>扫黄打非</w:t>
      </w:r>
      <w:r>
        <w:rPr>
          <w:rFonts w:hint="eastAsia" w:ascii="仿宋_GB2312" w:hAnsi="仿宋_GB2312" w:eastAsia="仿宋_GB2312"/>
          <w:sz w:val="32"/>
          <w:lang w:eastAsia="zh-CN"/>
        </w:rPr>
        <w:t>”</w:t>
      </w:r>
      <w:r>
        <w:rPr>
          <w:rFonts w:ascii="仿宋_GB2312" w:hAnsi="仿宋_GB2312" w:eastAsia="仿宋_GB2312"/>
          <w:sz w:val="32"/>
        </w:rPr>
        <w:t>，依法查处文化、体育、广播电视、旅游、文物市场违法活动；开展文化、体育、广播电视、旅游。</w:t>
      </w:r>
    </w:p>
    <w:p w14:paraId="744104F7">
      <w:pPr>
        <w:spacing w:line="580" w:lineRule="exact"/>
        <w:ind w:firstLine="640"/>
        <w:jc w:val="both"/>
      </w:pPr>
      <w:r>
        <w:rPr>
          <w:rFonts w:ascii="仿宋_GB2312" w:hAnsi="仿宋_GB2312" w:eastAsia="仿宋_GB2312"/>
          <w:sz w:val="32"/>
        </w:rPr>
        <w:t>（十一）指导全县文化市场综合执法，组织查处全县范围内文化、体育、旅游、文物、广播电视等市场的违法行为，督察督办大案要案，维护市场秩序。</w:t>
      </w:r>
    </w:p>
    <w:p w14:paraId="63C49F79">
      <w:pPr>
        <w:spacing w:line="580" w:lineRule="exact"/>
        <w:ind w:firstLine="640"/>
        <w:jc w:val="both"/>
      </w:pPr>
      <w:r>
        <w:rPr>
          <w:rFonts w:ascii="仿宋_GB2312" w:hAnsi="仿宋_GB2312" w:eastAsia="仿宋_GB2312"/>
          <w:sz w:val="32"/>
        </w:rPr>
        <w:t>（十二）负责指导和实施全县文化、体育、广播电视、旅游设施、群众活动及社会市场的安全工作，负责全县文化、体育、广播电视、旅游安全的综合协调和监督管理；指导文化、体育、广播电视、旅游应急救援工作。</w:t>
      </w:r>
    </w:p>
    <w:p w14:paraId="3973F17A">
      <w:pPr>
        <w:spacing w:line="580" w:lineRule="exact"/>
        <w:ind w:firstLine="640"/>
        <w:jc w:val="both"/>
      </w:pPr>
      <w:r>
        <w:rPr>
          <w:rFonts w:ascii="仿宋_GB2312" w:hAnsi="仿宋_GB2312" w:eastAsia="仿宋_GB2312"/>
          <w:sz w:val="32"/>
        </w:rPr>
        <w:t>（十三）制定并组织实施全县文化、体育、广播电视、旅游人才规划，负责全县文化、体育、广播电视、旅游系统人才队伍建设，管理县所属文化、体育、广播电视、旅游单位的组织人事工作。</w:t>
      </w:r>
    </w:p>
    <w:p w14:paraId="77A2EFF6">
      <w:pPr>
        <w:spacing w:line="580" w:lineRule="exact"/>
        <w:ind w:firstLine="640"/>
        <w:jc w:val="both"/>
      </w:pPr>
      <w:r>
        <w:rPr>
          <w:rFonts w:ascii="仿宋_GB2312" w:hAnsi="仿宋_GB2312" w:eastAsia="仿宋_GB2312"/>
          <w:sz w:val="32"/>
        </w:rPr>
        <w:t>（十四）负责全县公共文化事业发展，推进公共文化服务体系建设和旅游公共服务建设，深入实施文化惠民工程，统筹推进基本公共文化服务标准化、均等化；管理公共文化体育事业，指导图书馆、文化馆、美术馆、博物馆、纪念馆、影剧院等公共文化服务。</w:t>
      </w:r>
    </w:p>
    <w:p w14:paraId="01AF40D2">
      <w:pPr>
        <w:spacing w:line="580" w:lineRule="exact"/>
        <w:ind w:firstLine="640"/>
        <w:jc w:val="both"/>
      </w:pPr>
      <w:r>
        <w:rPr>
          <w:rFonts w:ascii="仿宋_GB2312" w:hAnsi="仿宋_GB2312" w:eastAsia="仿宋_GB2312"/>
          <w:sz w:val="32"/>
        </w:rPr>
        <w:t>（十五）承办县委、县政府交办的其他事项。</w:t>
      </w:r>
    </w:p>
    <w:p w14:paraId="54332842">
      <w:pPr>
        <w:spacing w:line="640" w:lineRule="exact"/>
        <w:ind w:firstLine="640"/>
        <w:jc w:val="both"/>
        <w:outlineLvl w:val="2"/>
      </w:pPr>
      <w:r>
        <w:rPr>
          <w:rFonts w:ascii="黑体" w:hAnsi="黑体" w:eastAsia="黑体"/>
          <w:sz w:val="32"/>
        </w:rPr>
        <w:t>二、机构设置及人员情况</w:t>
      </w:r>
    </w:p>
    <w:p w14:paraId="5AC11892">
      <w:pPr>
        <w:spacing w:line="580" w:lineRule="exact"/>
        <w:ind w:firstLine="640"/>
        <w:jc w:val="both"/>
      </w:pPr>
      <w:r>
        <w:rPr>
          <w:rFonts w:ascii="仿宋_GB2312" w:hAnsi="仿宋_GB2312" w:eastAsia="仿宋_GB2312"/>
          <w:sz w:val="32"/>
        </w:rPr>
        <w:t>疏附县阿凡提歌舞团2024年度，实有人数35人，其中：在职人员30人，减少1人；离休人员0人，增加0人；退休人员5人,增加0人。</w:t>
      </w:r>
    </w:p>
    <w:p w14:paraId="44426A28">
      <w:pPr>
        <w:spacing w:line="580" w:lineRule="exact"/>
        <w:ind w:firstLine="640"/>
        <w:jc w:val="both"/>
      </w:pPr>
      <w:r>
        <w:rPr>
          <w:rFonts w:ascii="仿宋_GB2312" w:hAnsi="仿宋_GB2312" w:eastAsia="仿宋_GB2312"/>
          <w:sz w:val="32"/>
        </w:rPr>
        <w:t>疏附县阿凡提歌舞团无下属预算单位，下设2个科室，分别是：办公室、财务室。</w:t>
      </w:r>
    </w:p>
    <w:p w14:paraId="4B4428C6">
      <w:r>
        <w:br w:type="page"/>
      </w:r>
    </w:p>
    <w:p w14:paraId="36C85299">
      <w:pPr>
        <w:spacing w:line="240" w:lineRule="auto"/>
        <w:jc w:val="center"/>
        <w:outlineLvl w:val="1"/>
      </w:pPr>
      <w:r>
        <w:rPr>
          <w:rFonts w:ascii="黑体" w:hAnsi="黑体" w:eastAsia="黑体"/>
          <w:sz w:val="32"/>
        </w:rPr>
        <w:t>第二部分 部门决算情况说明</w:t>
      </w:r>
    </w:p>
    <w:p w14:paraId="4FD72B95">
      <w:pPr>
        <w:spacing w:line="640" w:lineRule="exact"/>
        <w:ind w:firstLine="640"/>
        <w:jc w:val="both"/>
        <w:outlineLvl w:val="2"/>
      </w:pPr>
      <w:r>
        <w:rPr>
          <w:rFonts w:ascii="黑体" w:hAnsi="黑体" w:eastAsia="黑体"/>
          <w:sz w:val="32"/>
        </w:rPr>
        <w:t>一、收入支出决算总体情况说明</w:t>
      </w:r>
    </w:p>
    <w:p w14:paraId="0C2D5B96">
      <w:pPr>
        <w:spacing w:line="580" w:lineRule="exact"/>
        <w:ind w:firstLine="640"/>
        <w:jc w:val="both"/>
      </w:pPr>
      <w:r>
        <w:rPr>
          <w:rFonts w:ascii="仿宋_GB2312" w:hAnsi="仿宋_GB2312" w:eastAsia="仿宋_GB2312"/>
          <w:b/>
          <w:sz w:val="32"/>
        </w:rPr>
        <w:t>2024年度收入总计1,051.01万元，</w:t>
      </w:r>
      <w:r>
        <w:rPr>
          <w:rFonts w:ascii="仿宋_GB2312" w:hAnsi="仿宋_GB2312" w:eastAsia="仿宋_GB2312"/>
          <w:b w:val="0"/>
          <w:sz w:val="32"/>
        </w:rPr>
        <w:t>其中：本年收入合计929.17万元，使用非财政拨款结余（含专用结余）0.00万元，年初结转和结余121.84万元。</w:t>
      </w:r>
    </w:p>
    <w:p w14:paraId="1E0445D6">
      <w:pPr>
        <w:spacing w:line="580" w:lineRule="exact"/>
        <w:ind w:firstLine="640"/>
        <w:jc w:val="both"/>
      </w:pPr>
      <w:r>
        <w:rPr>
          <w:rFonts w:ascii="仿宋_GB2312" w:hAnsi="仿宋_GB2312" w:eastAsia="仿宋_GB2312"/>
          <w:b/>
          <w:sz w:val="32"/>
        </w:rPr>
        <w:t>2024年度支出总计1,051.01万元，</w:t>
      </w:r>
      <w:r>
        <w:rPr>
          <w:rFonts w:ascii="仿宋_GB2312" w:hAnsi="仿宋_GB2312" w:eastAsia="仿宋_GB2312"/>
          <w:b w:val="0"/>
          <w:sz w:val="32"/>
        </w:rPr>
        <w:t>其中：本年支出合计1,051.01万元，结余分配0.00万元，年末结转和结余0.00万元。</w:t>
      </w:r>
    </w:p>
    <w:p w14:paraId="2B43A8F8">
      <w:pPr>
        <w:spacing w:line="580" w:lineRule="exact"/>
        <w:ind w:firstLine="640"/>
        <w:jc w:val="both"/>
      </w:pPr>
      <w:r>
        <w:rPr>
          <w:rFonts w:ascii="仿宋_GB2312" w:hAnsi="仿宋_GB2312" w:eastAsia="仿宋_GB2312"/>
          <w:b w:val="0"/>
          <w:sz w:val="32"/>
        </w:rPr>
        <w:t>收入支出总体与上年相比，增加8.36万元，增长0.80%，主要原因是：2024年自治区贫困地区戏曲进乡村补助项目资金增加。</w:t>
      </w:r>
    </w:p>
    <w:p w14:paraId="652EFCAB">
      <w:pPr>
        <w:spacing w:line="640" w:lineRule="exact"/>
        <w:ind w:firstLine="640"/>
        <w:jc w:val="both"/>
        <w:outlineLvl w:val="2"/>
      </w:pPr>
      <w:r>
        <w:rPr>
          <w:rFonts w:ascii="黑体" w:hAnsi="黑体" w:eastAsia="黑体"/>
          <w:sz w:val="32"/>
        </w:rPr>
        <w:t>二、收入决算情况说明</w:t>
      </w:r>
    </w:p>
    <w:p w14:paraId="17FB821E">
      <w:pPr>
        <w:spacing w:line="580" w:lineRule="exact"/>
        <w:ind w:firstLine="640"/>
        <w:jc w:val="both"/>
      </w:pPr>
      <w:r>
        <w:rPr>
          <w:rFonts w:ascii="仿宋_GB2312" w:hAnsi="仿宋_GB2312" w:eastAsia="仿宋_GB2312"/>
          <w:b/>
          <w:sz w:val="32"/>
        </w:rPr>
        <w:t>本年收入929.17万元，</w:t>
      </w:r>
      <w:r>
        <w:rPr>
          <w:rFonts w:ascii="仿宋_GB2312" w:hAnsi="仿宋_GB2312" w:eastAsia="仿宋_GB2312"/>
          <w:b w:val="0"/>
          <w:sz w:val="32"/>
        </w:rPr>
        <w:t>其中：财政拨款收入570.97万元，占61.45%；上级补助收入0.00万元，占0.00%；事业收入0.00万元，占0.00%；经营收入0.00万元，占0.00%；附属单位上缴收入0.00万元，占0.00%；其他收入358.20万元，占38.55%。</w:t>
      </w:r>
    </w:p>
    <w:p w14:paraId="1FDF53E2">
      <w:pPr>
        <w:spacing w:line="640" w:lineRule="exact"/>
        <w:ind w:firstLine="640"/>
        <w:jc w:val="both"/>
        <w:outlineLvl w:val="2"/>
      </w:pPr>
      <w:r>
        <w:rPr>
          <w:rFonts w:ascii="黑体" w:hAnsi="黑体" w:eastAsia="黑体"/>
          <w:sz w:val="32"/>
        </w:rPr>
        <w:t>三、支出决算情况说明</w:t>
      </w:r>
    </w:p>
    <w:p w14:paraId="5BB984AC">
      <w:pPr>
        <w:spacing w:line="580" w:lineRule="exact"/>
        <w:ind w:firstLine="640"/>
        <w:jc w:val="both"/>
      </w:pPr>
      <w:r>
        <w:rPr>
          <w:rFonts w:ascii="仿宋_GB2312" w:hAnsi="仿宋_GB2312" w:eastAsia="仿宋_GB2312"/>
          <w:b/>
          <w:sz w:val="32"/>
        </w:rPr>
        <w:t>本年支出1,051.01万元，</w:t>
      </w:r>
      <w:r>
        <w:rPr>
          <w:rFonts w:ascii="仿宋_GB2312" w:hAnsi="仿宋_GB2312" w:eastAsia="仿宋_GB2312"/>
          <w:b w:val="0"/>
          <w:sz w:val="32"/>
        </w:rPr>
        <w:t>其中：基本支出526.70万元，占50.11%；项目支出524.31万元，占49.89%；上缴上级支出0.00万元，占0.00%；经营支出0.00万元，占0.00%；对附属单位补助支出0.00万元，占0.00%。</w:t>
      </w:r>
    </w:p>
    <w:p w14:paraId="59922383">
      <w:pPr>
        <w:spacing w:line="640" w:lineRule="exact"/>
        <w:ind w:firstLine="640"/>
        <w:jc w:val="both"/>
        <w:outlineLvl w:val="2"/>
      </w:pPr>
      <w:r>
        <w:rPr>
          <w:rFonts w:ascii="黑体" w:hAnsi="黑体" w:eastAsia="黑体"/>
          <w:sz w:val="32"/>
        </w:rPr>
        <w:t>四、财政拨款收入支出决算总体情况说明</w:t>
      </w:r>
    </w:p>
    <w:p w14:paraId="56C46669">
      <w:pPr>
        <w:spacing w:line="580" w:lineRule="exact"/>
        <w:ind w:firstLine="640"/>
        <w:jc w:val="both"/>
      </w:pPr>
      <w:r>
        <w:rPr>
          <w:rFonts w:ascii="仿宋_GB2312" w:hAnsi="仿宋_GB2312" w:eastAsia="仿宋_GB2312"/>
          <w:b/>
          <w:sz w:val="32"/>
        </w:rPr>
        <w:t>2024年度财政拨款收入总计570.97万元，</w:t>
      </w:r>
      <w:r>
        <w:rPr>
          <w:rFonts w:ascii="仿宋_GB2312" w:hAnsi="仿宋_GB2312" w:eastAsia="仿宋_GB2312"/>
          <w:b w:val="0"/>
          <w:sz w:val="32"/>
        </w:rPr>
        <w:t>其中：年初财政拨款结转和结余0.00万元，本年财政拨款收入570.97万元。</w:t>
      </w:r>
      <w:r>
        <w:rPr>
          <w:rFonts w:ascii="仿宋_GB2312" w:hAnsi="仿宋_GB2312" w:eastAsia="仿宋_GB2312"/>
          <w:b/>
          <w:sz w:val="32"/>
        </w:rPr>
        <w:t>财政拨款支出总计570.97万元，</w:t>
      </w:r>
      <w:r>
        <w:rPr>
          <w:rFonts w:ascii="仿宋_GB2312" w:hAnsi="仿宋_GB2312" w:eastAsia="仿宋_GB2312"/>
          <w:b w:val="0"/>
          <w:sz w:val="32"/>
        </w:rPr>
        <w:t>其中：年末财政拨款结转和结余0.00万元，本年财政拨款支出570.97万元。</w:t>
      </w:r>
    </w:p>
    <w:p w14:paraId="6015DF2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增加81.51万元，增长16.65%，主要原因是：本年在职人员工资调增，社保、公积金基数调增，人员经费增加，2024年自治区贫困地区戏曲进乡村补助项目增加。</w:t>
      </w:r>
      <w:r>
        <w:rPr>
          <w:rFonts w:ascii="仿宋_GB2312" w:hAnsi="仿宋_GB2312" w:eastAsia="仿宋_GB2312"/>
          <w:b/>
          <w:sz w:val="32"/>
        </w:rPr>
        <w:t>与年初预算相比，</w:t>
      </w:r>
      <w:r>
        <w:rPr>
          <w:rFonts w:ascii="仿宋_GB2312" w:hAnsi="仿宋_GB2312" w:eastAsia="仿宋_GB2312"/>
          <w:b w:val="0"/>
          <w:sz w:val="32"/>
        </w:rPr>
        <w:t>年初预算数483.35万元，决算数570.97万元，预决算差异率18.13%，主要原因是：年中追加人员工资、社保、公积金基数调增部分资金，年中追加2024年自治区贫困地区戏曲进乡村补助项目，导致预决算存在差异。</w:t>
      </w:r>
    </w:p>
    <w:p w14:paraId="632A3783">
      <w:pPr>
        <w:spacing w:line="640" w:lineRule="exact"/>
        <w:ind w:firstLine="640"/>
        <w:jc w:val="both"/>
        <w:outlineLvl w:val="2"/>
      </w:pPr>
      <w:r>
        <w:rPr>
          <w:rFonts w:ascii="黑体" w:hAnsi="黑体" w:eastAsia="黑体"/>
          <w:sz w:val="32"/>
        </w:rPr>
        <w:t>五、一般公共预算财政拨款支出决算情况说明</w:t>
      </w:r>
    </w:p>
    <w:p w14:paraId="5D9FF0B0">
      <w:pPr>
        <w:spacing w:line="640" w:lineRule="exact"/>
        <w:ind w:firstLine="640"/>
        <w:jc w:val="both"/>
        <w:outlineLvl w:val="3"/>
      </w:pPr>
      <w:r>
        <w:rPr>
          <w:rFonts w:ascii="楷体_GB2312" w:hAnsi="楷体_GB2312" w:eastAsia="楷体_GB2312"/>
          <w:b/>
          <w:sz w:val="32"/>
        </w:rPr>
        <w:t>（一）一般公共预算财政拨款支出决算总体情况</w:t>
      </w:r>
    </w:p>
    <w:p w14:paraId="12B1D91C">
      <w:pPr>
        <w:spacing w:line="580" w:lineRule="exact"/>
        <w:ind w:firstLine="640"/>
        <w:jc w:val="both"/>
      </w:pPr>
      <w:r>
        <w:rPr>
          <w:rFonts w:ascii="仿宋_GB2312" w:hAnsi="仿宋_GB2312" w:eastAsia="仿宋_GB2312"/>
          <w:b/>
          <w:sz w:val="32"/>
        </w:rPr>
        <w:t>2024年度一般公共预算财政拨款支出570.97万元，</w:t>
      </w:r>
      <w:r>
        <w:rPr>
          <w:rFonts w:ascii="仿宋_GB2312" w:hAnsi="仿宋_GB2312" w:eastAsia="仿宋_GB2312"/>
          <w:b w:val="0"/>
          <w:sz w:val="32"/>
        </w:rPr>
        <w:t>占本年支出合计的54.33%。</w:t>
      </w:r>
      <w:r>
        <w:rPr>
          <w:rFonts w:ascii="仿宋_GB2312" w:hAnsi="仿宋_GB2312" w:eastAsia="仿宋_GB2312"/>
          <w:b/>
          <w:sz w:val="32"/>
        </w:rPr>
        <w:t>与上年相比，</w:t>
      </w:r>
      <w:r>
        <w:rPr>
          <w:rFonts w:ascii="仿宋_GB2312" w:hAnsi="仿宋_GB2312" w:eastAsia="仿宋_GB2312"/>
          <w:b w:val="0"/>
          <w:sz w:val="32"/>
        </w:rPr>
        <w:t>增加81.51万元，增长16.65%，主要原因是：本年在职人员工资调增，社保、公积金基数调增，人员经费增加，2024年自治区贫困地区戏曲进乡村补助项目增加。</w:t>
      </w:r>
      <w:r>
        <w:rPr>
          <w:rFonts w:ascii="仿宋_GB2312" w:hAnsi="仿宋_GB2312" w:eastAsia="仿宋_GB2312"/>
          <w:b/>
          <w:sz w:val="32"/>
        </w:rPr>
        <w:t>与年初预算相比,</w:t>
      </w:r>
      <w:r>
        <w:rPr>
          <w:rFonts w:ascii="仿宋_GB2312" w:hAnsi="仿宋_GB2312" w:eastAsia="仿宋_GB2312"/>
          <w:b w:val="0"/>
          <w:sz w:val="32"/>
        </w:rPr>
        <w:t>年初预算数483.35万元，决算数570.97万元，预决算差异率18.13%，主要原因是：年中追加人员工资、社保、公积金基数调增部分资金，年中追加2024年自治区贫困地区戏曲进乡村补助项目，导致预决算存在差异。</w:t>
      </w:r>
    </w:p>
    <w:p w14:paraId="63FF0796">
      <w:pPr>
        <w:spacing w:line="640" w:lineRule="exact"/>
        <w:ind w:firstLine="640"/>
        <w:jc w:val="both"/>
        <w:outlineLvl w:val="3"/>
      </w:pPr>
      <w:r>
        <w:rPr>
          <w:rFonts w:ascii="楷体_GB2312" w:hAnsi="楷体_GB2312" w:eastAsia="楷体_GB2312"/>
          <w:b/>
          <w:sz w:val="32"/>
        </w:rPr>
        <w:t>（二）一般公共预算财政拨款支出决算结构情况</w:t>
      </w:r>
    </w:p>
    <w:p w14:paraId="6072F22B">
      <w:pPr>
        <w:spacing w:line="580" w:lineRule="exact"/>
        <w:ind w:firstLine="640"/>
        <w:jc w:val="both"/>
      </w:pPr>
      <w:r>
        <w:rPr>
          <w:rFonts w:ascii="仿宋_GB2312" w:hAnsi="仿宋_GB2312" w:eastAsia="仿宋_GB2312"/>
          <w:b w:val="0"/>
          <w:sz w:val="32"/>
        </w:rPr>
        <w:t>1.文化旅游体育与传媒支出(类)441.07万元,占77.25%。</w:t>
      </w:r>
    </w:p>
    <w:p w14:paraId="7F0E6B13">
      <w:pPr>
        <w:spacing w:line="580" w:lineRule="exact"/>
        <w:ind w:firstLine="640"/>
        <w:jc w:val="both"/>
      </w:pPr>
      <w:r>
        <w:rPr>
          <w:rFonts w:ascii="仿宋_GB2312" w:hAnsi="仿宋_GB2312" w:eastAsia="仿宋_GB2312"/>
          <w:b w:val="0"/>
          <w:sz w:val="32"/>
        </w:rPr>
        <w:t>2.社会保障和就业支出(类)67.78万元,占11.87%。</w:t>
      </w:r>
    </w:p>
    <w:p w14:paraId="5942DF40">
      <w:pPr>
        <w:spacing w:line="580" w:lineRule="exact"/>
        <w:ind w:firstLine="640"/>
        <w:jc w:val="both"/>
      </w:pPr>
      <w:r>
        <w:rPr>
          <w:rFonts w:ascii="仿宋_GB2312" w:hAnsi="仿宋_GB2312" w:eastAsia="仿宋_GB2312"/>
          <w:b w:val="0"/>
          <w:sz w:val="32"/>
        </w:rPr>
        <w:t>3.卫生健康支出(类)21.92万元,占3.84%。</w:t>
      </w:r>
    </w:p>
    <w:p w14:paraId="6107D79B">
      <w:pPr>
        <w:spacing w:line="580" w:lineRule="exact"/>
        <w:ind w:firstLine="640"/>
        <w:jc w:val="both"/>
      </w:pPr>
      <w:r>
        <w:rPr>
          <w:rFonts w:ascii="仿宋_GB2312" w:hAnsi="仿宋_GB2312" w:eastAsia="仿宋_GB2312"/>
          <w:b w:val="0"/>
          <w:sz w:val="32"/>
        </w:rPr>
        <w:t>4.住房保障支出(类)40.19万元,占7.04%。</w:t>
      </w:r>
    </w:p>
    <w:p w14:paraId="2F9790AB">
      <w:pPr>
        <w:spacing w:line="640" w:lineRule="exact"/>
        <w:ind w:firstLine="640"/>
        <w:jc w:val="both"/>
        <w:outlineLvl w:val="3"/>
      </w:pPr>
      <w:r>
        <w:rPr>
          <w:rFonts w:ascii="楷体_GB2312" w:hAnsi="楷体_GB2312" w:eastAsia="楷体_GB2312"/>
          <w:b/>
          <w:sz w:val="32"/>
        </w:rPr>
        <w:t>（三）一般公共预算财政拨款支出决算具体情况</w:t>
      </w:r>
    </w:p>
    <w:p w14:paraId="3404D93E">
      <w:pPr>
        <w:spacing w:line="580" w:lineRule="exact"/>
        <w:ind w:firstLine="640"/>
        <w:jc w:val="both"/>
      </w:pPr>
      <w:r>
        <w:rPr>
          <w:rFonts w:ascii="仿宋_GB2312" w:hAnsi="仿宋_GB2312" w:eastAsia="仿宋_GB2312"/>
          <w:b w:val="0"/>
          <w:sz w:val="32"/>
        </w:rPr>
        <w:t>1.文化旅游体育与传媒支出(类)文化和旅游(款)艺术表演团体(项):支出决算数为396.81万元，比上年决算增加31.79万元，增长8.71%,主要原因是：本年在职人员工资调增，人员经费增加。</w:t>
      </w:r>
    </w:p>
    <w:p w14:paraId="17474568">
      <w:pPr>
        <w:spacing w:line="580" w:lineRule="exact"/>
        <w:ind w:firstLine="640"/>
        <w:jc w:val="both"/>
      </w:pPr>
      <w:r>
        <w:rPr>
          <w:rFonts w:ascii="仿宋_GB2312" w:hAnsi="仿宋_GB2312" w:eastAsia="仿宋_GB2312"/>
          <w:b w:val="0"/>
          <w:sz w:val="32"/>
        </w:rPr>
        <w:t>2.文化旅游体育与传媒支出(类)其他文化旅游体育与传媒支出(款)其他文化旅游体育与传媒支出(项):支出决算数为44.26万元，比上年决算增加19.27万元，增长77.11%,主要原因是：本年2024年自治区贫困地区戏曲进乡村补助项目资金增加。</w:t>
      </w:r>
    </w:p>
    <w:p w14:paraId="5DFF6D70">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0.60万元，比上年决算增加0.60万元，增长100.00%,主要原因是：本年功能科目调整，行政单位离退休上年度在主科目列支，本年单独列支，导致经费较上年增加。</w:t>
      </w:r>
    </w:p>
    <w:p w14:paraId="1B27B8A2">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4.社会保障和就业支出(类)行政事业单位养老支出(款)事业单位离退休(项):支出决算数为6.26万元，比上年决算增加1.93万元，增长44.57%,主要原因是：本年增加退休人员基础绩效奖，退休费支出增加。</w:t>
      </w:r>
    </w:p>
    <w:p w14:paraId="65DC5CD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51.35万元，比上年决算增加9.54万元，增长22.82%,主要原因是：本年在职人员工资基数调增，养老缴费基数上涨，相应支出增加。</w:t>
      </w:r>
    </w:p>
    <w:p w14:paraId="644E7695">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6.社会保障和就业支出(类)行政事业单位养老支出(款)机关事业单位职业年金缴费支出(项):支出决算数为9.57万元，比上年决算增加9.57万元，增长100.00%,主要原因是：本年</w:t>
      </w:r>
      <w:r>
        <w:rPr>
          <w:rFonts w:hint="eastAsia" w:ascii="仿宋_GB2312" w:hAnsi="仿宋_GB2312" w:eastAsia="仿宋_GB2312"/>
          <w:b w:val="0"/>
          <w:sz w:val="32"/>
          <w:lang w:val="en-US" w:eastAsia="zh-CN"/>
        </w:rPr>
        <w:t>新增退休人员，职业年金支出增加。</w:t>
      </w:r>
    </w:p>
    <w:p w14:paraId="408B4A57">
      <w:pPr>
        <w:spacing w:line="580" w:lineRule="exact"/>
        <w:ind w:firstLine="640"/>
        <w:jc w:val="both"/>
      </w:pPr>
      <w:r>
        <w:rPr>
          <w:rFonts w:ascii="仿宋_GB2312" w:hAnsi="仿宋_GB2312" w:eastAsia="仿宋_GB2312"/>
          <w:b w:val="0"/>
          <w:sz w:val="32"/>
        </w:rPr>
        <w:t>7.卫生健康支出(类)行政事业单位医疗(款)事业单位医疗(项):支出决算数为21.92万元，比上年决算增加4.18万元，增长23.56%,主要原因是：本年在职人员工资基数调增，医疗缴费基数上涨，相应支出增加。</w:t>
      </w:r>
    </w:p>
    <w:p w14:paraId="37CFADD4">
      <w:pPr>
        <w:spacing w:line="580" w:lineRule="exact"/>
        <w:ind w:firstLine="640"/>
        <w:jc w:val="both"/>
      </w:pPr>
      <w:r>
        <w:rPr>
          <w:rFonts w:ascii="仿宋_GB2312" w:hAnsi="仿宋_GB2312" w:eastAsia="仿宋_GB2312"/>
          <w:b w:val="0"/>
          <w:sz w:val="32"/>
        </w:rPr>
        <w:t>8.住房保障支出(类)住房改革支出(款)住房公积金(项):支出决算数为40.19万元，比上年决算增加4.63万元，增长13.02%,主要原因是：本年在职人员工资基数调增，公积金缴费基数上涨，相应支出增加。</w:t>
      </w:r>
    </w:p>
    <w:p w14:paraId="1F9D1CEF">
      <w:pPr>
        <w:spacing w:line="640" w:lineRule="exact"/>
        <w:ind w:firstLine="640"/>
        <w:jc w:val="both"/>
        <w:outlineLvl w:val="2"/>
      </w:pPr>
      <w:r>
        <w:rPr>
          <w:rFonts w:ascii="黑体" w:hAnsi="黑体" w:eastAsia="黑体"/>
          <w:sz w:val="32"/>
        </w:rPr>
        <w:t>六、一般公共预算财政拨款基本支出决算情况说明</w:t>
      </w:r>
    </w:p>
    <w:p w14:paraId="112F5CC2">
      <w:pPr>
        <w:spacing w:line="580" w:lineRule="exact"/>
        <w:ind w:firstLine="640"/>
        <w:jc w:val="both"/>
      </w:pPr>
      <w:r>
        <w:rPr>
          <w:rFonts w:ascii="仿宋_GB2312" w:hAnsi="仿宋_GB2312" w:eastAsia="仿宋_GB2312"/>
          <w:b w:val="0"/>
          <w:sz w:val="32"/>
        </w:rPr>
        <w:t>2024年度一般公共预算财政拨款基本支出526.70万元，其中：</w:t>
      </w:r>
      <w:r>
        <w:rPr>
          <w:rFonts w:ascii="仿宋_GB2312" w:hAnsi="仿宋_GB2312" w:eastAsia="仿宋_GB2312"/>
          <w:b/>
          <w:sz w:val="32"/>
        </w:rPr>
        <w:t>人员经费524.94万元，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25DFAF60">
      <w:pPr>
        <w:spacing w:line="580" w:lineRule="exact"/>
        <w:ind w:firstLine="640"/>
        <w:jc w:val="both"/>
      </w:pPr>
      <w:r>
        <w:rPr>
          <w:rFonts w:ascii="仿宋_GB2312" w:hAnsi="仿宋_GB2312" w:eastAsia="仿宋_GB2312"/>
          <w:b/>
          <w:sz w:val="32"/>
        </w:rPr>
        <w:t>公用经费1.76万元，</w:t>
      </w:r>
      <w:r>
        <w:rPr>
          <w:rFonts w:ascii="仿宋_GB2312" w:hAnsi="仿宋_GB2312" w:eastAsia="仿宋_GB2312"/>
          <w:b w:val="0"/>
          <w:sz w:val="32"/>
        </w:rPr>
        <w:t>包括：办公费、电费。</w:t>
      </w:r>
    </w:p>
    <w:p w14:paraId="7286A44D">
      <w:pPr>
        <w:spacing w:line="640" w:lineRule="exact"/>
        <w:ind w:firstLine="640"/>
        <w:jc w:val="both"/>
        <w:outlineLvl w:val="2"/>
      </w:pPr>
      <w:r>
        <w:rPr>
          <w:rFonts w:ascii="黑体" w:hAnsi="黑体" w:eastAsia="黑体"/>
          <w:sz w:val="32"/>
        </w:rPr>
        <w:t>七、政府性基金预算财政拨款收入支出决算情况说明</w:t>
      </w:r>
    </w:p>
    <w:p w14:paraId="2560F57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8A18C8E">
      <w:pPr>
        <w:spacing w:line="640" w:lineRule="exact"/>
        <w:ind w:firstLine="640"/>
        <w:jc w:val="both"/>
        <w:outlineLvl w:val="2"/>
      </w:pPr>
      <w:r>
        <w:rPr>
          <w:rFonts w:ascii="黑体" w:hAnsi="黑体" w:eastAsia="黑体"/>
          <w:sz w:val="32"/>
        </w:rPr>
        <w:t>八、国有资本经营预算财政拨款收入支出决算情况说明</w:t>
      </w:r>
    </w:p>
    <w:p w14:paraId="7DE3268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895B9F">
      <w:pPr>
        <w:spacing w:line="640" w:lineRule="exact"/>
        <w:ind w:firstLine="640"/>
        <w:jc w:val="both"/>
        <w:outlineLvl w:val="2"/>
      </w:pPr>
      <w:r>
        <w:rPr>
          <w:rFonts w:ascii="黑体" w:hAnsi="黑体" w:eastAsia="黑体"/>
          <w:sz w:val="32"/>
        </w:rPr>
        <w:t>九、财政拨款“三公”经费支出决算情况说明</w:t>
      </w:r>
    </w:p>
    <w:p w14:paraId="735119C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DAFB61A">
      <w:pPr>
        <w:spacing w:line="580" w:lineRule="exact"/>
        <w:ind w:firstLine="640"/>
        <w:jc w:val="both"/>
      </w:pPr>
      <w:r>
        <w:rPr>
          <w:rFonts w:ascii="仿宋_GB2312" w:hAnsi="仿宋_GB2312" w:eastAsia="仿宋_GB2312"/>
          <w:b/>
          <w:sz w:val="32"/>
        </w:rPr>
        <w:t>具体情况如下：</w:t>
      </w:r>
    </w:p>
    <w:p w14:paraId="3177ACC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72B1F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D9E27B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EB65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4E48E3B">
      <w:pPr>
        <w:spacing w:line="640" w:lineRule="exact"/>
        <w:ind w:firstLine="640"/>
        <w:jc w:val="both"/>
        <w:outlineLvl w:val="2"/>
      </w:pPr>
      <w:r>
        <w:rPr>
          <w:rFonts w:ascii="黑体" w:hAnsi="黑体" w:eastAsia="黑体"/>
          <w:sz w:val="32"/>
        </w:rPr>
        <w:t>十、其他重要事项的情况说明</w:t>
      </w:r>
    </w:p>
    <w:p w14:paraId="0595EB69">
      <w:pPr>
        <w:spacing w:line="640" w:lineRule="exact"/>
        <w:ind w:firstLine="640"/>
        <w:jc w:val="both"/>
        <w:outlineLvl w:val="3"/>
      </w:pPr>
      <w:r>
        <w:rPr>
          <w:rFonts w:ascii="楷体_GB2312" w:hAnsi="楷体_GB2312" w:eastAsia="楷体_GB2312"/>
          <w:b/>
          <w:sz w:val="32"/>
        </w:rPr>
        <w:t>（一）机关运行经费及公用经费支出情况</w:t>
      </w:r>
    </w:p>
    <w:p w14:paraId="6D707F7E">
      <w:pPr>
        <w:spacing w:line="580" w:lineRule="exact"/>
        <w:ind w:firstLine="640"/>
        <w:jc w:val="both"/>
      </w:pPr>
      <w:r>
        <w:rPr>
          <w:rFonts w:ascii="仿宋_GB2312" w:hAnsi="仿宋_GB2312" w:eastAsia="仿宋_GB2312"/>
          <w:b w:val="0"/>
          <w:sz w:val="32"/>
        </w:rPr>
        <w:t>2024年度疏附县阿凡提歌舞团（事业单位）公用经费支出1.76万元，比上年减少0.61万元，下降25.74%，主要原因是：严格控制公用经费，合理节约办公用品，减少不必要开支。</w:t>
      </w:r>
    </w:p>
    <w:p w14:paraId="7BCC576A">
      <w:pPr>
        <w:spacing w:line="640" w:lineRule="exact"/>
        <w:ind w:firstLine="640"/>
        <w:jc w:val="both"/>
        <w:outlineLvl w:val="3"/>
      </w:pPr>
      <w:r>
        <w:rPr>
          <w:rFonts w:ascii="楷体_GB2312" w:hAnsi="楷体_GB2312" w:eastAsia="楷体_GB2312"/>
          <w:b/>
          <w:sz w:val="32"/>
        </w:rPr>
        <w:t>（二）政府采购情况</w:t>
      </w:r>
    </w:p>
    <w:p w14:paraId="10EF5F37">
      <w:pPr>
        <w:spacing w:line="580" w:lineRule="exact"/>
        <w:ind w:firstLine="640"/>
        <w:jc w:val="both"/>
      </w:pPr>
      <w:r>
        <w:rPr>
          <w:rFonts w:ascii="仿宋_GB2312" w:hAnsi="仿宋_GB2312" w:eastAsia="仿宋_GB2312"/>
          <w:b w:val="0"/>
          <w:sz w:val="32"/>
        </w:rPr>
        <w:t>2024年度政府采购支出总额398.00万元，其中：政府采购货物支出0.00万元、政府采购工程支出0.00万元、政府采购服务支出398.00万元。</w:t>
      </w:r>
    </w:p>
    <w:p w14:paraId="34002DCE">
      <w:pPr>
        <w:spacing w:line="580" w:lineRule="exact"/>
        <w:ind w:firstLine="640"/>
        <w:jc w:val="both"/>
      </w:pPr>
      <w:r>
        <w:rPr>
          <w:rFonts w:ascii="仿宋_GB2312" w:hAnsi="仿宋_GB2312" w:eastAsia="仿宋_GB2312"/>
          <w:b w:val="0"/>
          <w:sz w:val="32"/>
        </w:rPr>
        <w:t>授予中小企业合同金额398.00万元，占政府采购支出总额的100.00%，其中：授予小微企业合同金额398.00万元，占政府采购支出总额的100.00%。</w:t>
      </w:r>
    </w:p>
    <w:p w14:paraId="6EA1687E">
      <w:pPr>
        <w:spacing w:line="640" w:lineRule="exact"/>
        <w:ind w:firstLine="640"/>
        <w:jc w:val="both"/>
        <w:outlineLvl w:val="3"/>
      </w:pPr>
      <w:r>
        <w:rPr>
          <w:rFonts w:ascii="楷体_GB2312" w:hAnsi="楷体_GB2312" w:eastAsia="楷体_GB2312"/>
          <w:b/>
          <w:sz w:val="32"/>
        </w:rPr>
        <w:t>（三）国有资产占用情况说明</w:t>
      </w:r>
    </w:p>
    <w:p w14:paraId="7A13192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9F75965">
      <w:pPr>
        <w:spacing w:line="640" w:lineRule="exact"/>
        <w:ind w:firstLine="640"/>
        <w:jc w:val="both"/>
        <w:outlineLvl w:val="2"/>
      </w:pPr>
      <w:r>
        <w:rPr>
          <w:rFonts w:ascii="黑体" w:hAnsi="黑体" w:eastAsia="黑体"/>
          <w:sz w:val="32"/>
        </w:rPr>
        <w:t>十一、预算绩效的情况说明</w:t>
      </w:r>
    </w:p>
    <w:p w14:paraId="476292E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1,093.55万元，实际执行总额1,051.01万元；预算绩效评价项目3个，全年预算数445.00万元，全年执行数402.45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项目管理力度不够，部分档案不完整。二是项目涉及范围广取得的评价度不高。三是部分项目没有建立完整的框架结构。下一步改进措施：一是本单位加强项目管理制定专门项目管理办法并严格执行。二是不定期</w:t>
      </w:r>
      <w:r>
        <w:rPr>
          <w:rFonts w:hint="eastAsia" w:ascii="仿宋_GB2312" w:hAnsi="仿宋_GB2312" w:eastAsia="仿宋_GB2312"/>
          <w:b w:val="0"/>
          <w:sz w:val="32"/>
          <w:lang w:eastAsia="zh-CN"/>
        </w:rPr>
        <w:t>地</w:t>
      </w:r>
      <w:r>
        <w:rPr>
          <w:rFonts w:ascii="仿宋_GB2312" w:hAnsi="仿宋_GB2312" w:eastAsia="仿宋_GB2312"/>
          <w:b w:val="0"/>
          <w:sz w:val="32"/>
        </w:rPr>
        <w:t>开展项目人员的培训提高专业素养。具体附整体支出绩效自评表，项目支出绩效自评表和评价报告。</w:t>
      </w:r>
    </w:p>
    <w:p w14:paraId="003AEA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0BD7B0">
        <w:tblPrEx>
          <w:tblCellMar>
            <w:top w:w="0" w:type="dxa"/>
            <w:left w:w="108" w:type="dxa"/>
            <w:bottom w:w="0" w:type="dxa"/>
            <w:right w:w="108" w:type="dxa"/>
          </w:tblCellMar>
        </w:tblPrEx>
        <w:tc>
          <w:tcPr>
            <w:tcW w:w="8847" w:type="dxa"/>
            <w:gridSpan w:val="9"/>
            <w:vAlign w:val="center"/>
          </w:tcPr>
          <w:p w14:paraId="62E702D1">
            <w:pPr>
              <w:jc w:val="center"/>
            </w:pPr>
            <w:r>
              <w:rPr>
                <w:rFonts w:ascii="宋体" w:hAnsi="宋体" w:eastAsia="宋体"/>
                <w:sz w:val="24"/>
              </w:rPr>
              <w:t>单位整体支出绩效自评表</w:t>
            </w:r>
          </w:p>
        </w:tc>
      </w:tr>
      <w:tr w14:paraId="41A861B2">
        <w:tblPrEx>
          <w:tblCellMar>
            <w:top w:w="0" w:type="dxa"/>
            <w:left w:w="108" w:type="dxa"/>
            <w:bottom w:w="0" w:type="dxa"/>
            <w:right w:w="108" w:type="dxa"/>
          </w:tblCellMar>
        </w:tblPrEx>
        <w:tc>
          <w:tcPr>
            <w:tcW w:w="8847" w:type="dxa"/>
            <w:gridSpan w:val="9"/>
            <w:vAlign w:val="center"/>
          </w:tcPr>
          <w:p w14:paraId="3AA7CFEB">
            <w:pPr>
              <w:jc w:val="center"/>
            </w:pPr>
            <w:r>
              <w:rPr>
                <w:rFonts w:ascii="宋体" w:hAnsi="宋体" w:eastAsia="宋体"/>
                <w:sz w:val="24"/>
              </w:rPr>
              <w:t>（2024年度）</w:t>
            </w:r>
          </w:p>
        </w:tc>
      </w:tr>
      <w:tr w14:paraId="0030F3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0ED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EED7A6">
            <w:pPr>
              <w:jc w:val="center"/>
            </w:pPr>
            <w:r>
              <w:rPr>
                <w:rFonts w:ascii="宋体" w:hAnsi="宋体" w:eastAsia="宋体"/>
                <w:sz w:val="16"/>
              </w:rPr>
              <w:t>疏附县阿凡提歌舞团</w:t>
            </w:r>
          </w:p>
        </w:tc>
      </w:tr>
      <w:tr w14:paraId="442E16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858C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663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60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819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0DF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424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BBFC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547E">
            <w:pPr>
              <w:jc w:val="center"/>
            </w:pPr>
            <w:r>
              <w:rPr>
                <w:rFonts w:ascii="宋体" w:hAnsi="宋体" w:eastAsia="宋体"/>
                <w:sz w:val="16"/>
              </w:rPr>
              <w:t>得分</w:t>
            </w:r>
          </w:p>
        </w:tc>
      </w:tr>
      <w:tr w14:paraId="5A1858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5B1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5C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8280">
            <w:pPr>
              <w:jc w:val="center"/>
            </w:pPr>
            <w:r>
              <w:rPr>
                <w:rFonts w:ascii="宋体" w:hAnsi="宋体" w:eastAsia="宋体"/>
                <w:sz w:val="16"/>
              </w:rPr>
              <w:t>483.35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98ED">
            <w:pPr>
              <w:jc w:val="center"/>
            </w:pPr>
            <w:r>
              <w:rPr>
                <w:rFonts w:ascii="宋体" w:hAnsi="宋体" w:eastAsia="宋体"/>
                <w:sz w:val="16"/>
              </w:rPr>
              <w:t>1,093.55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D543">
            <w:pPr>
              <w:jc w:val="center"/>
            </w:pPr>
            <w:r>
              <w:rPr>
                <w:rFonts w:ascii="宋体" w:hAnsi="宋体" w:eastAsia="宋体"/>
                <w:sz w:val="16"/>
              </w:rPr>
              <w:t>1,051.01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ED4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576C">
            <w:pPr>
              <w:jc w:val="center"/>
            </w:pPr>
            <w:r>
              <w:rPr>
                <w:rFonts w:ascii="宋体" w:hAnsi="宋体" w:eastAsia="宋体"/>
                <w:sz w:val="16"/>
              </w:rPr>
              <w:t>96.11%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61A57">
            <w:pPr>
              <w:jc w:val="center"/>
            </w:pPr>
            <w:r>
              <w:rPr>
                <w:rFonts w:ascii="宋体" w:hAnsi="宋体" w:eastAsia="宋体"/>
                <w:sz w:val="16"/>
              </w:rPr>
              <w:t>9.56</w:t>
            </w:r>
          </w:p>
        </w:tc>
      </w:tr>
      <w:tr w14:paraId="6AECA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728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334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10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92D7">
            <w:pPr>
              <w:jc w:val="center"/>
            </w:pPr>
            <w:r>
              <w:rPr>
                <w:rFonts w:ascii="宋体" w:hAnsi="宋体" w:eastAsia="宋体"/>
                <w:sz w:val="16"/>
              </w:rPr>
              <w:t>166.85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328C2">
            <w:pPr>
              <w:jc w:val="center"/>
            </w:pPr>
            <w:r>
              <w:rPr>
                <w:rFonts w:ascii="宋体" w:hAnsi="宋体" w:eastAsia="宋体"/>
                <w:sz w:val="16"/>
              </w:rPr>
              <w:t>166.11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6E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7E75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506EE">
            <w:pPr>
              <w:jc w:val="center"/>
            </w:pPr>
            <w:r>
              <w:rPr>
                <w:rFonts w:ascii="宋体" w:hAnsi="宋体" w:eastAsia="宋体"/>
                <w:sz w:val="16"/>
              </w:rPr>
              <w:t>—</w:t>
            </w:r>
          </w:p>
        </w:tc>
      </w:tr>
      <w:tr w14:paraId="1A307E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AD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298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9B344">
            <w:pPr>
              <w:jc w:val="center"/>
            </w:pPr>
            <w:r>
              <w:rPr>
                <w:rFonts w:ascii="宋体" w:hAnsi="宋体" w:eastAsia="宋体"/>
                <w:sz w:val="16"/>
              </w:rPr>
              <w:t>483.35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D963C">
            <w:pPr>
              <w:jc w:val="center"/>
            </w:pPr>
            <w:r>
              <w:rPr>
                <w:rFonts w:ascii="宋体" w:hAnsi="宋体" w:eastAsia="宋体"/>
                <w:sz w:val="16"/>
              </w:rPr>
              <w:t>526.70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57369">
            <w:pPr>
              <w:jc w:val="center"/>
            </w:pPr>
            <w:r>
              <w:rPr>
                <w:rFonts w:ascii="宋体" w:hAnsi="宋体" w:eastAsia="宋体"/>
                <w:sz w:val="16"/>
              </w:rPr>
              <w:t>526.70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1F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A7A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F7FF">
            <w:pPr>
              <w:jc w:val="center"/>
            </w:pPr>
            <w:r>
              <w:rPr>
                <w:rFonts w:ascii="宋体" w:hAnsi="宋体" w:eastAsia="宋体"/>
                <w:sz w:val="16"/>
              </w:rPr>
              <w:t>—</w:t>
            </w:r>
          </w:p>
        </w:tc>
      </w:tr>
      <w:tr w14:paraId="27C071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0DF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DF5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EA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C6934">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ECC7">
            <w:pPr>
              <w:jc w:val="center"/>
            </w:pPr>
            <w:r>
              <w:rPr>
                <w:rFonts w:ascii="宋体" w:hAnsi="宋体" w:eastAsia="宋体"/>
                <w:sz w:val="16"/>
              </w:rPr>
              <w:t>358.20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81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8AB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B9E3C">
            <w:pPr>
              <w:jc w:val="center"/>
            </w:pPr>
            <w:r>
              <w:rPr>
                <w:rFonts w:ascii="宋体" w:hAnsi="宋体" w:eastAsia="宋体"/>
                <w:sz w:val="16"/>
              </w:rPr>
              <w:t>—</w:t>
            </w:r>
          </w:p>
        </w:tc>
      </w:tr>
      <w:tr w14:paraId="7D6BA5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8904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D77E5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6826B">
            <w:pPr>
              <w:jc w:val="center"/>
            </w:pPr>
            <w:r>
              <w:rPr>
                <w:rFonts w:ascii="宋体" w:hAnsi="宋体" w:eastAsia="宋体"/>
                <w:sz w:val="16"/>
              </w:rPr>
              <w:t>实际完成情况</w:t>
            </w:r>
          </w:p>
        </w:tc>
      </w:tr>
      <w:tr w14:paraId="7251D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DED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8534A2">
            <w:pPr>
              <w:jc w:val="both"/>
            </w:pPr>
            <w:r>
              <w:rPr>
                <w:rFonts w:ascii="宋体" w:hAnsi="宋体" w:eastAsia="宋体"/>
                <w:sz w:val="16"/>
              </w:rPr>
              <w:t>2024年，疏附县阿凡提歌舞团将以习近平新时代中国特色社会主义思想和党的二十大精神为指导，以满足广大人民群众精神文化需求为目标，深入推进“文化润疆”工程，紧紧围绕县委、县政府中心工作，充分发挥文艺工作在构建社会主义和谐社会中的多元功能和综合效益，不断增强服务意识，围绕中心、服务大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846DD5">
            <w:pPr>
              <w:jc w:val="both"/>
            </w:pPr>
            <w:r>
              <w:rPr>
                <w:rFonts w:ascii="宋体" w:hAnsi="宋体" w:eastAsia="宋体"/>
                <w:sz w:val="16"/>
              </w:rPr>
              <w:t>疏附县阿凡提歌舞团将以习近平新时代中国特色社会主义思想和党的二十大精神为指导，以满足广大人民群众精神文化需求为目标，完成开展文艺下乡、进社区演出活动150场次，原创节目和正能量微视频35个，编排各类文艺节目70个，大力开展“十乡百场”暨铸牢中华民族共同体意识联合巡回演出活动15场次，开展接待交流演出活动120场次，开展节庆日活动20场次，深入推进“文化润疆”工程，紧紧围绕县委、县政府中心工作，充分发挥文艺工作在构建社会主义和谐社会中的多元功能和综合效益，不断增强服务意识，围绕中心、服务大局。</w:t>
            </w:r>
          </w:p>
        </w:tc>
      </w:tr>
      <w:tr w14:paraId="711C4A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EF7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708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979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BD6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150A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80F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F5A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F9AF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F2F2">
            <w:pPr>
              <w:jc w:val="center"/>
            </w:pPr>
            <w:r>
              <w:rPr>
                <w:rFonts w:ascii="宋体" w:hAnsi="宋体" w:eastAsia="宋体"/>
                <w:sz w:val="16"/>
              </w:rPr>
              <w:t>得分</w:t>
            </w:r>
          </w:p>
        </w:tc>
      </w:tr>
      <w:tr w14:paraId="7D98E0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0EBF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5D6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B01B">
            <w:pPr>
              <w:jc w:val="center"/>
            </w:pPr>
            <w:r>
              <w:rPr>
                <w:rFonts w:ascii="宋体" w:hAnsi="宋体" w:eastAsia="宋体"/>
                <w:sz w:val="16"/>
              </w:rPr>
              <w:t>开展文艺下乡、进社区演出活动（场次）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86A2">
            <w:pPr>
              <w:jc w:val="center"/>
            </w:pPr>
            <w:r>
              <w:rPr>
                <w:rFonts w:ascii="宋体" w:hAnsi="宋体" w:eastAsia="宋体"/>
                <w:sz w:val="16"/>
              </w:rPr>
              <w:t>&gt;=150场次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6D50">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7D7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95856">
            <w:pPr>
              <w:jc w:val="center"/>
            </w:pPr>
            <w:r>
              <w:rPr>
                <w:rFonts w:ascii="宋体" w:hAnsi="宋体" w:eastAsia="宋体"/>
                <w:sz w:val="16"/>
              </w:rPr>
              <w:t>150场次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57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16795">
            <w:pPr>
              <w:jc w:val="center"/>
            </w:pPr>
            <w:r>
              <w:rPr>
                <w:rFonts w:ascii="宋体" w:hAnsi="宋体" w:eastAsia="宋体"/>
                <w:sz w:val="16"/>
              </w:rPr>
              <w:t>15</w:t>
            </w:r>
          </w:p>
        </w:tc>
      </w:tr>
      <w:tr w14:paraId="75240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D66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4C6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0808E">
            <w:pPr>
              <w:jc w:val="center"/>
            </w:pPr>
            <w:r>
              <w:rPr>
                <w:rFonts w:ascii="宋体" w:hAnsi="宋体" w:eastAsia="宋体"/>
                <w:sz w:val="16"/>
              </w:rPr>
              <w:t>原创节目和正能量微视频（个）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BE39">
            <w:pPr>
              <w:jc w:val="center"/>
            </w:pPr>
            <w:r>
              <w:rPr>
                <w:rFonts w:ascii="宋体" w:hAnsi="宋体" w:eastAsia="宋体"/>
                <w:sz w:val="16"/>
              </w:rPr>
              <w:t>&gt;=35个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6A364">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42F3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1F02">
            <w:pPr>
              <w:jc w:val="center"/>
            </w:pPr>
            <w:r>
              <w:rPr>
                <w:rFonts w:ascii="宋体" w:hAnsi="宋体" w:eastAsia="宋体"/>
                <w:sz w:val="16"/>
              </w:rPr>
              <w: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AE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D4D6">
            <w:pPr>
              <w:jc w:val="center"/>
            </w:pPr>
            <w:r>
              <w:rPr>
                <w:rFonts w:ascii="宋体" w:hAnsi="宋体" w:eastAsia="宋体"/>
                <w:sz w:val="16"/>
              </w:rPr>
              <w:t>15</w:t>
            </w:r>
          </w:p>
        </w:tc>
      </w:tr>
      <w:tr w14:paraId="5A8DDA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6DC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7E9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70D6">
            <w:pPr>
              <w:jc w:val="center"/>
            </w:pPr>
            <w:r>
              <w:rPr>
                <w:rFonts w:ascii="宋体" w:hAnsi="宋体" w:eastAsia="宋体"/>
                <w:sz w:val="16"/>
              </w:rPr>
              <w:t>编排各类文艺节目（个）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30475">
            <w:pPr>
              <w:jc w:val="center"/>
            </w:pPr>
            <w:r>
              <w:rPr>
                <w:rFonts w:ascii="宋体" w:hAnsi="宋体" w:eastAsia="宋体"/>
                <w:sz w:val="16"/>
              </w:rPr>
              <w:t>&gt;=70个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40BB">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F36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14BC">
            <w:pPr>
              <w:jc w:val="center"/>
            </w:pPr>
            <w:r>
              <w:rPr>
                <w:rFonts w:ascii="宋体" w:hAnsi="宋体" w:eastAsia="宋体"/>
                <w:sz w:val="16"/>
              </w:rPr>
              <w: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27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69886">
            <w:pPr>
              <w:jc w:val="center"/>
            </w:pPr>
            <w:r>
              <w:rPr>
                <w:rFonts w:ascii="宋体" w:hAnsi="宋体" w:eastAsia="宋体"/>
                <w:sz w:val="16"/>
              </w:rPr>
              <w:t>15</w:t>
            </w:r>
          </w:p>
        </w:tc>
      </w:tr>
      <w:tr w14:paraId="57F38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3EE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8D9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32C9F">
            <w:pPr>
              <w:jc w:val="center"/>
            </w:pPr>
            <w:r>
              <w:rPr>
                <w:rFonts w:ascii="宋体" w:hAnsi="宋体" w:eastAsia="宋体"/>
                <w:sz w:val="16"/>
              </w:rPr>
              <w:t>大力开展“十乡百场”暨铸牢中华民族共同体意识联合巡回演出活动（场次）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34FDF">
            <w:pPr>
              <w:jc w:val="center"/>
            </w:pPr>
            <w:r>
              <w:rPr>
                <w:rFonts w:ascii="宋体" w:hAnsi="宋体" w:eastAsia="宋体"/>
                <w:sz w:val="16"/>
              </w:rPr>
              <w:t>&gt;=15场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DCE4">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1B4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E662C">
            <w:pPr>
              <w:jc w:val="center"/>
            </w:pPr>
            <w:r>
              <w:rPr>
                <w:rFonts w:ascii="宋体" w:hAnsi="宋体" w:eastAsia="宋体"/>
                <w:sz w:val="16"/>
              </w:rPr>
              <w:t>15场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FAC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A85C5">
            <w:pPr>
              <w:jc w:val="center"/>
            </w:pPr>
            <w:r>
              <w:rPr>
                <w:rFonts w:ascii="宋体" w:hAnsi="宋体" w:eastAsia="宋体"/>
                <w:sz w:val="16"/>
              </w:rPr>
              <w:t>15</w:t>
            </w:r>
          </w:p>
        </w:tc>
      </w:tr>
      <w:tr w14:paraId="1C11B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7A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524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9818B">
            <w:pPr>
              <w:jc w:val="center"/>
            </w:pPr>
            <w:r>
              <w:rPr>
                <w:rFonts w:ascii="宋体" w:hAnsi="宋体" w:eastAsia="宋体"/>
                <w:sz w:val="16"/>
              </w:rPr>
              <w:t>开展接待交流演出活动（场次）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40810">
            <w:pPr>
              <w:jc w:val="center"/>
            </w:pPr>
            <w:r>
              <w:rPr>
                <w:rFonts w:ascii="宋体" w:hAnsi="宋体" w:eastAsia="宋体"/>
                <w:sz w:val="16"/>
              </w:rPr>
              <w:t>&gt;=120场次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CDB19">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A3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7A006">
            <w:pPr>
              <w:jc w:val="center"/>
            </w:pPr>
            <w:r>
              <w:rPr>
                <w:rFonts w:ascii="宋体" w:hAnsi="宋体" w:eastAsia="宋体"/>
                <w:sz w:val="16"/>
              </w:rPr>
              <w:t>120场次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24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9FA2">
            <w:pPr>
              <w:jc w:val="center"/>
            </w:pPr>
            <w:r>
              <w:rPr>
                <w:rFonts w:ascii="宋体" w:hAnsi="宋体" w:eastAsia="宋体"/>
                <w:sz w:val="16"/>
              </w:rPr>
              <w:t>15</w:t>
            </w:r>
          </w:p>
        </w:tc>
      </w:tr>
      <w:tr w14:paraId="1BC97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5FE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F89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56EDF">
            <w:pPr>
              <w:jc w:val="center"/>
            </w:pPr>
            <w:r>
              <w:rPr>
                <w:rFonts w:ascii="宋体" w:hAnsi="宋体" w:eastAsia="宋体"/>
                <w:sz w:val="16"/>
              </w:rPr>
              <w:t>开展节庆日活动场次（场）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13C8D">
            <w:pPr>
              <w:jc w:val="center"/>
            </w:pPr>
            <w:r>
              <w:rPr>
                <w:rFonts w:ascii="宋体" w:hAnsi="宋体" w:eastAsia="宋体"/>
                <w:sz w:val="16"/>
              </w:rPr>
              <w:t>&gt;=20场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5C51A">
            <w:pPr>
              <w:jc w:val="center"/>
            </w:pPr>
            <w:r>
              <w:rPr>
                <w:rFonts w:ascii="宋体" w:hAnsi="宋体" w:eastAsia="宋体"/>
                <w:sz w:val="16"/>
              </w:rPr>
              <w:t>疏附县阿凡提歌舞团2023年工作总结及2024年工作计划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9961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61AB2">
            <w:pPr>
              <w:jc w:val="center"/>
            </w:pPr>
            <w:r>
              <w:rPr>
                <w:rFonts w:ascii="宋体" w:hAnsi="宋体" w:eastAsia="宋体"/>
                <w:sz w:val="16"/>
              </w:rPr>
              <w: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DE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69A3">
            <w:pPr>
              <w:jc w:val="center"/>
            </w:pPr>
            <w:r>
              <w:rPr>
                <w:rFonts w:ascii="宋体" w:hAnsi="宋体" w:eastAsia="宋体"/>
                <w:sz w:val="16"/>
              </w:rPr>
              <w:t>15</w:t>
            </w:r>
          </w:p>
        </w:tc>
      </w:tr>
    </w:tbl>
    <w:p w14:paraId="05E05E31">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96"/>
        <w:gridCol w:w="936"/>
        <w:gridCol w:w="591"/>
        <w:gridCol w:w="591"/>
        <w:gridCol w:w="604"/>
        <w:gridCol w:w="591"/>
        <w:gridCol w:w="604"/>
        <w:gridCol w:w="856"/>
        <w:gridCol w:w="632"/>
        <w:gridCol w:w="542"/>
        <w:gridCol w:w="618"/>
      </w:tblGrid>
      <w:tr w14:paraId="57094DFA">
        <w:tblPrEx>
          <w:tblCellMar>
            <w:top w:w="0" w:type="dxa"/>
            <w:left w:w="108" w:type="dxa"/>
            <w:bottom w:w="0" w:type="dxa"/>
            <w:right w:w="108" w:type="dxa"/>
          </w:tblCellMar>
        </w:tblPrEx>
        <w:tc>
          <w:tcPr>
            <w:tcW w:w="8848" w:type="dxa"/>
            <w:gridSpan w:val="14"/>
            <w:vAlign w:val="center"/>
          </w:tcPr>
          <w:p w14:paraId="6D642EAE">
            <w:pPr>
              <w:jc w:val="center"/>
            </w:pPr>
            <w:r>
              <w:rPr>
                <w:rFonts w:ascii="宋体" w:hAnsi="宋体" w:eastAsia="宋体"/>
                <w:sz w:val="24"/>
              </w:rPr>
              <w:t>项目支出绩效自评表</w:t>
            </w:r>
          </w:p>
        </w:tc>
      </w:tr>
      <w:tr w14:paraId="6405F258">
        <w:tblPrEx>
          <w:tblCellMar>
            <w:top w:w="0" w:type="dxa"/>
            <w:left w:w="108" w:type="dxa"/>
            <w:bottom w:w="0" w:type="dxa"/>
            <w:right w:w="108" w:type="dxa"/>
          </w:tblCellMar>
        </w:tblPrEx>
        <w:tc>
          <w:tcPr>
            <w:tcW w:w="8848" w:type="dxa"/>
            <w:gridSpan w:val="14"/>
            <w:vAlign w:val="center"/>
          </w:tcPr>
          <w:p w14:paraId="283AECBC">
            <w:pPr>
              <w:jc w:val="center"/>
            </w:pPr>
            <w:r>
              <w:rPr>
                <w:rFonts w:ascii="宋体" w:hAnsi="宋体" w:eastAsia="宋体"/>
                <w:sz w:val="24"/>
              </w:rPr>
              <w:t>(2024年度)</w:t>
            </w:r>
          </w:p>
        </w:tc>
      </w:tr>
      <w:tr w14:paraId="53F9D4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F1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C72767">
            <w:pPr>
              <w:jc w:val="center"/>
            </w:pPr>
            <w:r>
              <w:rPr>
                <w:rFonts w:ascii="宋体" w:hAnsi="宋体" w:eastAsia="宋体"/>
                <w:sz w:val="16"/>
              </w:rPr>
              <w:t>2024年疏附县文化交流平台建设项目</w:t>
            </w:r>
          </w:p>
        </w:tc>
      </w:tr>
      <w:tr w14:paraId="25A51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0B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EB112">
            <w:pPr>
              <w:jc w:val="center"/>
            </w:pPr>
            <w:r>
              <w:rPr>
                <w:rFonts w:hint="eastAsia" w:ascii="宋体" w:hAnsi="宋体" w:eastAsia="宋体"/>
                <w:sz w:val="16"/>
              </w:rPr>
              <w:t>疏附县文化体育广播电视和旅游局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D4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535B4">
            <w:pPr>
              <w:jc w:val="center"/>
            </w:pPr>
            <w:r>
              <w:rPr>
                <w:rFonts w:ascii="宋体" w:hAnsi="宋体" w:eastAsia="宋体"/>
                <w:sz w:val="16"/>
              </w:rPr>
              <w:t>疏附县阿凡提歌舞团</w:t>
            </w:r>
          </w:p>
        </w:tc>
      </w:tr>
      <w:tr w14:paraId="502E0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F9C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63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637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42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82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F0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A7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229C">
            <w:pPr>
              <w:jc w:val="center"/>
            </w:pPr>
            <w:r>
              <w:rPr>
                <w:rFonts w:ascii="宋体" w:hAnsi="宋体" w:eastAsia="宋体"/>
                <w:sz w:val="16"/>
              </w:rPr>
              <w:t>得分</w:t>
            </w:r>
          </w:p>
        </w:tc>
      </w:tr>
      <w:tr w14:paraId="2AE96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A9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47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3B129">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2F5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C9C7">
            <w:pPr>
              <w:jc w:val="center"/>
            </w:pPr>
            <w:r>
              <w:rPr>
                <w:rFonts w:ascii="宋体" w:hAnsi="宋体" w:eastAsia="宋体"/>
                <w:sz w:val="16"/>
              </w:rPr>
              <w:t>358.20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47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9CC63">
            <w:pPr>
              <w:jc w:val="center"/>
            </w:pPr>
            <w:r>
              <w:rPr>
                <w:rFonts w:ascii="宋体" w:hAnsi="宋体" w:eastAsia="宋体"/>
                <w:sz w:val="16"/>
              </w:rPr>
              <w:t>89.55%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34C3">
            <w:pPr>
              <w:jc w:val="center"/>
            </w:pPr>
            <w:r>
              <w:rPr>
                <w:rFonts w:ascii="宋体" w:hAnsi="宋体" w:eastAsia="宋体"/>
                <w:sz w:val="16"/>
              </w:rPr>
              <w:t>7.39分</w:t>
            </w:r>
          </w:p>
        </w:tc>
      </w:tr>
      <w:tr w14:paraId="735D7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CAA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8E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BA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8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A2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09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C3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BCB9">
            <w:pPr>
              <w:jc w:val="center"/>
            </w:pPr>
            <w:r>
              <w:rPr>
                <w:rFonts w:ascii="宋体" w:hAnsi="宋体" w:eastAsia="宋体"/>
                <w:sz w:val="16"/>
              </w:rPr>
              <w:t>—</w:t>
            </w:r>
          </w:p>
        </w:tc>
      </w:tr>
      <w:tr w14:paraId="32A3B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BB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5A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D9B6">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69526">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101B6">
            <w:pPr>
              <w:jc w:val="center"/>
            </w:pPr>
            <w:r>
              <w:rPr>
                <w:rFonts w:ascii="宋体" w:hAnsi="宋体" w:eastAsia="宋体"/>
                <w:sz w:val="16"/>
              </w:rPr>
              <w:t>358.20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C14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72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02AE">
            <w:pPr>
              <w:jc w:val="center"/>
            </w:pPr>
            <w:r>
              <w:rPr>
                <w:rFonts w:ascii="宋体" w:hAnsi="宋体" w:eastAsia="宋体"/>
                <w:sz w:val="16"/>
              </w:rPr>
              <w:t>—</w:t>
            </w:r>
          </w:p>
        </w:tc>
      </w:tr>
      <w:tr w14:paraId="1AB4F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3EC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BC2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7B24F">
            <w:pPr>
              <w:jc w:val="center"/>
            </w:pPr>
            <w:r>
              <w:rPr>
                <w:rFonts w:ascii="宋体" w:hAnsi="宋体" w:eastAsia="宋体"/>
                <w:sz w:val="16"/>
              </w:rPr>
              <w:t>实际完成情况</w:t>
            </w:r>
          </w:p>
        </w:tc>
      </w:tr>
      <w:tr w14:paraId="01386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E6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35717D">
            <w:pPr>
              <w:jc w:val="both"/>
            </w:pPr>
            <w:r>
              <w:rPr>
                <w:rFonts w:ascii="宋体" w:hAnsi="宋体" w:eastAsia="宋体"/>
                <w:sz w:val="16"/>
              </w:rPr>
              <w:t>本项目主要计划租赁中华乐器、演出</w:t>
            </w:r>
            <w:r>
              <w:rPr>
                <w:rFonts w:hint="eastAsia" w:ascii="宋体" w:hAnsi="宋体"/>
                <w:sz w:val="16"/>
                <w:lang w:eastAsia="zh-CN"/>
              </w:rPr>
              <w:t>专用</w:t>
            </w:r>
            <w:r>
              <w:rPr>
                <w:rFonts w:ascii="宋体" w:hAnsi="宋体" w:eastAsia="宋体"/>
                <w:sz w:val="16"/>
              </w:rPr>
              <w:t>音响设备，创作费、演出服装、道具，文艺演出参演78人员发放补助，戏曲进乡村文艺演出145场次，乐器村接待演出100场次，联谊活动开展25场次，大型晚会开展7次，各类节庆日活动开展15场次，大型晚会巡回演出开展40次，通过本项目的实施提高全县各族群众对中华民族文化的认同，丰富群众干部群众精神内涵，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65645">
            <w:pPr>
              <w:jc w:val="both"/>
            </w:pPr>
            <w:r>
              <w:rPr>
                <w:rFonts w:hint="eastAsia" w:ascii="宋体" w:hAnsi="宋体"/>
                <w:sz w:val="16"/>
                <w:lang w:eastAsia="zh-CN"/>
              </w:rPr>
              <w:t>截至</w:t>
            </w:r>
            <w:r>
              <w:rPr>
                <w:rFonts w:ascii="宋体" w:hAnsi="宋体" w:eastAsia="宋体"/>
                <w:sz w:val="16"/>
              </w:rPr>
              <w:t>2024年12月31日，本项目预算金额为400万元，全年执行数为358.2万元，全年执行率为89.5%。已完成合同制文艺演出参演</w:t>
            </w:r>
            <w:r>
              <w:rPr>
                <w:rFonts w:hint="eastAsia" w:ascii="宋体" w:hAnsi="宋体"/>
                <w:sz w:val="16"/>
                <w:lang w:eastAsia="zh-CN"/>
              </w:rPr>
              <w:t>人员</w:t>
            </w:r>
            <w:r>
              <w:rPr>
                <w:rFonts w:ascii="宋体" w:hAnsi="宋体" w:eastAsia="宋体"/>
                <w:sz w:val="16"/>
              </w:rPr>
              <w:t>44人，戏曲进乡村文艺演出88场次，大型晚会巡回演出开展次数40次，各类节庆日活动15场次，补助发放次数12次，实习生文艺演出参与人员23人，合同制人员补助发放标准5433.33元/人/月，实习生补助发放标准&lt;=1500元/人/月，通过项目的实施提高全县各族群众对中华民族文化的认同，受益群众满意度达到95%。</w:t>
            </w:r>
          </w:p>
        </w:tc>
      </w:tr>
      <w:tr w14:paraId="60A56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A1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EC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17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4A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97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49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BF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67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48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6D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64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22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0BA7">
            <w:pPr>
              <w:jc w:val="center"/>
            </w:pPr>
            <w:r>
              <w:rPr>
                <w:rFonts w:ascii="宋体" w:hAnsi="宋体" w:eastAsia="宋体"/>
                <w:sz w:val="16"/>
              </w:rPr>
              <w:t>偏差原因分析及改进措施</w:t>
            </w:r>
          </w:p>
        </w:tc>
      </w:tr>
      <w:tr w14:paraId="67A826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3DF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042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552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D69A">
            <w:pPr>
              <w:jc w:val="center"/>
            </w:pPr>
            <w:r>
              <w:rPr>
                <w:rFonts w:ascii="宋体" w:hAnsi="宋体" w:eastAsia="宋体"/>
                <w:sz w:val="16"/>
              </w:rPr>
              <w:t>合同制文艺演出参演人（人）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990">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6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63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7D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C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2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C38E">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B40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344E">
            <w:pPr>
              <w:jc w:val="center"/>
            </w:pPr>
            <w:r>
              <w:rPr>
                <w:rFonts w:ascii="宋体" w:hAnsi="宋体" w:eastAsia="宋体"/>
                <w:sz w:val="16"/>
              </w:rPr>
              <w:t>偏差原因：根据实际情况进行考核打分减少合同制人员。改进措施：年初精准预算。</w:t>
            </w:r>
          </w:p>
        </w:tc>
      </w:tr>
      <w:tr w14:paraId="6696D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BD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2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4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0EBE">
            <w:pPr>
              <w:jc w:val="center"/>
            </w:pPr>
            <w:r>
              <w:rPr>
                <w:rFonts w:ascii="宋体" w:hAnsi="宋体" w:eastAsia="宋体"/>
                <w:sz w:val="16"/>
              </w:rPr>
              <w:t>戏曲进乡村文艺演出（场次）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174B">
            <w:pPr>
              <w:jc w:val="center"/>
            </w:pPr>
            <w:r>
              <w:rPr>
                <w:rFonts w:ascii="宋体" w:hAnsi="宋体" w:eastAsia="宋体"/>
                <w:sz w:val="16"/>
              </w:rPr>
              <w:t>&gt;=145场次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4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C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7A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2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E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F66C">
            <w:pPr>
              <w:jc w:val="center"/>
            </w:pPr>
            <w:r>
              <w:rPr>
                <w:rFonts w:ascii="宋体" w:hAnsi="宋体" w:eastAsia="宋体"/>
                <w:sz w:val="16"/>
              </w:rPr>
              <w:t>=88场次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3AF9">
            <w:pPr>
              <w:jc w:val="center"/>
            </w:pPr>
            <w:r>
              <w:rPr>
                <w:rFonts w:ascii="宋体" w:hAnsi="宋体" w:eastAsia="宋体"/>
                <w:sz w:val="16"/>
              </w:rPr>
              <w:t>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3ECA">
            <w:pPr>
              <w:jc w:val="center"/>
            </w:pPr>
            <w:r>
              <w:rPr>
                <w:rFonts w:ascii="宋体" w:hAnsi="宋体" w:eastAsia="宋体"/>
                <w:sz w:val="16"/>
              </w:rPr>
              <w:t>偏差原因：部分演员被地区抽调表演，导致演出减少。改进措施：精准预估年初目标值。</w:t>
            </w:r>
          </w:p>
        </w:tc>
      </w:tr>
      <w:tr w14:paraId="0BBFE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A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72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0D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6558">
            <w:pPr>
              <w:jc w:val="center"/>
            </w:pPr>
            <w:r>
              <w:rPr>
                <w:rFonts w:ascii="宋体" w:hAnsi="宋体" w:eastAsia="宋体"/>
                <w:sz w:val="16"/>
              </w:rPr>
              <w:t>大型晚会巡回演出开展次数（次）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DE47">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1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1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2B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F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E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5CFE">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B7C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0602D">
            <w:pPr>
              <w:jc w:val="center"/>
            </w:pPr>
          </w:p>
        </w:tc>
      </w:tr>
      <w:tr w14:paraId="1DA64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1C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E8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6F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151D">
            <w:pPr>
              <w:jc w:val="center"/>
            </w:pPr>
            <w:r>
              <w:rPr>
                <w:rFonts w:ascii="宋体" w:hAnsi="宋体" w:eastAsia="宋体"/>
                <w:sz w:val="16"/>
              </w:rPr>
              <w:t>各类节庆日活动（场次）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877D">
            <w:pPr>
              <w:jc w:val="center"/>
            </w:pPr>
            <w:r>
              <w:rPr>
                <w:rFonts w:ascii="宋体" w:hAnsi="宋体" w:eastAsia="宋体"/>
                <w:sz w:val="16"/>
              </w:rPr>
              <w:t>&gt;=15场次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F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A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7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1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A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DA95">
            <w:pPr>
              <w:jc w:val="center"/>
            </w:pPr>
            <w:r>
              <w:rPr>
                <w:rFonts w:ascii="宋体" w:hAnsi="宋体" w:eastAsia="宋体"/>
                <w:sz w:val="16"/>
              </w:rPr>
              <w:t>=15场次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430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5B117">
            <w:pPr>
              <w:jc w:val="center"/>
            </w:pPr>
          </w:p>
        </w:tc>
      </w:tr>
      <w:tr w14:paraId="5BDC8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77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8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CA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B98E">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EDB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A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2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E2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D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76D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433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DF6B7">
            <w:pPr>
              <w:jc w:val="center"/>
            </w:pPr>
          </w:p>
        </w:tc>
      </w:tr>
      <w:tr w14:paraId="0ADCF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6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78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4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9A2A">
            <w:pPr>
              <w:jc w:val="center"/>
            </w:pPr>
            <w:r>
              <w:rPr>
                <w:rFonts w:ascii="宋体" w:hAnsi="宋体" w:eastAsia="宋体"/>
                <w:sz w:val="16"/>
              </w:rPr>
              <w:t>实习生文艺演出参与人员（人）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E40F">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5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D9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08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0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F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6304">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30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53BF1">
            <w:pPr>
              <w:jc w:val="center"/>
            </w:pPr>
          </w:p>
        </w:tc>
      </w:tr>
      <w:tr w14:paraId="55B5C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C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D8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56D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7F5">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4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8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D0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E6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C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A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0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141A">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CD9A2">
            <w:pPr>
              <w:jc w:val="center"/>
            </w:pPr>
            <w:r>
              <w:rPr>
                <w:rFonts w:ascii="宋体" w:hAnsi="宋体" w:eastAsia="宋体"/>
                <w:sz w:val="16"/>
              </w:rPr>
              <w:t>原因：资金拨付90%整改措施：按照流程申请其余资金，完成此项目</w:t>
            </w:r>
          </w:p>
        </w:tc>
      </w:tr>
      <w:tr w14:paraId="3C1FD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0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E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44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1100">
            <w:pPr>
              <w:jc w:val="center"/>
            </w:pPr>
            <w:r>
              <w:rPr>
                <w:rFonts w:ascii="宋体" w:hAnsi="宋体" w:eastAsia="宋体"/>
                <w:sz w:val="16"/>
              </w:rPr>
              <w:t>活动开展覆盖率（%）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D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0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5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F2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2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0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D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84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EE5F">
            <w:pPr>
              <w:jc w:val="center"/>
            </w:pPr>
          </w:p>
        </w:tc>
      </w:tr>
      <w:tr w14:paraId="0764F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DB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99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6B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EB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9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82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29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4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9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7B0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09EE">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C859">
            <w:pPr>
              <w:jc w:val="center"/>
            </w:pPr>
            <w:r>
              <w:rPr>
                <w:rFonts w:ascii="宋体" w:hAnsi="宋体" w:eastAsia="宋体"/>
                <w:sz w:val="16"/>
              </w:rPr>
              <w:t>原因：资金拨付90%整改措施：按照流程申请其余资金，完成此项目</w:t>
            </w:r>
          </w:p>
        </w:tc>
      </w:tr>
      <w:tr w14:paraId="587AB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E2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A23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1F9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0534">
            <w:pPr>
              <w:jc w:val="center"/>
            </w:pPr>
            <w:r>
              <w:rPr>
                <w:rFonts w:ascii="宋体" w:hAnsi="宋体" w:eastAsia="宋体"/>
                <w:sz w:val="16"/>
              </w:rPr>
              <w:t>合同制人员补助发放标准（元/人/月）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904B">
            <w:pPr>
              <w:jc w:val="center"/>
            </w:pPr>
            <w:r>
              <w:rPr>
                <w:rFonts w:ascii="宋体" w:hAnsi="宋体" w:eastAsia="宋体"/>
                <w:sz w:val="16"/>
              </w:rPr>
              <w:t>&lt;=5433.33元/人/月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18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7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7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2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A9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C48F">
            <w:pPr>
              <w:jc w:val="center"/>
            </w:pPr>
            <w:r>
              <w:rPr>
                <w:rFonts w:ascii="宋体" w:hAnsi="宋体" w:eastAsia="宋体"/>
                <w:sz w:val="16"/>
              </w:rPr>
              <w:t>=5433.33元/人/月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7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AA78">
            <w:pPr>
              <w:jc w:val="center"/>
            </w:pPr>
            <w:r>
              <w:rPr>
                <w:rFonts w:ascii="宋体" w:hAnsi="宋体" w:eastAsia="宋体"/>
                <w:sz w:val="16"/>
              </w:rPr>
              <w:t>原因：资金拨付90%整改措施：按照流程申请其余资金，完成此项目</w:t>
            </w:r>
          </w:p>
        </w:tc>
      </w:tr>
      <w:tr w14:paraId="24F46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5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9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EE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3BFB">
            <w:pPr>
              <w:jc w:val="center"/>
            </w:pPr>
            <w:r>
              <w:rPr>
                <w:rFonts w:ascii="宋体" w:hAnsi="宋体" w:eastAsia="宋体"/>
                <w:sz w:val="16"/>
              </w:rPr>
              <w:t>实习生补助发放标准（元/人/月）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35CF">
            <w:pPr>
              <w:jc w:val="center"/>
            </w:pPr>
            <w:r>
              <w:rPr>
                <w:rFonts w:ascii="宋体" w:hAnsi="宋体" w:eastAsia="宋体"/>
                <w:sz w:val="16"/>
              </w:rPr>
              <w:t>&lt;=1500元/人/月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C0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4E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5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B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A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B91C">
            <w:pPr>
              <w:jc w:val="center"/>
            </w:pPr>
            <w:r>
              <w:rPr>
                <w:rFonts w:ascii="宋体" w:hAnsi="宋体" w:eastAsia="宋体"/>
                <w:sz w:val="16"/>
              </w:rPr>
              <w:t>=1500元/人/月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25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6A848">
            <w:pPr>
              <w:jc w:val="center"/>
            </w:pPr>
            <w:r>
              <w:rPr>
                <w:rFonts w:ascii="宋体" w:hAnsi="宋体" w:eastAsia="宋体"/>
                <w:sz w:val="16"/>
              </w:rPr>
              <w:t>原因：资金拨付90%整改措施：按照流程申请其余资金，完成此项目</w:t>
            </w:r>
          </w:p>
        </w:tc>
      </w:tr>
      <w:tr w14:paraId="1DBAC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B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20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E5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C400">
            <w:pPr>
              <w:jc w:val="center"/>
            </w:pPr>
            <w:r>
              <w:rPr>
                <w:rFonts w:ascii="宋体" w:hAnsi="宋体" w:eastAsia="宋体"/>
                <w:sz w:val="16"/>
              </w:rPr>
              <w:t>提高全县各族群众对中华民族文化的认同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2DB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1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0E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3A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082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73A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7C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A07C">
            <w:pPr>
              <w:jc w:val="center"/>
            </w:pPr>
          </w:p>
        </w:tc>
      </w:tr>
      <w:tr w14:paraId="7A237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1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C8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54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F57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9A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F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9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4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F1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8F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A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1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5538">
            <w:pPr>
              <w:jc w:val="center"/>
            </w:pPr>
          </w:p>
        </w:tc>
      </w:tr>
      <w:tr w14:paraId="21D395B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CB0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E3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1FE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8435">
            <w:pPr>
              <w:jc w:val="center"/>
            </w:pPr>
            <w:r>
              <w:rPr>
                <w:rFonts w:ascii="宋体" w:hAnsi="宋体" w:eastAsia="宋体"/>
                <w:sz w:val="16"/>
              </w:rPr>
              <w:t>87.65分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B0FC61"/>
        </w:tc>
      </w:tr>
    </w:tbl>
    <w:p w14:paraId="488793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9C3742">
        <w:tblPrEx>
          <w:tblCellMar>
            <w:top w:w="0" w:type="dxa"/>
            <w:left w:w="108" w:type="dxa"/>
            <w:bottom w:w="0" w:type="dxa"/>
            <w:right w:w="108" w:type="dxa"/>
          </w:tblCellMar>
        </w:tblPrEx>
        <w:tc>
          <w:tcPr>
            <w:tcW w:w="8848" w:type="dxa"/>
            <w:gridSpan w:val="14"/>
            <w:vAlign w:val="center"/>
          </w:tcPr>
          <w:p w14:paraId="468CFDC2">
            <w:pPr>
              <w:jc w:val="center"/>
            </w:pPr>
            <w:r>
              <w:rPr>
                <w:rFonts w:ascii="宋体" w:hAnsi="宋体" w:eastAsia="宋体"/>
                <w:sz w:val="24"/>
              </w:rPr>
              <w:t>项目支出绩效自评表</w:t>
            </w:r>
          </w:p>
        </w:tc>
      </w:tr>
      <w:tr w14:paraId="0C756FF2">
        <w:tblPrEx>
          <w:tblCellMar>
            <w:top w:w="0" w:type="dxa"/>
            <w:left w:w="108" w:type="dxa"/>
            <w:bottom w:w="0" w:type="dxa"/>
            <w:right w:w="108" w:type="dxa"/>
          </w:tblCellMar>
        </w:tblPrEx>
        <w:tc>
          <w:tcPr>
            <w:tcW w:w="8848" w:type="dxa"/>
            <w:gridSpan w:val="14"/>
            <w:vAlign w:val="center"/>
          </w:tcPr>
          <w:p w14:paraId="08690C4A">
            <w:pPr>
              <w:jc w:val="center"/>
            </w:pPr>
            <w:r>
              <w:rPr>
                <w:rFonts w:ascii="宋体" w:hAnsi="宋体" w:eastAsia="宋体"/>
                <w:sz w:val="24"/>
              </w:rPr>
              <w:t>(2024年度)</w:t>
            </w:r>
          </w:p>
        </w:tc>
      </w:tr>
      <w:tr w14:paraId="037F4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BB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57C2D5">
            <w:pPr>
              <w:jc w:val="center"/>
            </w:pPr>
            <w:r>
              <w:rPr>
                <w:rFonts w:ascii="宋体" w:hAnsi="宋体" w:eastAsia="宋体"/>
                <w:sz w:val="16"/>
              </w:rPr>
              <w:t>2024年自治区贫困地区戏曲进乡村补助项目</w:t>
            </w:r>
          </w:p>
        </w:tc>
      </w:tr>
      <w:tr w14:paraId="688577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31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DB783">
            <w:pPr>
              <w:jc w:val="center"/>
            </w:pPr>
            <w:r>
              <w:rPr>
                <w:rFonts w:hint="eastAsia" w:ascii="宋体" w:hAnsi="宋体" w:eastAsia="宋体"/>
                <w:sz w:val="16"/>
              </w:rPr>
              <w:t>疏附县文化体育广播电视和旅游局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25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2236D">
            <w:pPr>
              <w:jc w:val="center"/>
            </w:pPr>
            <w:r>
              <w:rPr>
                <w:rFonts w:ascii="宋体" w:hAnsi="宋体" w:eastAsia="宋体"/>
                <w:sz w:val="16"/>
              </w:rPr>
              <w:t>疏附县阿凡提歌舞团</w:t>
            </w:r>
          </w:p>
        </w:tc>
      </w:tr>
      <w:tr w14:paraId="0C5B5F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46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2E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28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E9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1DF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65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4A2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4105">
            <w:pPr>
              <w:jc w:val="center"/>
            </w:pPr>
            <w:r>
              <w:rPr>
                <w:rFonts w:ascii="宋体" w:hAnsi="宋体" w:eastAsia="宋体"/>
                <w:sz w:val="16"/>
              </w:rPr>
              <w:t>得分</w:t>
            </w:r>
          </w:p>
        </w:tc>
      </w:tr>
      <w:tr w14:paraId="30CBD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86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D6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75B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9561">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404A1">
            <w:pPr>
              <w:jc w:val="center"/>
            </w:pPr>
            <w:r>
              <w:rPr>
                <w:rFonts w:ascii="宋体" w:hAnsi="宋体" w:eastAsia="宋体"/>
                <w:sz w:val="16"/>
              </w:rPr>
              <w:t>24.45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C6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86CC">
            <w:pPr>
              <w:jc w:val="center"/>
            </w:pPr>
            <w:r>
              <w:rPr>
                <w:rFonts w:ascii="宋体" w:hAnsi="宋体" w:eastAsia="宋体"/>
                <w:sz w:val="16"/>
              </w:rPr>
              <w:t>97.80%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6256">
            <w:pPr>
              <w:jc w:val="center"/>
            </w:pPr>
            <w:r>
              <w:rPr>
                <w:rFonts w:ascii="宋体" w:hAnsi="宋体" w:eastAsia="宋体"/>
                <w:sz w:val="16"/>
              </w:rPr>
              <w:t>9.45分</w:t>
            </w:r>
          </w:p>
        </w:tc>
      </w:tr>
      <w:tr w14:paraId="63CFF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441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B1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18F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331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E2319">
            <w:pPr>
              <w:jc w:val="center"/>
            </w:pPr>
            <w:r>
              <w:rPr>
                <w:rFonts w:ascii="宋体" w:hAnsi="宋体" w:eastAsia="宋体"/>
                <w:sz w:val="16"/>
              </w:rPr>
              <w:t>24.45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AEE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C53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D960">
            <w:pPr>
              <w:jc w:val="center"/>
            </w:pPr>
            <w:r>
              <w:rPr>
                <w:rFonts w:ascii="宋体" w:hAnsi="宋体" w:eastAsia="宋体"/>
                <w:sz w:val="16"/>
              </w:rPr>
              <w:t>—</w:t>
            </w:r>
          </w:p>
        </w:tc>
      </w:tr>
      <w:tr w14:paraId="736FC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2F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54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99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D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56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1B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C3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381B">
            <w:pPr>
              <w:jc w:val="center"/>
            </w:pPr>
            <w:r>
              <w:rPr>
                <w:rFonts w:ascii="宋体" w:hAnsi="宋体" w:eastAsia="宋体"/>
                <w:sz w:val="16"/>
              </w:rPr>
              <w:t>—</w:t>
            </w:r>
          </w:p>
        </w:tc>
      </w:tr>
      <w:tr w14:paraId="3E008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C4C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195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03FC31">
            <w:pPr>
              <w:jc w:val="center"/>
            </w:pPr>
            <w:r>
              <w:rPr>
                <w:rFonts w:ascii="宋体" w:hAnsi="宋体" w:eastAsia="宋体"/>
                <w:sz w:val="16"/>
              </w:rPr>
              <w:t>实际完成情况</w:t>
            </w:r>
          </w:p>
        </w:tc>
      </w:tr>
      <w:tr w14:paraId="0CCD6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A0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11EC2">
            <w:pPr>
              <w:jc w:val="both"/>
            </w:pPr>
            <w:r>
              <w:rPr>
                <w:rFonts w:ascii="宋体" w:hAnsi="宋体" w:eastAsia="宋体"/>
                <w:sz w:val="16"/>
              </w:rPr>
              <w:t>本项目预算资金为25万元，主要计划用于戏曲进乡村活动，其中：乐器设备5.3万元、车辆维护8.88万元、地毯0.82万元、服装道具10万元，项目实施后，有效增强各族群众的获得感、幸福感，推动县文化事业繁荣发展，受益乡村村民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EACF1">
            <w:pPr>
              <w:jc w:val="both"/>
            </w:pPr>
            <w:r>
              <w:rPr>
                <w:rFonts w:hint="eastAsia" w:ascii="宋体" w:hAnsi="宋体"/>
                <w:sz w:val="16"/>
                <w:lang w:eastAsia="zh-CN"/>
              </w:rPr>
              <w:t>截至</w:t>
            </w:r>
            <w:r>
              <w:rPr>
                <w:rFonts w:ascii="宋体" w:hAnsi="宋体" w:eastAsia="宋体"/>
                <w:sz w:val="16"/>
              </w:rPr>
              <w:t>2024年12月31日，本项目预算金额为25万元，执行金额为24.45万元，全年执行率为97.8%。已完成下乡演出次数88次，购买乐器弦、乐器维修、设备配件、音响设备维修费用5.3万元，购买地毯费用0.64万元，车辆维护费用8.88万元，购买演出服装、道具费用9.63万元，通过项目的实施有效提升各族群众的获得感、幸福感，受益对象满意度达到95%。</w:t>
            </w:r>
          </w:p>
        </w:tc>
      </w:tr>
      <w:tr w14:paraId="7409B8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95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2C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18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84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0B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D0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00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F5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E8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29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42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4C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4D91">
            <w:pPr>
              <w:jc w:val="center"/>
            </w:pPr>
            <w:r>
              <w:rPr>
                <w:rFonts w:ascii="宋体" w:hAnsi="宋体" w:eastAsia="宋体"/>
                <w:sz w:val="16"/>
              </w:rPr>
              <w:t>偏差原因分析及改进措施</w:t>
            </w:r>
          </w:p>
        </w:tc>
      </w:tr>
      <w:tr w14:paraId="48CACA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2F8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E1E0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97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F084">
            <w:pPr>
              <w:jc w:val="center"/>
            </w:pPr>
            <w:r>
              <w:rPr>
                <w:rFonts w:ascii="宋体" w:hAnsi="宋体" w:eastAsia="宋体"/>
                <w:sz w:val="16"/>
              </w:rPr>
              <w:t>下乡演出次数（次）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4A48">
            <w:pPr>
              <w:jc w:val="center"/>
            </w:pPr>
            <w:r>
              <w:rPr>
                <w:rFonts w:ascii="宋体" w:hAnsi="宋体" w:eastAsia="宋体"/>
                <w:sz w:val="16"/>
              </w:rPr>
              <w:t>&gt;=146次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E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3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5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0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1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0994">
            <w:pPr>
              <w:jc w:val="center"/>
            </w:pPr>
            <w:r>
              <w:rPr>
                <w:rFonts w:ascii="宋体" w:hAnsi="宋体" w:eastAsia="宋体"/>
                <w:sz w:val="16"/>
              </w:rPr>
              <w:t>=88次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4E05">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DA6E">
            <w:pPr>
              <w:jc w:val="center"/>
            </w:pPr>
            <w:r>
              <w:rPr>
                <w:rFonts w:ascii="宋体" w:hAnsi="宋体" w:eastAsia="宋体"/>
                <w:sz w:val="16"/>
              </w:rPr>
              <w:t>偏差原因：地区晚会借调歌舞团演员，导致下乡演出次数不够。改进措施：年初预估好全年次数。</w:t>
            </w:r>
          </w:p>
        </w:tc>
      </w:tr>
      <w:tr w14:paraId="6E739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56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5E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E1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F48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9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E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5F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3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D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0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D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6C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04B9">
            <w:pPr>
              <w:jc w:val="center"/>
            </w:pPr>
          </w:p>
        </w:tc>
      </w:tr>
      <w:tr w14:paraId="18A7B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57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34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5D4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10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2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6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3B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3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3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6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3B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230A">
            <w:pPr>
              <w:jc w:val="center"/>
            </w:pPr>
          </w:p>
        </w:tc>
      </w:tr>
      <w:tr w14:paraId="3B799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3C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9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E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70A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7D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0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42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B4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4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C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62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5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EC9B">
            <w:pPr>
              <w:jc w:val="center"/>
            </w:pPr>
          </w:p>
        </w:tc>
      </w:tr>
      <w:tr w14:paraId="57904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A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653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F7C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24C8">
            <w:pPr>
              <w:jc w:val="center"/>
            </w:pPr>
            <w:r>
              <w:rPr>
                <w:rFonts w:ascii="宋体" w:hAnsi="宋体" w:eastAsia="宋体"/>
                <w:sz w:val="16"/>
              </w:rPr>
              <w:t>购买乐器弦、乐器维修、设备配件、音响设备维修费用（万元）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0FCF">
            <w:pPr>
              <w:jc w:val="center"/>
            </w:pPr>
            <w:r>
              <w:rPr>
                <w:rFonts w:ascii="宋体" w:hAnsi="宋体" w:eastAsia="宋体"/>
                <w:sz w:val="16"/>
              </w:rPr>
              <w:t>&lt;=5.3万元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4D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4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C4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2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CD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A236">
            <w:pPr>
              <w:jc w:val="center"/>
            </w:pPr>
            <w:r>
              <w:rPr>
                <w:rFonts w:ascii="宋体" w:hAnsi="宋体" w:eastAsia="宋体"/>
                <w:sz w:val="16"/>
              </w:rPr>
              <w: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C4F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2650D">
            <w:pPr>
              <w:jc w:val="center"/>
            </w:pPr>
          </w:p>
        </w:tc>
      </w:tr>
      <w:tr w14:paraId="50FC1A92">
        <w:tblPrEx>
          <w:tblCellMar>
            <w:top w:w="0" w:type="dxa"/>
            <w:left w:w="108" w:type="dxa"/>
            <w:bottom w:w="0" w:type="dxa"/>
            <w:right w:w="108" w:type="dxa"/>
          </w:tblCellMar>
        </w:tblPrEx>
        <w:trPr>
          <w:trHeight w:val="16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99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15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F3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A0F1">
            <w:pPr>
              <w:jc w:val="center"/>
            </w:pPr>
            <w:r>
              <w:rPr>
                <w:rFonts w:ascii="宋体" w:hAnsi="宋体" w:eastAsia="宋体"/>
                <w:sz w:val="16"/>
              </w:rPr>
              <w:t>购买地毯费用（万元）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88B5">
            <w:pPr>
              <w:jc w:val="center"/>
            </w:pPr>
            <w:r>
              <w:rPr>
                <w:rFonts w:ascii="宋体" w:hAnsi="宋体" w:eastAsia="宋体"/>
                <w:sz w:val="16"/>
              </w:rPr>
              <w:t>&lt;=0.82万元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C9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44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7B8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F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9B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4BC2">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513F">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2D67">
            <w:pPr>
              <w:jc w:val="center"/>
            </w:pPr>
            <w:r>
              <w:rPr>
                <w:rFonts w:ascii="宋体" w:hAnsi="宋体" w:eastAsia="宋体"/>
                <w:sz w:val="16"/>
              </w:rPr>
              <w:t>原因:剩余资金结转整改措施：下一年继续使用</w:t>
            </w:r>
          </w:p>
        </w:tc>
      </w:tr>
      <w:tr w14:paraId="5C447656">
        <w:tblPrEx>
          <w:tblCellMar>
            <w:top w:w="0" w:type="dxa"/>
            <w:left w:w="108" w:type="dxa"/>
            <w:bottom w:w="0" w:type="dxa"/>
            <w:right w:w="108" w:type="dxa"/>
          </w:tblCellMar>
        </w:tblPrEx>
        <w:trPr>
          <w:trHeight w:val="16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E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0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5A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2FD4">
            <w:pPr>
              <w:jc w:val="center"/>
            </w:pPr>
            <w:r>
              <w:rPr>
                <w:rFonts w:ascii="宋体" w:hAnsi="宋体" w:eastAsia="宋体"/>
                <w:sz w:val="16"/>
              </w:rPr>
              <w:t>车辆维护费用（万元）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E0E0">
            <w:pPr>
              <w:jc w:val="center"/>
            </w:pPr>
            <w:r>
              <w:rPr>
                <w:rFonts w:ascii="宋体" w:hAnsi="宋体" w:eastAsia="宋体"/>
                <w:sz w:val="16"/>
              </w:rPr>
              <w:t>&lt;=8.88万元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9D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5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38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0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A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06B2">
            <w:pPr>
              <w:jc w:val="center"/>
            </w:pPr>
            <w:r>
              <w:rPr>
                <w:rFonts w:ascii="宋体" w:hAnsi="宋体" w:eastAsia="宋体"/>
                <w:sz w:val="16"/>
              </w:rPr>
              <w:t>=8.88万元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684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7C6F">
            <w:pPr>
              <w:jc w:val="center"/>
            </w:pPr>
          </w:p>
        </w:tc>
      </w:tr>
      <w:tr w14:paraId="47554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31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00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7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155F">
            <w:pPr>
              <w:jc w:val="center"/>
            </w:pPr>
            <w:r>
              <w:rPr>
                <w:rFonts w:ascii="宋体" w:hAnsi="宋体" w:eastAsia="宋体"/>
                <w:sz w:val="16"/>
              </w:rPr>
              <w:t>购买演出服装、道具费用（万元）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809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54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7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04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4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CD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B9E0">
            <w:pPr>
              <w:jc w:val="center"/>
            </w:pPr>
            <w:r>
              <w:rPr>
                <w:rFonts w:ascii="宋体" w:hAnsi="宋体" w:eastAsia="宋体"/>
                <w:sz w:val="16"/>
              </w:rPr>
              <w:t>=9.63万元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8039">
            <w:pPr>
              <w:jc w:val="center"/>
            </w:pPr>
            <w:r>
              <w:rPr>
                <w:rFonts w:ascii="宋体" w:hAnsi="宋体" w:eastAsia="宋体"/>
                <w:sz w:val="16"/>
              </w:rPr>
              <w:t>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22F5">
            <w:pPr>
              <w:jc w:val="center"/>
            </w:pPr>
            <w:r>
              <w:rPr>
                <w:rFonts w:ascii="宋体" w:hAnsi="宋体" w:eastAsia="宋体"/>
                <w:sz w:val="16"/>
              </w:rPr>
              <w:t>原因:剩余资金结转整改措施：下一年继续使用</w:t>
            </w:r>
          </w:p>
        </w:tc>
      </w:tr>
      <w:tr w14:paraId="43BE2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7A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A3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95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AA24">
            <w:pPr>
              <w:jc w:val="center"/>
            </w:pPr>
            <w:r>
              <w:rPr>
                <w:rFonts w:ascii="宋体" w:hAnsi="宋体" w:eastAsia="宋体"/>
                <w:sz w:val="16"/>
              </w:rPr>
              <w:t>有效提升各族群众的获得感、幸福感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B6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D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05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E9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2F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F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154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A2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29768">
            <w:pPr>
              <w:jc w:val="center"/>
            </w:pPr>
          </w:p>
        </w:tc>
      </w:tr>
      <w:tr w14:paraId="2C689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54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F1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C6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E63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23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5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1A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9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8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00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48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317E">
            <w:pPr>
              <w:jc w:val="center"/>
            </w:pPr>
          </w:p>
        </w:tc>
      </w:tr>
      <w:tr w14:paraId="243518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48B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5E0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40B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3DB8">
            <w:pPr>
              <w:jc w:val="center"/>
            </w:pPr>
            <w:r>
              <w:rPr>
                <w:rFonts w:ascii="宋体" w:hAnsi="宋体" w:eastAsia="宋体"/>
                <w:sz w:val="16"/>
              </w:rPr>
              <w:t>89.64分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44A37F"/>
        </w:tc>
      </w:tr>
    </w:tbl>
    <w:p w14:paraId="37FE00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77CBDB4">
        <w:tblPrEx>
          <w:tblCellMar>
            <w:top w:w="0" w:type="dxa"/>
            <w:left w:w="108" w:type="dxa"/>
            <w:bottom w:w="0" w:type="dxa"/>
            <w:right w:w="108" w:type="dxa"/>
          </w:tblCellMar>
        </w:tblPrEx>
        <w:tc>
          <w:tcPr>
            <w:tcW w:w="8848" w:type="dxa"/>
            <w:gridSpan w:val="14"/>
            <w:vAlign w:val="center"/>
          </w:tcPr>
          <w:p w14:paraId="75693687">
            <w:pPr>
              <w:jc w:val="center"/>
            </w:pPr>
            <w:r>
              <w:rPr>
                <w:rFonts w:ascii="宋体" w:hAnsi="宋体" w:eastAsia="宋体"/>
                <w:sz w:val="24"/>
              </w:rPr>
              <w:t>项目支出绩效自评表</w:t>
            </w:r>
          </w:p>
        </w:tc>
      </w:tr>
      <w:tr w14:paraId="78D29BA2">
        <w:tblPrEx>
          <w:tblCellMar>
            <w:top w:w="0" w:type="dxa"/>
            <w:left w:w="108" w:type="dxa"/>
            <w:bottom w:w="0" w:type="dxa"/>
            <w:right w:w="108" w:type="dxa"/>
          </w:tblCellMar>
        </w:tblPrEx>
        <w:tc>
          <w:tcPr>
            <w:tcW w:w="8848" w:type="dxa"/>
            <w:gridSpan w:val="14"/>
            <w:vAlign w:val="center"/>
          </w:tcPr>
          <w:p w14:paraId="103D60F5">
            <w:pPr>
              <w:jc w:val="center"/>
            </w:pPr>
            <w:r>
              <w:rPr>
                <w:rFonts w:ascii="宋体" w:hAnsi="宋体" w:eastAsia="宋体"/>
                <w:sz w:val="24"/>
              </w:rPr>
              <w:t>(2024年度)</w:t>
            </w:r>
          </w:p>
        </w:tc>
      </w:tr>
      <w:tr w14:paraId="2525C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C0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DA1C77">
            <w:pPr>
              <w:jc w:val="center"/>
            </w:pPr>
            <w:r>
              <w:rPr>
                <w:rFonts w:ascii="宋体" w:hAnsi="宋体" w:eastAsia="宋体"/>
                <w:sz w:val="16"/>
              </w:rPr>
              <w:t>中央支持地方公共文化服务体系建设补助资金项目</w:t>
            </w:r>
          </w:p>
        </w:tc>
      </w:tr>
      <w:tr w14:paraId="504CB2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B8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E4BB0">
            <w:pPr>
              <w:jc w:val="center"/>
            </w:pPr>
            <w:r>
              <w:rPr>
                <w:rFonts w:hint="eastAsia" w:ascii="宋体" w:hAnsi="宋体" w:eastAsia="宋体"/>
                <w:sz w:val="16"/>
              </w:rPr>
              <w:t>疏附县文化体育广播电视和旅游局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BF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16319">
            <w:pPr>
              <w:jc w:val="center"/>
            </w:pPr>
            <w:r>
              <w:rPr>
                <w:rFonts w:ascii="宋体" w:hAnsi="宋体" w:eastAsia="宋体"/>
                <w:sz w:val="16"/>
              </w:rPr>
              <w:t>疏附县阿凡提歌舞团</w:t>
            </w:r>
          </w:p>
        </w:tc>
      </w:tr>
      <w:tr w14:paraId="071E77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FE4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C2F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698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66A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B4D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6B1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E5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AE7A">
            <w:pPr>
              <w:jc w:val="center"/>
            </w:pPr>
            <w:r>
              <w:rPr>
                <w:rFonts w:ascii="宋体" w:hAnsi="宋体" w:eastAsia="宋体"/>
                <w:sz w:val="16"/>
              </w:rPr>
              <w:t>得分</w:t>
            </w:r>
          </w:p>
        </w:tc>
      </w:tr>
      <w:tr w14:paraId="65F16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F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5C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1E2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250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35AC">
            <w:pPr>
              <w:jc w:val="center"/>
            </w:pPr>
            <w:r>
              <w:rPr>
                <w:rFonts w:ascii="宋体" w:hAnsi="宋体" w:eastAsia="宋体"/>
                <w:sz w:val="16"/>
              </w:rPr>
              <w:t>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EE5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94A3">
            <w:pPr>
              <w:jc w:val="center"/>
            </w:pPr>
            <w:r>
              <w:rPr>
                <w:rFonts w:ascii="宋体" w:hAnsi="宋体" w:eastAsia="宋体"/>
                <w:sz w:val="16"/>
              </w:rPr>
              <w:t>99.00%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DD22">
            <w:pPr>
              <w:jc w:val="center"/>
            </w:pPr>
            <w:r>
              <w:rPr>
                <w:rFonts w:ascii="宋体" w:hAnsi="宋体" w:eastAsia="宋体"/>
                <w:sz w:val="16"/>
              </w:rPr>
              <w:t>9.75分</w:t>
            </w:r>
          </w:p>
        </w:tc>
      </w:tr>
      <w:tr w14:paraId="40C45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E7D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28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641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C6B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6BC8">
            <w:pPr>
              <w:jc w:val="center"/>
            </w:pPr>
            <w:r>
              <w:rPr>
                <w:rFonts w:ascii="宋体" w:hAnsi="宋体" w:eastAsia="宋体"/>
                <w:sz w:val="16"/>
              </w:rPr>
              <w:t>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FD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73A4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CD81">
            <w:pPr>
              <w:jc w:val="center"/>
            </w:pPr>
            <w:r>
              <w:rPr>
                <w:rFonts w:ascii="宋体" w:hAnsi="宋体" w:eastAsia="宋体"/>
                <w:sz w:val="16"/>
              </w:rPr>
              <w:t>—</w:t>
            </w:r>
          </w:p>
        </w:tc>
      </w:tr>
      <w:tr w14:paraId="0C8EE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E6A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F39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66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04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B9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DC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9C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85D6">
            <w:pPr>
              <w:jc w:val="center"/>
            </w:pPr>
            <w:r>
              <w:rPr>
                <w:rFonts w:ascii="宋体" w:hAnsi="宋体" w:eastAsia="宋体"/>
                <w:sz w:val="16"/>
              </w:rPr>
              <w:t>—</w:t>
            </w:r>
          </w:p>
        </w:tc>
      </w:tr>
      <w:tr w14:paraId="1E4D29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8DF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4B7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94F3F">
            <w:pPr>
              <w:jc w:val="center"/>
            </w:pPr>
            <w:r>
              <w:rPr>
                <w:rFonts w:ascii="宋体" w:hAnsi="宋体" w:eastAsia="宋体"/>
                <w:sz w:val="16"/>
              </w:rPr>
              <w:t>实际完成情况</w:t>
            </w:r>
          </w:p>
        </w:tc>
      </w:tr>
      <w:tr w14:paraId="041F7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206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D1958">
            <w:pPr>
              <w:jc w:val="both"/>
            </w:pPr>
            <w:r>
              <w:rPr>
                <w:rFonts w:ascii="宋体" w:hAnsi="宋体" w:eastAsia="宋体"/>
                <w:sz w:val="16"/>
              </w:rPr>
              <w:t>本项目预算金额为20万元，其中设备购置数1套，设备验收合格率100%，资金拨付及时性100%，项目完成时间2024年12月25日，购买设备成本20万元</w:t>
            </w:r>
            <w:r>
              <w:rPr>
                <w:rFonts w:hint="eastAsia" w:ascii="宋体" w:hAnsi="宋体"/>
                <w:sz w:val="16"/>
                <w:lang w:eastAsia="zh-CN"/>
              </w:rPr>
              <w:t>，</w:t>
            </w:r>
            <w:r>
              <w:rPr>
                <w:rFonts w:ascii="宋体" w:hAnsi="宋体" w:eastAsia="宋体"/>
                <w:sz w:val="16"/>
              </w:rPr>
              <w:t>不断增强各民族群众的获得感、幸福感，群众满意度达到95%以上。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D487D">
            <w:pPr>
              <w:jc w:val="both"/>
            </w:pPr>
            <w:r>
              <w:rPr>
                <w:rFonts w:hint="eastAsia" w:ascii="宋体" w:hAnsi="宋体"/>
                <w:sz w:val="16"/>
                <w:lang w:eastAsia="zh-CN"/>
              </w:rPr>
              <w:t>截至</w:t>
            </w:r>
            <w:r>
              <w:rPr>
                <w:rFonts w:ascii="宋体" w:hAnsi="宋体" w:eastAsia="宋体"/>
                <w:sz w:val="16"/>
              </w:rPr>
              <w:t>2024年12月31日，本项目全年预算为20万元，全年执行数为19.8万元，执行率为99%。已完成设备购置1套，购买设备成本19.8万元，通过实施项目不断增强各民族群众的获得感，群众满意度达到95%。</w:t>
            </w:r>
          </w:p>
        </w:tc>
      </w:tr>
      <w:tr w14:paraId="1CCD6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211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B3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02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26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7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0A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5F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EE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4A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A2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08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C4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513E">
            <w:pPr>
              <w:jc w:val="center"/>
            </w:pPr>
            <w:r>
              <w:rPr>
                <w:rFonts w:ascii="宋体" w:hAnsi="宋体" w:eastAsia="宋体"/>
                <w:sz w:val="16"/>
              </w:rPr>
              <w:t>偏差原因分析及改进措施</w:t>
            </w:r>
          </w:p>
        </w:tc>
      </w:tr>
      <w:tr w14:paraId="489CC4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021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32D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2F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99F6">
            <w:pPr>
              <w:jc w:val="center"/>
            </w:pPr>
            <w:r>
              <w:rPr>
                <w:rFonts w:ascii="宋体" w:hAnsi="宋体" w:eastAsia="宋体"/>
                <w:sz w:val="16"/>
              </w:rPr>
              <w:t>设备购置数（套）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0CF0">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9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E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3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7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6BD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FE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FBC41">
            <w:pPr>
              <w:jc w:val="center"/>
            </w:pPr>
          </w:p>
        </w:tc>
      </w:tr>
      <w:tr w14:paraId="6710F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DB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1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7B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7B5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1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1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6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7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F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D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C3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8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9B7A">
            <w:pPr>
              <w:jc w:val="center"/>
            </w:pPr>
          </w:p>
        </w:tc>
      </w:tr>
      <w:tr w14:paraId="3371F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68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32F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39C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7B62">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0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8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5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A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B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C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3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51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FD76">
            <w:pPr>
              <w:jc w:val="center"/>
            </w:pPr>
          </w:p>
        </w:tc>
      </w:tr>
      <w:tr w14:paraId="5AA51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2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2A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B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46F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4D0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9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DF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8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0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E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B13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A9E0">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E0CD">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595DA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1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F6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7A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8DC2">
            <w:pPr>
              <w:jc w:val="center"/>
            </w:pPr>
            <w:r>
              <w:rPr>
                <w:rFonts w:ascii="宋体" w:hAnsi="宋体" w:eastAsia="宋体"/>
                <w:sz w:val="16"/>
              </w:rPr>
              <w:t>购买设备成本（万元）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827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CD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B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0C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5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6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318">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5DFE">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4167">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0A82F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5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0D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35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C00C">
            <w:pPr>
              <w:jc w:val="center"/>
            </w:pPr>
            <w:r>
              <w:rPr>
                <w:rFonts w:ascii="宋体" w:hAnsi="宋体" w:eastAsia="宋体"/>
                <w:sz w:val="16"/>
              </w:rPr>
              <w:t>增强各民族群众的获得感、幸福感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FC24">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C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9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AF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32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9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355">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3D9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86A48">
            <w:pPr>
              <w:jc w:val="center"/>
            </w:pPr>
          </w:p>
        </w:tc>
      </w:tr>
      <w:tr w14:paraId="1E3B4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F9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0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3D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D12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58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3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6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2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60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84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7570">
            <w:pPr>
              <w:jc w:val="center"/>
            </w:pPr>
          </w:p>
        </w:tc>
      </w:tr>
      <w:tr w14:paraId="02632DE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943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113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FB6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6207">
            <w:pPr>
              <w:jc w:val="center"/>
            </w:pPr>
            <w:r>
              <w:rPr>
                <w:rFonts w:ascii="宋体" w:hAnsi="宋体" w:eastAsia="宋体"/>
                <w:sz w:val="16"/>
              </w:rPr>
              <w:t>99.25分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C753B5"/>
        </w:tc>
      </w:tr>
    </w:tbl>
    <w:p w14:paraId="5F10DF39">
      <w:r>
        <w:br w:type="page"/>
      </w:r>
    </w:p>
    <w:p w14:paraId="210A861E">
      <w:pPr>
        <w:spacing w:line="640" w:lineRule="exact"/>
        <w:ind w:firstLine="640"/>
        <w:jc w:val="both"/>
        <w:outlineLvl w:val="2"/>
      </w:pPr>
      <w:r>
        <w:rPr>
          <w:rFonts w:ascii="黑体" w:hAnsi="黑体" w:eastAsia="黑体"/>
          <w:sz w:val="32"/>
        </w:rPr>
        <w:t>十二、其他需说明的事项</w:t>
      </w:r>
    </w:p>
    <w:p w14:paraId="3C4A038D">
      <w:pPr>
        <w:spacing w:line="580" w:lineRule="exact"/>
        <w:ind w:firstLine="640"/>
        <w:jc w:val="both"/>
      </w:pPr>
      <w:r>
        <w:rPr>
          <w:rFonts w:ascii="仿宋_GB2312" w:hAnsi="仿宋_GB2312" w:eastAsia="仿宋_GB2312"/>
          <w:b w:val="0"/>
          <w:sz w:val="32"/>
        </w:rPr>
        <w:t>本单位无其他需说明的事项。</w:t>
      </w:r>
    </w:p>
    <w:p w14:paraId="720EB4D5">
      <w:r>
        <w:br w:type="page"/>
      </w:r>
    </w:p>
    <w:p w14:paraId="17B4EE35">
      <w:pPr>
        <w:spacing w:line="240" w:lineRule="auto"/>
        <w:jc w:val="center"/>
        <w:outlineLvl w:val="1"/>
      </w:pPr>
      <w:r>
        <w:rPr>
          <w:rFonts w:ascii="黑体" w:hAnsi="黑体" w:eastAsia="黑体"/>
          <w:sz w:val="32"/>
        </w:rPr>
        <w:t>第三部分 专业名词解释</w:t>
      </w:r>
    </w:p>
    <w:p w14:paraId="3F8D13A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79AA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79F77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3A10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CEA2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3D028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1F8A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7DD28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EA50F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E9900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A3F5A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F0EFD8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85691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968D8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6DC409">
      <w:r>
        <w:br w:type="page"/>
      </w:r>
    </w:p>
    <w:p w14:paraId="7A64E667">
      <w:pPr>
        <w:spacing w:line="240" w:lineRule="auto"/>
        <w:jc w:val="center"/>
        <w:outlineLvl w:val="1"/>
      </w:pPr>
      <w:r>
        <w:rPr>
          <w:rFonts w:ascii="黑体" w:hAnsi="黑体" w:eastAsia="黑体"/>
          <w:sz w:val="32"/>
        </w:rPr>
        <w:t>第四部分 部门决算报表（见附表）</w:t>
      </w:r>
    </w:p>
    <w:p w14:paraId="0BF39582">
      <w:pPr>
        <w:spacing w:line="240" w:lineRule="auto"/>
        <w:ind w:firstLine="640"/>
        <w:jc w:val="both"/>
      </w:pPr>
      <w:r>
        <w:rPr>
          <w:rFonts w:ascii="仿宋_GB2312" w:hAnsi="仿宋_GB2312" w:eastAsia="仿宋_GB2312"/>
          <w:b w:val="0"/>
          <w:sz w:val="32"/>
        </w:rPr>
        <w:t>一、《收入支出决算总表》</w:t>
      </w:r>
    </w:p>
    <w:p w14:paraId="11791433">
      <w:pPr>
        <w:spacing w:line="240" w:lineRule="auto"/>
        <w:ind w:firstLine="640"/>
        <w:jc w:val="both"/>
      </w:pPr>
      <w:r>
        <w:rPr>
          <w:rFonts w:ascii="仿宋_GB2312" w:hAnsi="仿宋_GB2312" w:eastAsia="仿宋_GB2312"/>
          <w:b w:val="0"/>
          <w:sz w:val="32"/>
        </w:rPr>
        <w:t>二、《收入决算表》</w:t>
      </w:r>
    </w:p>
    <w:p w14:paraId="16FF2866">
      <w:pPr>
        <w:spacing w:line="240" w:lineRule="auto"/>
        <w:ind w:firstLine="640"/>
        <w:jc w:val="both"/>
      </w:pPr>
      <w:r>
        <w:rPr>
          <w:rFonts w:ascii="仿宋_GB2312" w:hAnsi="仿宋_GB2312" w:eastAsia="仿宋_GB2312"/>
          <w:b w:val="0"/>
          <w:sz w:val="32"/>
        </w:rPr>
        <w:t>三、《支出决算表》</w:t>
      </w:r>
    </w:p>
    <w:p w14:paraId="10D85A11">
      <w:pPr>
        <w:spacing w:line="240" w:lineRule="auto"/>
        <w:ind w:firstLine="640"/>
        <w:jc w:val="both"/>
      </w:pPr>
      <w:r>
        <w:rPr>
          <w:rFonts w:ascii="仿宋_GB2312" w:hAnsi="仿宋_GB2312" w:eastAsia="仿宋_GB2312"/>
          <w:b w:val="0"/>
          <w:sz w:val="32"/>
        </w:rPr>
        <w:t>四、《财政拨款收入支出决算总表》</w:t>
      </w:r>
    </w:p>
    <w:p w14:paraId="5F6AA9B9">
      <w:pPr>
        <w:spacing w:line="240" w:lineRule="auto"/>
        <w:ind w:firstLine="640"/>
        <w:jc w:val="both"/>
      </w:pPr>
      <w:r>
        <w:rPr>
          <w:rFonts w:ascii="仿宋_GB2312" w:hAnsi="仿宋_GB2312" w:eastAsia="仿宋_GB2312"/>
          <w:b w:val="0"/>
          <w:sz w:val="32"/>
        </w:rPr>
        <w:t>五、《一般公共预算财政拨款支出决算表》</w:t>
      </w:r>
    </w:p>
    <w:p w14:paraId="65CE49AF">
      <w:pPr>
        <w:spacing w:line="240" w:lineRule="auto"/>
        <w:ind w:firstLine="640"/>
        <w:jc w:val="both"/>
      </w:pPr>
      <w:r>
        <w:rPr>
          <w:rFonts w:ascii="仿宋_GB2312" w:hAnsi="仿宋_GB2312" w:eastAsia="仿宋_GB2312"/>
          <w:b w:val="0"/>
          <w:sz w:val="32"/>
        </w:rPr>
        <w:t>六、《一般公共预算财政拨款基本支出决算表》</w:t>
      </w:r>
    </w:p>
    <w:p w14:paraId="11B80D25">
      <w:pPr>
        <w:spacing w:line="240" w:lineRule="auto"/>
        <w:ind w:firstLine="640"/>
        <w:jc w:val="both"/>
      </w:pPr>
      <w:r>
        <w:rPr>
          <w:rFonts w:ascii="仿宋_GB2312" w:hAnsi="仿宋_GB2312" w:eastAsia="仿宋_GB2312"/>
          <w:b w:val="0"/>
          <w:sz w:val="32"/>
        </w:rPr>
        <w:t>七、《政府性基金预算财政拨款收入支出决算表》</w:t>
      </w:r>
    </w:p>
    <w:p w14:paraId="1F533394">
      <w:pPr>
        <w:spacing w:line="240" w:lineRule="auto"/>
        <w:ind w:firstLine="640"/>
        <w:jc w:val="both"/>
      </w:pPr>
      <w:r>
        <w:rPr>
          <w:rFonts w:ascii="仿宋_GB2312" w:hAnsi="仿宋_GB2312" w:eastAsia="仿宋_GB2312"/>
          <w:b w:val="0"/>
          <w:sz w:val="32"/>
        </w:rPr>
        <w:t>八、《国有资本经营预算财政拨款收入支出决算表》</w:t>
      </w:r>
    </w:p>
    <w:p w14:paraId="233FB475">
      <w:pPr>
        <w:spacing w:line="240" w:lineRule="auto"/>
        <w:ind w:firstLine="640"/>
        <w:jc w:val="both"/>
      </w:pPr>
      <w:r>
        <w:rPr>
          <w:rFonts w:ascii="仿宋_GB2312" w:hAnsi="仿宋_GB2312" w:eastAsia="仿宋_GB2312"/>
          <w:b w:val="0"/>
          <w:sz w:val="32"/>
        </w:rPr>
        <w:t>九、《财政拨款“三公”经费支出决算表》</w:t>
      </w:r>
    </w:p>
    <w:p w14:paraId="518DFEF3">
      <w:pPr>
        <w:spacing w:line="240" w:lineRule="auto"/>
        <w:ind w:firstLine="640"/>
        <w:jc w:val="both"/>
      </w:pPr>
    </w:p>
    <w:p w14:paraId="79211863">
      <w:pPr>
        <w:spacing w:line="240" w:lineRule="auto"/>
        <w:ind w:firstLine="640"/>
        <w:jc w:val="both"/>
      </w:pPr>
    </w:p>
    <w:p w14:paraId="125C432E">
      <w:pPr>
        <w:spacing w:line="240" w:lineRule="auto"/>
        <w:ind w:firstLine="640"/>
        <w:jc w:val="both"/>
      </w:pPr>
    </w:p>
    <w:p w14:paraId="5A6D2A0C">
      <w:pPr>
        <w:spacing w:line="240" w:lineRule="auto"/>
        <w:ind w:firstLine="640"/>
        <w:jc w:val="both"/>
      </w:pPr>
    </w:p>
    <w:p w14:paraId="77F713F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1F77FD3"/>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D85188"/>
    <w:rsid w:val="4F3F074E"/>
    <w:rsid w:val="50DB5F45"/>
    <w:rsid w:val="52F92565"/>
    <w:rsid w:val="543D17CB"/>
    <w:rsid w:val="55DA564E"/>
    <w:rsid w:val="56E07045"/>
    <w:rsid w:val="56FA4604"/>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6243</Words>
  <Characters>7110</Characters>
  <Lines>0</Lines>
  <Paragraphs>0</Paragraphs>
  <TotalTime>7</TotalTime>
  <ScaleCrop>false</ScaleCrop>
  <LinksUpToDate>false</LinksUpToDate>
  <CharactersWithSpaces>7118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2025-09-16T03:52:15Z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