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DACF2E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疏附县第二小学2024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0F416647">
      <w:r>
        <w:br w:type="page"/>
      </w:r>
    </w:p>
    <w:p w14:paraId="61D767DA">
      <w:pPr>
        <w:spacing w:line="640" w:lineRule="exact"/>
        <w:jc w:val="center"/>
        <w:outlineLvl w:val="1"/>
      </w:pPr>
      <w:r>
        <w:rPr>
          <w:rFonts w:ascii="黑体" w:hAnsi="黑体" w:eastAsia="黑体"/>
          <w:sz w:val="32"/>
        </w:rPr>
        <w:t>第一部分 单位概况</w:t>
      </w:r>
    </w:p>
    <w:p w14:paraId="0C78B840">
      <w:pPr>
        <w:spacing w:line="640" w:lineRule="exact"/>
        <w:ind w:firstLine="640"/>
        <w:jc w:val="both"/>
        <w:outlineLvl w:val="2"/>
      </w:pPr>
      <w:r>
        <w:rPr>
          <w:rFonts w:ascii="黑体" w:hAnsi="黑体" w:eastAsia="黑体"/>
          <w:sz w:val="32"/>
        </w:rPr>
        <w:t>一、主要职能</w:t>
      </w:r>
    </w:p>
    <w:p w14:paraId="57123E58">
      <w:pPr>
        <w:spacing w:line="580" w:lineRule="exact"/>
        <w:ind w:firstLine="640"/>
        <w:jc w:val="both"/>
      </w:pPr>
      <w:r>
        <w:rPr>
          <w:rFonts w:ascii="仿宋_GB2312" w:hAnsi="仿宋_GB2312" w:eastAsia="仿宋_GB2312"/>
          <w:sz w:val="32"/>
        </w:rPr>
        <w:t>（1）贯彻落实国家教育工作的方针、政策和法律、法规，拟定全县教育改革与发展战略、方针、政策和规划，并组织实施。</w:t>
      </w:r>
    </w:p>
    <w:p w14:paraId="4BB8F352">
      <w:pPr>
        <w:spacing w:line="580" w:lineRule="exact"/>
        <w:ind w:firstLine="640"/>
        <w:jc w:val="both"/>
      </w:pPr>
      <w:r>
        <w:rPr>
          <w:rFonts w:ascii="仿宋_GB2312" w:hAnsi="仿宋_GB2312" w:eastAsia="仿宋_GB2312"/>
          <w:sz w:val="32"/>
        </w:rPr>
        <w:t>（2）负责各级各类教育的统筹规划和协调管理，会同有关部门制定各级各类学校的设置标准，指导各级各类学校的教育教学改革，负责教育基本信息的统计、分析和发布。</w:t>
      </w:r>
    </w:p>
    <w:p w14:paraId="13C37EF0">
      <w:pPr>
        <w:spacing w:line="580" w:lineRule="exact"/>
        <w:ind w:firstLine="640"/>
        <w:jc w:val="both"/>
      </w:pPr>
      <w:r>
        <w:rPr>
          <w:rFonts w:ascii="仿宋_GB2312" w:hAnsi="仿宋_GB2312" w:eastAsia="仿宋_GB2312"/>
          <w:sz w:val="32"/>
        </w:rPr>
        <w:t>（3）负责推进义务教育均衡发展和促进教育公平，负责义务教育的宏观指导和协调；指导普通高中教育、幼儿教育和特殊教育工作。落实基础教育教学基本要求和教学基本文件，组织、参与基础教育地方教材的审定，全面实施素质教育。</w:t>
      </w:r>
    </w:p>
    <w:p w14:paraId="64CEA470">
      <w:pPr>
        <w:spacing w:line="580" w:lineRule="exact"/>
        <w:ind w:firstLine="640"/>
        <w:jc w:val="both"/>
      </w:pPr>
      <w:r>
        <w:rPr>
          <w:rFonts w:ascii="仿宋_GB2312" w:hAnsi="仿宋_GB2312" w:eastAsia="仿宋_GB2312"/>
          <w:sz w:val="32"/>
        </w:rPr>
        <w:t>（4）指导以就业为导向的职业教育的发展与改革，落实教学指导文件和教学评估标准，指导中等职业教育教材建设和职业指导工作。</w:t>
      </w:r>
    </w:p>
    <w:p w14:paraId="3D9C6326">
      <w:pPr>
        <w:spacing w:line="580" w:lineRule="exact"/>
        <w:ind w:firstLine="640"/>
        <w:jc w:val="both"/>
      </w:pPr>
      <w:r>
        <w:rPr>
          <w:rFonts w:ascii="仿宋_GB2312" w:hAnsi="仿宋_GB2312" w:eastAsia="仿宋_GB2312"/>
          <w:sz w:val="32"/>
        </w:rPr>
        <w:t>（5）统筹指导全县基础教育、普通高中教育、职业技术教育等工作；指导、协调各学校有关教育工作；组织对普及九年义务教育的督导与评估。</w:t>
      </w:r>
    </w:p>
    <w:p w14:paraId="6EE71FA9">
      <w:pPr>
        <w:spacing w:line="580" w:lineRule="exact"/>
        <w:ind w:firstLine="640"/>
        <w:jc w:val="both"/>
      </w:pPr>
      <w:r>
        <w:rPr>
          <w:rFonts w:ascii="仿宋_GB2312" w:hAnsi="仿宋_GB2312" w:eastAsia="仿宋_GB2312"/>
          <w:sz w:val="32"/>
        </w:rPr>
        <w:t>（6）统筹管理本部门教育经费；参与拟订全县教育经费筹措、教育拨款、教育基建投资的政策性措施；负责统计和监测全县教育经费的投入和使用情况；指导、管理全县资助经济困难学生和助学贷款工作；指导和组织实施教育系统内部审计工作。</w:t>
      </w:r>
    </w:p>
    <w:p w14:paraId="63072102">
      <w:pPr>
        <w:spacing w:line="580" w:lineRule="exact"/>
        <w:ind w:firstLine="640"/>
        <w:jc w:val="both"/>
      </w:pPr>
      <w:r>
        <w:rPr>
          <w:rFonts w:ascii="仿宋_GB2312" w:hAnsi="仿宋_GB2312" w:eastAsia="仿宋_GB2312"/>
          <w:sz w:val="32"/>
        </w:rPr>
        <w:t>（7）统筹和指导少数民族教育工作，协调对少数民族地区和贫困地区的教育援助。</w:t>
      </w:r>
    </w:p>
    <w:p w14:paraId="2E4D676F">
      <w:pPr>
        <w:spacing w:line="580" w:lineRule="exact"/>
        <w:ind w:firstLine="640"/>
        <w:jc w:val="both"/>
      </w:pPr>
      <w:r>
        <w:rPr>
          <w:rFonts w:ascii="仿宋_GB2312" w:hAnsi="仿宋_GB2312" w:eastAsia="仿宋_GB2312"/>
          <w:sz w:val="32"/>
        </w:rPr>
        <w:t>（8）指导各级各类学校的思想政治工作、德育工作、体育卫生、艺术教育和国防教育工作，指导和协调教育系统的稳固工作。</w:t>
      </w:r>
    </w:p>
    <w:p w14:paraId="5B2E796C">
      <w:pPr>
        <w:spacing w:line="580" w:lineRule="exact"/>
        <w:ind w:firstLine="640"/>
        <w:jc w:val="both"/>
      </w:pPr>
      <w:r>
        <w:rPr>
          <w:rFonts w:ascii="仿宋_GB2312" w:hAnsi="仿宋_GB2312" w:eastAsia="仿宋_GB2312"/>
          <w:sz w:val="32"/>
        </w:rPr>
        <w:t>（9）依据《</w:t>
      </w:r>
      <w:r>
        <w:rPr>
          <w:rFonts w:hint="eastAsia" w:ascii="仿宋_GB2312" w:hAnsi="仿宋_GB2312" w:eastAsia="仿宋_GB2312"/>
          <w:sz w:val="32"/>
          <w:lang w:eastAsia="zh-CN"/>
        </w:rPr>
        <w:t>中华人民共和国教师法</w:t>
      </w:r>
      <w:r>
        <w:rPr>
          <w:rFonts w:ascii="仿宋_GB2312" w:hAnsi="仿宋_GB2312" w:eastAsia="仿宋_GB2312"/>
          <w:sz w:val="32"/>
        </w:rPr>
        <w:t>》规定，在职责范围内，主管全县教师工作；组织指导中小学教师的资格认定、招聘录用、职务评聘、培养培训、调配交流、档案管理和考核奖惩等工作；会同有关部门研究制定县内各级各类学校编制标准，并监督执行；指导教育系统人才队伍建设。</w:t>
      </w:r>
    </w:p>
    <w:p w14:paraId="019DCA46">
      <w:pPr>
        <w:spacing w:line="580" w:lineRule="exact"/>
        <w:ind w:firstLine="640"/>
        <w:jc w:val="both"/>
      </w:pPr>
      <w:r>
        <w:rPr>
          <w:rFonts w:ascii="仿宋_GB2312" w:hAnsi="仿宋_GB2312" w:eastAsia="仿宋_GB2312"/>
          <w:sz w:val="32"/>
        </w:rPr>
        <w:t>（10）统筹管理各类高等、中等学历教育的招生考试工作；负责高校毕业生和中专毕业生的就业指导工作；参与高等学校、中等专业学校毕业生就业制度改革，指导高等学校、中等专业学校毕业生就业创业工作。</w:t>
      </w:r>
    </w:p>
    <w:p w14:paraId="78D292B5">
      <w:pPr>
        <w:spacing w:line="580" w:lineRule="exact"/>
        <w:ind w:firstLine="640"/>
        <w:jc w:val="both"/>
      </w:pPr>
      <w:r>
        <w:rPr>
          <w:rFonts w:ascii="仿宋_GB2312" w:hAnsi="仿宋_GB2312" w:eastAsia="仿宋_GB2312"/>
          <w:sz w:val="32"/>
        </w:rPr>
        <w:t>（11）协助组织教育方面的国际交流与合作，协助管理出国留学、来怀留学、中外合作办学。</w:t>
      </w:r>
    </w:p>
    <w:p w14:paraId="01014159">
      <w:pPr>
        <w:spacing w:line="580" w:lineRule="exact"/>
        <w:ind w:firstLine="640"/>
        <w:jc w:val="both"/>
      </w:pPr>
      <w:r>
        <w:rPr>
          <w:rFonts w:ascii="仿宋_GB2312" w:hAnsi="仿宋_GB2312" w:eastAsia="仿宋_GB2312"/>
          <w:sz w:val="32"/>
        </w:rPr>
        <w:t>（12）组织、指导全县教育督导工作。</w:t>
      </w:r>
    </w:p>
    <w:p w14:paraId="46608AE9">
      <w:pPr>
        <w:spacing w:line="580" w:lineRule="exact"/>
        <w:ind w:firstLine="640"/>
        <w:jc w:val="both"/>
      </w:pPr>
      <w:r>
        <w:rPr>
          <w:rFonts w:ascii="仿宋_GB2312" w:hAnsi="仿宋_GB2312" w:eastAsia="仿宋_GB2312"/>
          <w:sz w:val="32"/>
        </w:rPr>
        <w:t>（13）统筹管理全县语言文字工作，制定全县语言文字规划并组织实施，指导推广普通话和规范字及普通话师资培训工作。</w:t>
      </w:r>
    </w:p>
    <w:p w14:paraId="03AD7F04">
      <w:pPr>
        <w:spacing w:line="580" w:lineRule="exact"/>
        <w:ind w:firstLine="640"/>
        <w:jc w:val="both"/>
      </w:pPr>
      <w:r>
        <w:rPr>
          <w:rFonts w:ascii="仿宋_GB2312" w:hAnsi="仿宋_GB2312" w:eastAsia="仿宋_GB2312"/>
          <w:sz w:val="32"/>
        </w:rPr>
        <w:t>（14）协助县委组织部考察和管理学校领导班子和领导干部。</w:t>
      </w:r>
    </w:p>
    <w:p w14:paraId="1EE64419">
      <w:pPr>
        <w:spacing w:line="580" w:lineRule="exact"/>
        <w:ind w:firstLine="640"/>
        <w:jc w:val="both"/>
      </w:pPr>
      <w:r>
        <w:rPr>
          <w:rFonts w:ascii="仿宋_GB2312" w:hAnsi="仿宋_GB2312" w:eastAsia="仿宋_GB2312"/>
          <w:sz w:val="32"/>
        </w:rPr>
        <w:t>（15）承办县人民政府交办的其他事项。</w:t>
      </w:r>
    </w:p>
    <w:p w14:paraId="74041D08">
      <w:pPr>
        <w:spacing w:line="640" w:lineRule="exact"/>
        <w:ind w:firstLine="640"/>
        <w:jc w:val="both"/>
        <w:outlineLvl w:val="2"/>
      </w:pPr>
      <w:r>
        <w:rPr>
          <w:rFonts w:ascii="黑体" w:hAnsi="黑体" w:eastAsia="黑体"/>
          <w:sz w:val="32"/>
        </w:rPr>
        <w:t>二、机构设置及人员情况</w:t>
      </w:r>
    </w:p>
    <w:p w14:paraId="60722F6B">
      <w:pPr>
        <w:spacing w:line="580" w:lineRule="exact"/>
        <w:ind w:firstLine="640"/>
        <w:jc w:val="both"/>
      </w:pPr>
      <w:r>
        <w:rPr>
          <w:rFonts w:ascii="仿宋_GB2312" w:hAnsi="仿宋_GB2312" w:eastAsia="仿宋_GB2312"/>
          <w:sz w:val="32"/>
        </w:rPr>
        <w:t>疏附县第二小学2024年度，实有人数94人，其中：在职人员81人，增加10人；离休人员0人，增加0人；退休人员13人</w:t>
      </w:r>
      <w:r>
        <w:rPr>
          <w:rFonts w:hint="eastAsia" w:ascii="仿宋_GB2312" w:hAnsi="仿宋_GB2312" w:eastAsia="仿宋_GB2312"/>
          <w:sz w:val="32"/>
          <w:lang w:eastAsia="zh-CN"/>
        </w:rPr>
        <w:t>，</w:t>
      </w:r>
      <w:r>
        <w:rPr>
          <w:rFonts w:ascii="仿宋_GB2312" w:hAnsi="仿宋_GB2312" w:eastAsia="仿宋_GB2312"/>
          <w:sz w:val="32"/>
        </w:rPr>
        <w:t>增加1人。</w:t>
      </w:r>
    </w:p>
    <w:p w14:paraId="0C2D8097">
      <w:pPr>
        <w:spacing w:line="580" w:lineRule="exact"/>
        <w:ind w:firstLine="640"/>
        <w:jc w:val="both"/>
      </w:pPr>
      <w:r>
        <w:rPr>
          <w:rFonts w:ascii="仿宋_GB2312" w:hAnsi="仿宋_GB2312" w:eastAsia="仿宋_GB2312"/>
          <w:sz w:val="32"/>
        </w:rPr>
        <w:t>疏附县第二小学无下属预算单位，下设7个科室，分别是：德育办、教务办、党建办、后勤办、综治办、校研室、行政办公室。</w:t>
      </w:r>
    </w:p>
    <w:p w14:paraId="6B44F0CF">
      <w:r>
        <w:br w:type="page"/>
      </w:r>
    </w:p>
    <w:p w14:paraId="4F2519A1">
      <w:pPr>
        <w:spacing w:line="240" w:lineRule="auto"/>
        <w:jc w:val="center"/>
        <w:outlineLvl w:val="1"/>
      </w:pPr>
      <w:r>
        <w:rPr>
          <w:rFonts w:ascii="黑体" w:hAnsi="黑体" w:eastAsia="黑体"/>
          <w:sz w:val="32"/>
        </w:rPr>
        <w:t>第二部分 部门决算情况说明</w:t>
      </w:r>
    </w:p>
    <w:p w14:paraId="0D88FC14">
      <w:pPr>
        <w:spacing w:line="640" w:lineRule="exact"/>
        <w:ind w:firstLine="640"/>
        <w:jc w:val="both"/>
        <w:outlineLvl w:val="2"/>
      </w:pPr>
      <w:r>
        <w:rPr>
          <w:rFonts w:ascii="黑体" w:hAnsi="黑体" w:eastAsia="黑体"/>
          <w:sz w:val="32"/>
        </w:rPr>
        <w:t>一、收入支出决算总体情况说明</w:t>
      </w:r>
    </w:p>
    <w:p w14:paraId="3CC1984A">
      <w:pPr>
        <w:spacing w:line="580" w:lineRule="exact"/>
        <w:ind w:firstLine="640"/>
        <w:jc w:val="both"/>
      </w:pPr>
      <w:r>
        <w:rPr>
          <w:rFonts w:ascii="仿宋_GB2312" w:hAnsi="仿宋_GB2312" w:eastAsia="仿宋_GB2312"/>
          <w:b/>
          <w:sz w:val="32"/>
        </w:rPr>
        <w:t>2024年度收入总计1,610.91万元，</w:t>
      </w:r>
      <w:r>
        <w:rPr>
          <w:rFonts w:ascii="仿宋_GB2312" w:hAnsi="仿宋_GB2312" w:eastAsia="仿宋_GB2312"/>
          <w:b w:val="0"/>
          <w:sz w:val="32"/>
        </w:rPr>
        <w:t>其中：本年收入合计1,610.91万元，使用非财政拨款结余（含专用结余）0.00万元，年初结转和结余0.00万元。</w:t>
      </w:r>
    </w:p>
    <w:p w14:paraId="136F332E">
      <w:pPr>
        <w:spacing w:line="580" w:lineRule="exact"/>
        <w:ind w:firstLine="640"/>
        <w:jc w:val="both"/>
      </w:pPr>
      <w:r>
        <w:rPr>
          <w:rFonts w:ascii="仿宋_GB2312" w:hAnsi="仿宋_GB2312" w:eastAsia="仿宋_GB2312"/>
          <w:b/>
          <w:sz w:val="32"/>
        </w:rPr>
        <w:t>2024年度支出总计1,610.91万元，</w:t>
      </w:r>
      <w:r>
        <w:rPr>
          <w:rFonts w:ascii="仿宋_GB2312" w:hAnsi="仿宋_GB2312" w:eastAsia="仿宋_GB2312"/>
          <w:b w:val="0"/>
          <w:sz w:val="32"/>
        </w:rPr>
        <w:t>其中：本年支出合计1,610.91万元，结余分配0.00万元，年末结转和结余0.00万元。</w:t>
      </w:r>
    </w:p>
    <w:p w14:paraId="73AE16D9">
      <w:pPr>
        <w:spacing w:line="580" w:lineRule="exact"/>
        <w:ind w:firstLine="640"/>
        <w:jc w:val="both"/>
      </w:pPr>
      <w:r>
        <w:rPr>
          <w:rFonts w:ascii="仿宋_GB2312" w:hAnsi="仿宋_GB2312" w:eastAsia="仿宋_GB2312"/>
          <w:b w:val="0"/>
          <w:sz w:val="32"/>
        </w:rPr>
        <w:t>收入支出总体与上年相比，减少387.79万元，下降19.40%，主要原因是：本年因取消学生食堂，营养餐项目、寄宿生伙食费等项目资金减少，导致支出较上年减少。</w:t>
      </w:r>
    </w:p>
    <w:p w14:paraId="3642E543">
      <w:pPr>
        <w:spacing w:line="640" w:lineRule="exact"/>
        <w:ind w:firstLine="640"/>
        <w:jc w:val="both"/>
        <w:outlineLvl w:val="2"/>
      </w:pPr>
      <w:r>
        <w:rPr>
          <w:rFonts w:ascii="黑体" w:hAnsi="黑体" w:eastAsia="黑体"/>
          <w:sz w:val="32"/>
        </w:rPr>
        <w:t>二、收入决算情况说明</w:t>
      </w:r>
    </w:p>
    <w:p w14:paraId="1CD8653C">
      <w:pPr>
        <w:spacing w:line="580" w:lineRule="exact"/>
        <w:ind w:firstLine="640"/>
        <w:jc w:val="both"/>
      </w:pPr>
      <w:r>
        <w:rPr>
          <w:rFonts w:ascii="仿宋_GB2312" w:hAnsi="仿宋_GB2312" w:eastAsia="仿宋_GB2312"/>
          <w:b/>
          <w:sz w:val="32"/>
        </w:rPr>
        <w:t>本年收入1,610.91万元，</w:t>
      </w:r>
      <w:r>
        <w:rPr>
          <w:rFonts w:ascii="仿宋_GB2312" w:hAnsi="仿宋_GB2312" w:eastAsia="仿宋_GB2312"/>
          <w:b w:val="0"/>
          <w:sz w:val="32"/>
        </w:rPr>
        <w:t>其中：财政拨款收入1,557.25万元，占96.67%；上级补助收入0.00万元，占0.00%；事业收入0.00万元，占0.00%；经营收入0.00万元，占0.00%；附属单位上缴收入0.00万元，占0.00%；其他收入53.67万元，占3.33%。</w:t>
      </w:r>
    </w:p>
    <w:p w14:paraId="54C91B6E">
      <w:pPr>
        <w:spacing w:line="640" w:lineRule="exact"/>
        <w:ind w:firstLine="640"/>
        <w:jc w:val="both"/>
        <w:outlineLvl w:val="2"/>
      </w:pPr>
      <w:r>
        <w:rPr>
          <w:rFonts w:ascii="黑体" w:hAnsi="黑体" w:eastAsia="黑体"/>
          <w:sz w:val="32"/>
        </w:rPr>
        <w:t>三、支出决算情况说明</w:t>
      </w:r>
    </w:p>
    <w:p w14:paraId="52D68878">
      <w:pPr>
        <w:spacing w:line="580" w:lineRule="exact"/>
        <w:ind w:firstLine="640"/>
        <w:jc w:val="both"/>
      </w:pPr>
      <w:r>
        <w:rPr>
          <w:rFonts w:ascii="仿宋_GB2312" w:hAnsi="仿宋_GB2312" w:eastAsia="仿宋_GB2312"/>
          <w:b/>
          <w:sz w:val="32"/>
        </w:rPr>
        <w:t>本年支出1,610.91万元，</w:t>
      </w:r>
      <w:r>
        <w:rPr>
          <w:rFonts w:ascii="仿宋_GB2312" w:hAnsi="仿宋_GB2312" w:eastAsia="仿宋_GB2312"/>
          <w:b w:val="0"/>
          <w:sz w:val="32"/>
        </w:rPr>
        <w:t>其中：基本支出1,291.93万元，占80.20%；项目支出318.99万元，占19.80%；上缴上级支出0.00万元，占0.00%；经营支出0.00万元，占0.00%；对附属单位补助支出0.00万元，占0.00%。</w:t>
      </w:r>
    </w:p>
    <w:p w14:paraId="23BA6DC4">
      <w:pPr>
        <w:spacing w:line="640" w:lineRule="exact"/>
        <w:ind w:firstLine="640"/>
        <w:jc w:val="both"/>
        <w:outlineLvl w:val="2"/>
      </w:pPr>
      <w:r>
        <w:rPr>
          <w:rFonts w:ascii="黑体" w:hAnsi="黑体" w:eastAsia="黑体"/>
          <w:sz w:val="32"/>
        </w:rPr>
        <w:t>四、财政拨款收入支出决算总体情况说明</w:t>
      </w:r>
    </w:p>
    <w:p w14:paraId="2F19008F">
      <w:pPr>
        <w:spacing w:line="580" w:lineRule="exact"/>
        <w:ind w:firstLine="640"/>
        <w:jc w:val="both"/>
      </w:pPr>
      <w:r>
        <w:rPr>
          <w:rFonts w:ascii="仿宋_GB2312" w:hAnsi="仿宋_GB2312" w:eastAsia="仿宋_GB2312"/>
          <w:b/>
          <w:sz w:val="32"/>
        </w:rPr>
        <w:t>2024年度财政拨款收入总计1,557.25万元，</w:t>
      </w:r>
      <w:r>
        <w:rPr>
          <w:rFonts w:ascii="仿宋_GB2312" w:hAnsi="仿宋_GB2312" w:eastAsia="仿宋_GB2312"/>
          <w:b w:val="0"/>
          <w:sz w:val="32"/>
        </w:rPr>
        <w:t>其中：年初财政拨款结转和结余0.00万元，本年财政拨款收入1,557.25万元。</w:t>
      </w:r>
      <w:r>
        <w:rPr>
          <w:rFonts w:ascii="仿宋_GB2312" w:hAnsi="仿宋_GB2312" w:eastAsia="仿宋_GB2312"/>
          <w:b/>
          <w:sz w:val="32"/>
        </w:rPr>
        <w:t>财政拨款支出总计1,557.25万元，</w:t>
      </w:r>
      <w:r>
        <w:rPr>
          <w:rFonts w:ascii="仿宋_GB2312" w:hAnsi="仿宋_GB2312" w:eastAsia="仿宋_GB2312"/>
          <w:b w:val="0"/>
          <w:sz w:val="32"/>
        </w:rPr>
        <w:t>其中：年末财政拨款结转和结余0.00万元，本年财政拨款支出1,557.25万元。</w:t>
      </w:r>
    </w:p>
    <w:p w14:paraId="43AC04F2">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减少440.95万元，下降22.07%，主要原因是：本年因取消学生食堂，营养餐项目、寄宿生伙食费等项目资金减少，导致支出较上年减少。</w:t>
      </w:r>
      <w:r>
        <w:rPr>
          <w:rFonts w:ascii="仿宋_GB2312" w:hAnsi="仿宋_GB2312" w:eastAsia="仿宋_GB2312"/>
          <w:b/>
          <w:sz w:val="32"/>
        </w:rPr>
        <w:t>与年初预算相比，</w:t>
      </w:r>
      <w:r>
        <w:rPr>
          <w:rFonts w:ascii="仿宋_GB2312" w:hAnsi="仿宋_GB2312" w:eastAsia="仿宋_GB2312"/>
          <w:b w:val="0"/>
          <w:sz w:val="32"/>
        </w:rPr>
        <w:t>年初预算数1,953.89万元，决算数1,557.25万元，预决算差异率-20.30%，主要原因是：本年年中调减营养餐项目、寄宿生伙食费等项目资金，导致预决算存在差异。</w:t>
      </w:r>
    </w:p>
    <w:p w14:paraId="2FF9167F">
      <w:pPr>
        <w:spacing w:line="640" w:lineRule="exact"/>
        <w:ind w:firstLine="640"/>
        <w:jc w:val="both"/>
        <w:outlineLvl w:val="2"/>
      </w:pPr>
      <w:r>
        <w:rPr>
          <w:rFonts w:ascii="黑体" w:hAnsi="黑体" w:eastAsia="黑体"/>
          <w:sz w:val="32"/>
        </w:rPr>
        <w:t>五、一般公共预算财政拨款支出决算情况说明</w:t>
      </w:r>
    </w:p>
    <w:p w14:paraId="0F6798BE">
      <w:pPr>
        <w:spacing w:line="640" w:lineRule="exact"/>
        <w:ind w:firstLine="640"/>
        <w:jc w:val="both"/>
        <w:outlineLvl w:val="3"/>
      </w:pPr>
      <w:r>
        <w:rPr>
          <w:rFonts w:ascii="楷体_GB2312" w:hAnsi="楷体_GB2312" w:eastAsia="楷体_GB2312"/>
          <w:b/>
          <w:sz w:val="32"/>
        </w:rPr>
        <w:t>（一）一般公共预算财政拨款支出决算总体情况</w:t>
      </w:r>
    </w:p>
    <w:p w14:paraId="485C3B7F">
      <w:pPr>
        <w:spacing w:line="580" w:lineRule="exact"/>
        <w:ind w:firstLine="640"/>
        <w:jc w:val="both"/>
      </w:pPr>
      <w:r>
        <w:rPr>
          <w:rFonts w:ascii="仿宋_GB2312" w:hAnsi="仿宋_GB2312" w:eastAsia="仿宋_GB2312"/>
          <w:b/>
          <w:sz w:val="32"/>
        </w:rPr>
        <w:t>2024年度一般公共预算财政拨款支出1,557.25万元，</w:t>
      </w:r>
      <w:r>
        <w:rPr>
          <w:rFonts w:ascii="仿宋_GB2312" w:hAnsi="仿宋_GB2312" w:eastAsia="仿宋_GB2312"/>
          <w:b w:val="0"/>
          <w:sz w:val="32"/>
        </w:rPr>
        <w:t>占本年支出合计的96.67%。</w:t>
      </w:r>
      <w:r>
        <w:rPr>
          <w:rFonts w:ascii="仿宋_GB2312" w:hAnsi="仿宋_GB2312" w:eastAsia="仿宋_GB2312"/>
          <w:b/>
          <w:sz w:val="32"/>
        </w:rPr>
        <w:t>与上年相比，</w:t>
      </w:r>
      <w:r>
        <w:rPr>
          <w:rFonts w:ascii="仿宋_GB2312" w:hAnsi="仿宋_GB2312" w:eastAsia="仿宋_GB2312"/>
          <w:b w:val="0"/>
          <w:sz w:val="32"/>
        </w:rPr>
        <w:t>减少440.95万元，下降22.07%，主要原因是：本年因取消学生食堂，营养餐项目、寄宿生伙食费等项目资金减少，导致支出较上年减少。</w:t>
      </w:r>
      <w:r>
        <w:rPr>
          <w:rFonts w:ascii="仿宋_GB2312" w:hAnsi="仿宋_GB2312" w:eastAsia="仿宋_GB2312"/>
          <w:b/>
          <w:sz w:val="32"/>
        </w:rPr>
        <w:t>与年初预算相比</w:t>
      </w:r>
      <w:r>
        <w:rPr>
          <w:rFonts w:hint="eastAsia" w:ascii="仿宋_GB2312" w:hAnsi="仿宋_GB2312" w:eastAsia="仿宋_GB2312"/>
          <w:b/>
          <w:sz w:val="32"/>
          <w:lang w:eastAsia="zh-CN"/>
        </w:rPr>
        <w:t>，</w:t>
      </w:r>
      <w:r>
        <w:rPr>
          <w:rFonts w:ascii="仿宋_GB2312" w:hAnsi="仿宋_GB2312" w:eastAsia="仿宋_GB2312"/>
          <w:b w:val="0"/>
          <w:sz w:val="32"/>
        </w:rPr>
        <w:t>年初预算数1,953.89万元，决算数1,557.25万元，预决算差异率-20.30%，主要原因是：本年年中调减营养餐项目、寄宿生伙食费等项目资金，导致预决算存在差异。</w:t>
      </w:r>
    </w:p>
    <w:p w14:paraId="4BE289DC">
      <w:pPr>
        <w:spacing w:line="640" w:lineRule="exact"/>
        <w:ind w:firstLine="640"/>
        <w:jc w:val="both"/>
        <w:outlineLvl w:val="3"/>
      </w:pPr>
      <w:r>
        <w:rPr>
          <w:rFonts w:ascii="楷体_GB2312" w:hAnsi="楷体_GB2312" w:eastAsia="楷体_GB2312"/>
          <w:b/>
          <w:sz w:val="32"/>
        </w:rPr>
        <w:t>（二）一般公共预算财政拨款支出决算结构情况</w:t>
      </w:r>
    </w:p>
    <w:p w14:paraId="371DF2FE">
      <w:pPr>
        <w:spacing w:line="580" w:lineRule="exact"/>
        <w:ind w:firstLine="640"/>
        <w:jc w:val="both"/>
      </w:pPr>
      <w:r>
        <w:rPr>
          <w:rFonts w:ascii="仿宋_GB2312" w:hAnsi="仿宋_GB2312" w:eastAsia="仿宋_GB2312"/>
          <w:b w:val="0"/>
          <w:sz w:val="32"/>
        </w:rPr>
        <w:t>1.教育支出(类)1,557.25万元</w:t>
      </w:r>
      <w:r>
        <w:rPr>
          <w:rFonts w:hint="eastAsia" w:ascii="仿宋_GB2312" w:hAnsi="仿宋_GB2312" w:eastAsia="仿宋_GB2312"/>
          <w:b w:val="0"/>
          <w:sz w:val="32"/>
          <w:lang w:eastAsia="zh-CN"/>
        </w:rPr>
        <w:t>，</w:t>
      </w:r>
      <w:r>
        <w:rPr>
          <w:rFonts w:ascii="仿宋_GB2312" w:hAnsi="仿宋_GB2312" w:eastAsia="仿宋_GB2312"/>
          <w:b w:val="0"/>
          <w:sz w:val="32"/>
        </w:rPr>
        <w:t>占100.00%。</w:t>
      </w:r>
    </w:p>
    <w:p w14:paraId="5AF239C7">
      <w:pPr>
        <w:spacing w:line="640" w:lineRule="exact"/>
        <w:ind w:firstLine="640"/>
        <w:jc w:val="both"/>
        <w:outlineLvl w:val="3"/>
      </w:pPr>
      <w:r>
        <w:rPr>
          <w:rFonts w:ascii="楷体_GB2312" w:hAnsi="楷体_GB2312" w:eastAsia="楷体_GB2312"/>
          <w:b/>
          <w:sz w:val="32"/>
        </w:rPr>
        <w:t>（三）一般公共预算财政拨款支出决算具体情况</w:t>
      </w:r>
    </w:p>
    <w:p w14:paraId="0E5707DA">
      <w:pPr>
        <w:spacing w:line="580" w:lineRule="exact"/>
        <w:ind w:firstLine="640"/>
        <w:jc w:val="both"/>
      </w:pPr>
      <w:r>
        <w:rPr>
          <w:rFonts w:ascii="仿宋_GB2312" w:hAnsi="仿宋_GB2312" w:eastAsia="仿宋_GB2312"/>
          <w:b w:val="0"/>
          <w:sz w:val="32"/>
        </w:rPr>
        <w:t>1.教育支出(类)普通教育(款)小学教育(项)</w:t>
      </w:r>
      <w:r>
        <w:rPr>
          <w:rFonts w:hint="eastAsia" w:ascii="仿宋_GB2312" w:hAnsi="仿宋_GB2312" w:eastAsia="仿宋_GB2312"/>
          <w:b w:val="0"/>
          <w:sz w:val="32"/>
          <w:lang w:eastAsia="zh-CN"/>
        </w:rPr>
        <w:t>：</w:t>
      </w:r>
      <w:r>
        <w:rPr>
          <w:rFonts w:ascii="仿宋_GB2312" w:hAnsi="仿宋_GB2312" w:eastAsia="仿宋_GB2312"/>
          <w:b w:val="0"/>
          <w:sz w:val="32"/>
        </w:rPr>
        <w:t>支出决算数为1,550.16万元，比上年决算减少294.69万元，下降15.97%</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主要原因是：本年因取消学生食堂，营养餐项目、寄宿生伙食费等项目资金减少，导致支出较上年减少。</w:t>
      </w:r>
    </w:p>
    <w:p w14:paraId="32FFC830">
      <w:pPr>
        <w:spacing w:line="580" w:lineRule="exact"/>
        <w:ind w:firstLine="640"/>
        <w:jc w:val="both"/>
      </w:pPr>
      <w:r>
        <w:rPr>
          <w:rFonts w:ascii="仿宋_GB2312" w:hAnsi="仿宋_GB2312" w:eastAsia="仿宋_GB2312"/>
          <w:b w:val="0"/>
          <w:sz w:val="32"/>
        </w:rPr>
        <w:t>2.教育支出(类)普通教育(款)其他普通教育支出(项)</w:t>
      </w:r>
      <w:r>
        <w:rPr>
          <w:rFonts w:hint="eastAsia" w:ascii="仿宋_GB2312" w:hAnsi="仿宋_GB2312" w:eastAsia="仿宋_GB2312"/>
          <w:b w:val="0"/>
          <w:sz w:val="32"/>
          <w:lang w:eastAsia="zh-CN"/>
        </w:rPr>
        <w:t>：</w:t>
      </w:r>
      <w:r>
        <w:rPr>
          <w:rFonts w:ascii="仿宋_GB2312" w:hAnsi="仿宋_GB2312" w:eastAsia="仿宋_GB2312"/>
          <w:b w:val="0"/>
          <w:sz w:val="32"/>
        </w:rPr>
        <w:t>支出决算数为0.00万元，比上年决算减少121.52万元，下降100.00%</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主要原因是：本年功能科目进行调整，中小学食堂厨师劳务费</w:t>
      </w:r>
      <w:r>
        <w:rPr>
          <w:rFonts w:hint="eastAsia" w:ascii="仿宋_GB2312" w:hAnsi="仿宋_GB2312" w:eastAsia="仿宋_GB2312"/>
          <w:b w:val="0"/>
          <w:sz w:val="32"/>
          <w:lang w:eastAsia="zh-CN"/>
        </w:rPr>
        <w:t>－</w:t>
      </w:r>
      <w:r>
        <w:rPr>
          <w:rFonts w:ascii="仿宋_GB2312" w:hAnsi="仿宋_GB2312" w:eastAsia="仿宋_GB2312"/>
          <w:b w:val="0"/>
          <w:sz w:val="32"/>
        </w:rPr>
        <w:t>义务教育、学生营养改善计划资金等项目上年在本科目列支，本年调整至小学教育科目列支，相应支出减少。</w:t>
      </w:r>
    </w:p>
    <w:p w14:paraId="72C96EA1">
      <w:pPr>
        <w:spacing w:line="580" w:lineRule="exact"/>
        <w:ind w:firstLine="640"/>
        <w:jc w:val="both"/>
      </w:pPr>
      <w:r>
        <w:rPr>
          <w:rFonts w:ascii="仿宋_GB2312" w:hAnsi="仿宋_GB2312" w:eastAsia="仿宋_GB2312"/>
          <w:b w:val="0"/>
          <w:sz w:val="32"/>
        </w:rPr>
        <w:t>3.教育支出(类)其他教育支出(款)其他教育支出(项)</w:t>
      </w:r>
      <w:r>
        <w:rPr>
          <w:rFonts w:hint="eastAsia" w:ascii="仿宋_GB2312" w:hAnsi="仿宋_GB2312" w:eastAsia="仿宋_GB2312"/>
          <w:b w:val="0"/>
          <w:sz w:val="32"/>
          <w:lang w:eastAsia="zh-CN"/>
        </w:rPr>
        <w:t>：</w:t>
      </w:r>
      <w:r>
        <w:rPr>
          <w:rFonts w:ascii="仿宋_GB2312" w:hAnsi="仿宋_GB2312" w:eastAsia="仿宋_GB2312"/>
          <w:b w:val="0"/>
          <w:sz w:val="32"/>
        </w:rPr>
        <w:t>支出决算数为7.09万元，比上年决算减少24.74万元，下降77.73%</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主要原因是：本年功能科目进行调整，班主任费、保安工资等项目经费上年在本科目列支，本年调整至小学教育科目列支，相应支出减少。</w:t>
      </w:r>
    </w:p>
    <w:p w14:paraId="6B8613CF">
      <w:pPr>
        <w:spacing w:line="640" w:lineRule="exact"/>
        <w:ind w:firstLine="640"/>
        <w:jc w:val="both"/>
        <w:outlineLvl w:val="2"/>
      </w:pPr>
      <w:r>
        <w:rPr>
          <w:rFonts w:ascii="黑体" w:hAnsi="黑体" w:eastAsia="黑体"/>
          <w:sz w:val="32"/>
        </w:rPr>
        <w:t>六、一般公共预算财政拨款基本支出决算情况说明</w:t>
      </w:r>
    </w:p>
    <w:p w14:paraId="288A255D">
      <w:pPr>
        <w:spacing w:line="580" w:lineRule="exact"/>
        <w:ind w:firstLine="640"/>
        <w:jc w:val="both"/>
      </w:pPr>
      <w:r>
        <w:rPr>
          <w:rFonts w:ascii="仿宋_GB2312" w:hAnsi="仿宋_GB2312" w:eastAsia="仿宋_GB2312"/>
          <w:b w:val="0"/>
          <w:sz w:val="32"/>
        </w:rPr>
        <w:t>2024年度一般公共预算财政拨款基本支出1,291.93万元，其中：</w:t>
      </w:r>
      <w:r>
        <w:rPr>
          <w:rFonts w:ascii="仿宋_GB2312" w:hAnsi="仿宋_GB2312" w:eastAsia="仿宋_GB2312"/>
          <w:b/>
          <w:sz w:val="32"/>
        </w:rPr>
        <w:t>人员经费1,291.93万元，</w:t>
      </w:r>
      <w:r>
        <w:rPr>
          <w:rFonts w:ascii="仿宋_GB2312" w:hAnsi="仿宋_GB2312" w:eastAsia="仿宋_GB2312"/>
          <w:b w:val="0"/>
          <w:sz w:val="32"/>
        </w:rPr>
        <w:t>包括：基本工资、津贴补贴、奖金、绩效工资、机关事业单位基本养老保险缴费、职业年金缴费、职工基本医疗保险缴费、其他社会保障缴费、住房公积金、其他工资福利支出、退休费、抚恤金。</w:t>
      </w:r>
    </w:p>
    <w:p w14:paraId="33664F96">
      <w:pPr>
        <w:spacing w:line="580" w:lineRule="exact"/>
        <w:ind w:firstLine="640"/>
        <w:jc w:val="both"/>
      </w:pPr>
      <w:r>
        <w:rPr>
          <w:rFonts w:ascii="仿宋_GB2312" w:hAnsi="仿宋_GB2312" w:eastAsia="仿宋_GB2312"/>
          <w:b/>
          <w:sz w:val="32"/>
        </w:rPr>
        <w:t>公用经费0.00万元，</w:t>
      </w:r>
      <w:r>
        <w:rPr>
          <w:rFonts w:ascii="仿宋_GB2312" w:hAnsi="仿宋_GB2312" w:eastAsia="仿宋_GB2312"/>
          <w:b w:val="0"/>
          <w:sz w:val="32"/>
        </w:rPr>
        <w:t>包括：无公用经费。</w:t>
      </w:r>
    </w:p>
    <w:p w14:paraId="4B1EF59E">
      <w:pPr>
        <w:spacing w:line="640" w:lineRule="exact"/>
        <w:ind w:firstLine="640"/>
        <w:jc w:val="both"/>
        <w:outlineLvl w:val="2"/>
      </w:pPr>
      <w:r>
        <w:rPr>
          <w:rFonts w:ascii="黑体" w:hAnsi="黑体" w:eastAsia="黑体"/>
          <w:sz w:val="32"/>
        </w:rPr>
        <w:t>七、政府性基金预算财政拨款收入支出决算情况说明</w:t>
      </w:r>
    </w:p>
    <w:p w14:paraId="2C8CC30C">
      <w:pPr>
        <w:spacing w:line="580" w:lineRule="exact"/>
        <w:ind w:firstLine="640"/>
        <w:jc w:val="both"/>
      </w:pPr>
      <w:r>
        <w:rPr>
          <w:rFonts w:ascii="仿宋_GB2312" w:hAnsi="仿宋_GB2312" w:eastAsia="仿宋_GB2312"/>
          <w:b w:val="0"/>
          <w:sz w:val="32"/>
        </w:rPr>
        <w:t>本单位本年度无政府性基金预算财政拨款收入、支出及结转和</w:t>
      </w:r>
      <w:bookmarkStart w:id="0" w:name="_GoBack"/>
      <w:r>
        <w:rPr>
          <w:rFonts w:ascii="仿宋_GB2312" w:hAnsi="仿宋_GB2312" w:eastAsia="仿宋_GB2312"/>
          <w:b w:val="0"/>
          <w:sz w:val="32"/>
        </w:rPr>
        <w:t>结余</w:t>
      </w:r>
      <w:bookmarkEnd w:id="0"/>
      <w:r>
        <w:rPr>
          <w:rFonts w:ascii="仿宋_GB2312" w:hAnsi="仿宋_GB2312" w:eastAsia="仿宋_GB2312"/>
          <w:b w:val="0"/>
          <w:sz w:val="32"/>
        </w:rPr>
        <w:t>，政府性基金预算财政拨款收入支出决算表为空表。</w:t>
      </w:r>
    </w:p>
    <w:p w14:paraId="1179D3FE">
      <w:pPr>
        <w:spacing w:line="640" w:lineRule="exact"/>
        <w:ind w:firstLine="640"/>
        <w:jc w:val="both"/>
        <w:outlineLvl w:val="2"/>
      </w:pPr>
      <w:r>
        <w:rPr>
          <w:rFonts w:ascii="黑体" w:hAnsi="黑体" w:eastAsia="黑体"/>
          <w:sz w:val="32"/>
        </w:rPr>
        <w:t>八、国有资本经营预算财政拨款收入支出决算情况说明</w:t>
      </w:r>
    </w:p>
    <w:p w14:paraId="28B44551">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4CD11C9A">
      <w:pPr>
        <w:spacing w:line="640" w:lineRule="exact"/>
        <w:ind w:firstLine="640"/>
        <w:jc w:val="both"/>
        <w:outlineLvl w:val="2"/>
      </w:pPr>
      <w:r>
        <w:rPr>
          <w:rFonts w:ascii="黑体" w:hAnsi="黑体" w:eastAsia="黑体"/>
          <w:sz w:val="32"/>
        </w:rPr>
        <w:t>九、财政拨款“三公”经费支出决算情况说明</w:t>
      </w:r>
    </w:p>
    <w:p w14:paraId="6CB4D99E">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增加0.00万元，增长0.00%，主要原因是：2023年与2024年均未安排财政拨款“三公”经费支出。其中：因公出国（境）费支出0.00万元，占0.00%，比上年增加0.00万元，增长0.00%，主要原因是：2023年与2024年均未安排因公出国（境）费支出。公务用车购置及运行维护费支出0.00万元，占0.00%，比上年增加0.00万元，增长0.00%，主要原因是：2023年与2024年均未安排公务用车购置及运行维护费支出。公务接待费支出0.00万元，占0.00%，比上年增加0.00万元，增长0.00%，主要原因是：2023年与2024年均未安排公务接待费支出。</w:t>
      </w:r>
    </w:p>
    <w:p w14:paraId="4FCF160A">
      <w:pPr>
        <w:spacing w:line="580" w:lineRule="exact"/>
        <w:ind w:firstLine="640"/>
        <w:jc w:val="both"/>
      </w:pPr>
      <w:r>
        <w:rPr>
          <w:rFonts w:ascii="仿宋_GB2312" w:hAnsi="仿宋_GB2312" w:eastAsia="仿宋_GB2312"/>
          <w:b/>
          <w:sz w:val="32"/>
        </w:rPr>
        <w:t>具体情况如下：</w:t>
      </w:r>
    </w:p>
    <w:p w14:paraId="6DD163F3">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06AACDD0">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单位无公务用车运行维护费。公务用车购置数0辆，公务用车保有量0辆。国有资产占用情况中固定资产车辆0辆，与公务用车保有量差异原因是：本单位无固定资产车辆。</w:t>
      </w:r>
    </w:p>
    <w:p w14:paraId="7A56CB51">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0C443D78">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单位无财政拨款“三公”经费支出。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0.00万元，决算数0.00万元，预决算差异率0.00%，主要原因是：本单位无公务用车运行维护费。公务接待费全年预算数0.00万元，决算数0.00万元，预决算差异率0.00%，主要原因是：本单位无公务接待费。</w:t>
      </w:r>
    </w:p>
    <w:p w14:paraId="5F6BC726">
      <w:pPr>
        <w:spacing w:line="640" w:lineRule="exact"/>
        <w:ind w:firstLine="640"/>
        <w:jc w:val="both"/>
        <w:outlineLvl w:val="2"/>
      </w:pPr>
      <w:r>
        <w:rPr>
          <w:rFonts w:ascii="黑体" w:hAnsi="黑体" w:eastAsia="黑体"/>
          <w:sz w:val="32"/>
        </w:rPr>
        <w:t>十、其他重要事项的情况说明</w:t>
      </w:r>
    </w:p>
    <w:p w14:paraId="02CB5013">
      <w:pPr>
        <w:spacing w:line="640" w:lineRule="exact"/>
        <w:ind w:firstLine="640"/>
        <w:jc w:val="both"/>
        <w:outlineLvl w:val="3"/>
      </w:pPr>
      <w:r>
        <w:rPr>
          <w:rFonts w:ascii="楷体_GB2312" w:hAnsi="楷体_GB2312" w:eastAsia="楷体_GB2312"/>
          <w:b/>
          <w:sz w:val="32"/>
        </w:rPr>
        <w:t>（一）机关运行经费及公用经费支出情况</w:t>
      </w:r>
    </w:p>
    <w:p w14:paraId="6CC059EF">
      <w:pPr>
        <w:spacing w:line="580" w:lineRule="exact"/>
        <w:ind w:firstLine="640"/>
        <w:jc w:val="both"/>
      </w:pPr>
      <w:r>
        <w:rPr>
          <w:rFonts w:ascii="仿宋_GB2312" w:hAnsi="仿宋_GB2312" w:eastAsia="仿宋_GB2312"/>
          <w:b w:val="0"/>
          <w:sz w:val="32"/>
        </w:rPr>
        <w:t>2024年度疏附县第二小学（事业单位）公用经费支出0.00万元，比上年增加0.00万元，增长0.00%，主要原因是：2023年与2024年均未安排公用经费支出。</w:t>
      </w:r>
    </w:p>
    <w:p w14:paraId="1A0C1D10">
      <w:pPr>
        <w:spacing w:line="640" w:lineRule="exact"/>
        <w:ind w:firstLine="640"/>
        <w:jc w:val="both"/>
        <w:outlineLvl w:val="3"/>
      </w:pPr>
      <w:r>
        <w:rPr>
          <w:rFonts w:ascii="楷体_GB2312" w:hAnsi="楷体_GB2312" w:eastAsia="楷体_GB2312"/>
          <w:b/>
          <w:sz w:val="32"/>
        </w:rPr>
        <w:t>（二）政府采购情况</w:t>
      </w:r>
    </w:p>
    <w:p w14:paraId="0D361618">
      <w:pPr>
        <w:spacing w:line="580" w:lineRule="exact"/>
        <w:ind w:firstLine="640"/>
        <w:jc w:val="both"/>
      </w:pPr>
      <w:r>
        <w:rPr>
          <w:rFonts w:ascii="仿宋_GB2312" w:hAnsi="仿宋_GB2312" w:eastAsia="仿宋_GB2312"/>
          <w:b w:val="0"/>
          <w:sz w:val="32"/>
        </w:rPr>
        <w:t>2024年度政府采购支出总额2.70万元，其中：政府采购货物支出2.37万元、政府采购工程支出0.00万元、政府采购服务支出0.33万元。</w:t>
      </w:r>
    </w:p>
    <w:p w14:paraId="4341C026">
      <w:pPr>
        <w:spacing w:line="580" w:lineRule="exact"/>
        <w:ind w:firstLine="640"/>
        <w:jc w:val="both"/>
      </w:pPr>
      <w:r>
        <w:rPr>
          <w:rFonts w:ascii="仿宋_GB2312" w:hAnsi="仿宋_GB2312" w:eastAsia="仿宋_GB2312"/>
          <w:b w:val="0"/>
          <w:sz w:val="32"/>
        </w:rPr>
        <w:t>授予中小企业合同金额2.70万元，占政府采购支出总额的100.00%，其中：授予小微企业合同金额0.33万元，占政府采购支出总额的12.22%。</w:t>
      </w:r>
    </w:p>
    <w:p w14:paraId="41454A28">
      <w:pPr>
        <w:spacing w:line="640" w:lineRule="exact"/>
        <w:ind w:firstLine="640"/>
        <w:jc w:val="both"/>
        <w:outlineLvl w:val="3"/>
      </w:pPr>
      <w:r>
        <w:rPr>
          <w:rFonts w:ascii="楷体_GB2312" w:hAnsi="楷体_GB2312" w:eastAsia="楷体_GB2312"/>
          <w:b/>
          <w:sz w:val="32"/>
        </w:rPr>
        <w:t>（三）国有资产占用情况说明</w:t>
      </w:r>
    </w:p>
    <w:p w14:paraId="226F3E97">
      <w:pPr>
        <w:spacing w:line="580" w:lineRule="exact"/>
        <w:ind w:firstLine="640"/>
        <w:jc w:val="both"/>
      </w:pPr>
      <w:r>
        <w:rPr>
          <w:rFonts w:ascii="仿宋_GB2312" w:hAnsi="仿宋_GB2312" w:eastAsia="仿宋_GB2312"/>
          <w:b w:val="0"/>
          <w:sz w:val="32"/>
        </w:rPr>
        <w:t>截至2024年12月31日，房屋11,374.09平方米，价值1,574.45万元。车辆0辆，价值0.00万元，其中：副部（省）级及以上领导用车0辆、主要负责人用车0辆、机要通信用车0辆、应急保障用车0辆、执法执勤用车0辆、特种专业技术用车0辆、离退休干部服务用车0辆、其他用车0辆，其他用车主要是：本单位无其他用车。单价100万元（含）以上设备（不含车辆）0台（套）。</w:t>
      </w:r>
    </w:p>
    <w:p w14:paraId="3F0E6E70">
      <w:pPr>
        <w:spacing w:line="640" w:lineRule="exact"/>
        <w:ind w:firstLine="640"/>
        <w:jc w:val="both"/>
        <w:outlineLvl w:val="2"/>
      </w:pPr>
      <w:r>
        <w:rPr>
          <w:rFonts w:ascii="黑体" w:hAnsi="黑体" w:eastAsia="黑体"/>
          <w:sz w:val="32"/>
        </w:rPr>
        <w:t>十一、预算绩效的情况说明</w:t>
      </w:r>
    </w:p>
    <w:p w14:paraId="4D9542D7">
      <w:pPr>
        <w:spacing w:line="580" w:lineRule="exact"/>
        <w:ind w:firstLine="640"/>
        <w:jc w:val="both"/>
      </w:pPr>
      <w:r>
        <w:rPr>
          <w:rFonts w:ascii="仿宋_GB2312" w:hAnsi="仿宋_GB2312" w:eastAsia="仿宋_GB2312"/>
          <w:b w:val="0"/>
          <w:sz w:val="32"/>
        </w:rPr>
        <w:t>根据预算绩效管理要求，本单位预算绩效评价项目0个，全年预算数0.00万元，全年执行数0.00万元。预算绩效管理取得的成效：本单位无项目绩效自评表。发现的问题及原因：本单位无项目绩效自评表。下一步改进措施：本单位无项目绩效自评表。</w:t>
      </w:r>
    </w:p>
    <w:p w14:paraId="0104077A">
      <w:r>
        <w:br w:type="page"/>
      </w:r>
    </w:p>
    <w:p w14:paraId="6F40F347">
      <w:pPr>
        <w:spacing w:line="640" w:lineRule="exact"/>
        <w:ind w:firstLine="640"/>
        <w:jc w:val="both"/>
        <w:outlineLvl w:val="2"/>
      </w:pPr>
      <w:r>
        <w:rPr>
          <w:rFonts w:ascii="黑体" w:hAnsi="黑体" w:eastAsia="黑体"/>
          <w:sz w:val="32"/>
        </w:rPr>
        <w:t>十二、其他需说明的事项</w:t>
      </w:r>
    </w:p>
    <w:p w14:paraId="278C91D5">
      <w:pPr>
        <w:spacing w:line="580" w:lineRule="exact"/>
        <w:ind w:firstLine="640"/>
        <w:jc w:val="both"/>
      </w:pPr>
      <w:r>
        <w:rPr>
          <w:rFonts w:ascii="仿宋_GB2312" w:hAnsi="仿宋_GB2312" w:eastAsia="仿宋_GB2312"/>
          <w:b w:val="0"/>
          <w:sz w:val="32"/>
        </w:rPr>
        <w:t>本年度本单位整体绩效自评表由疏附县教育局编报并公开。</w:t>
      </w:r>
    </w:p>
    <w:p w14:paraId="3B754AFA">
      <w:r>
        <w:br w:type="page"/>
      </w:r>
    </w:p>
    <w:p w14:paraId="7B43840C">
      <w:pPr>
        <w:spacing w:line="240" w:lineRule="auto"/>
        <w:jc w:val="center"/>
        <w:outlineLvl w:val="1"/>
      </w:pPr>
      <w:r>
        <w:rPr>
          <w:rFonts w:ascii="黑体" w:hAnsi="黑体" w:eastAsia="黑体"/>
          <w:sz w:val="32"/>
        </w:rPr>
        <w:t>第三部分 专业名词解释</w:t>
      </w:r>
    </w:p>
    <w:p w14:paraId="526FA0B8">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19C608BE">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5109E9CA">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76D904FB">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2B0B0034">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56535D52">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3CD8826F">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3243FD71">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38066A0A">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752615F8">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45E2FDEF">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6B8E379B">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5F97935A">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1CA91392">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4D92DA89">
      <w:r>
        <w:br w:type="page"/>
      </w:r>
    </w:p>
    <w:p w14:paraId="6071BCCA">
      <w:pPr>
        <w:spacing w:line="240" w:lineRule="auto"/>
        <w:jc w:val="center"/>
        <w:outlineLvl w:val="1"/>
      </w:pPr>
      <w:r>
        <w:rPr>
          <w:rFonts w:ascii="黑体" w:hAnsi="黑体" w:eastAsia="黑体"/>
          <w:sz w:val="32"/>
        </w:rPr>
        <w:t>第四部分 部门决算报表（见附表）</w:t>
      </w:r>
    </w:p>
    <w:p w14:paraId="1096069F">
      <w:pPr>
        <w:spacing w:line="240" w:lineRule="auto"/>
        <w:ind w:firstLine="640"/>
        <w:jc w:val="both"/>
      </w:pPr>
      <w:r>
        <w:rPr>
          <w:rFonts w:ascii="仿宋_GB2312" w:hAnsi="仿宋_GB2312" w:eastAsia="仿宋_GB2312"/>
          <w:b w:val="0"/>
          <w:sz w:val="32"/>
        </w:rPr>
        <w:t>一、《收入支出决算总表》</w:t>
      </w:r>
    </w:p>
    <w:p w14:paraId="47B46121">
      <w:pPr>
        <w:spacing w:line="240" w:lineRule="auto"/>
        <w:ind w:firstLine="640"/>
        <w:jc w:val="both"/>
      </w:pPr>
      <w:r>
        <w:rPr>
          <w:rFonts w:ascii="仿宋_GB2312" w:hAnsi="仿宋_GB2312" w:eastAsia="仿宋_GB2312"/>
          <w:b w:val="0"/>
          <w:sz w:val="32"/>
        </w:rPr>
        <w:t>二、《收入决算表》</w:t>
      </w:r>
    </w:p>
    <w:p w14:paraId="54804C67">
      <w:pPr>
        <w:spacing w:line="240" w:lineRule="auto"/>
        <w:ind w:firstLine="640"/>
        <w:jc w:val="both"/>
      </w:pPr>
      <w:r>
        <w:rPr>
          <w:rFonts w:ascii="仿宋_GB2312" w:hAnsi="仿宋_GB2312" w:eastAsia="仿宋_GB2312"/>
          <w:b w:val="0"/>
          <w:sz w:val="32"/>
        </w:rPr>
        <w:t>三、《支出决算表》</w:t>
      </w:r>
    </w:p>
    <w:p w14:paraId="57F95677">
      <w:pPr>
        <w:spacing w:line="240" w:lineRule="auto"/>
        <w:ind w:firstLine="640"/>
        <w:jc w:val="both"/>
      </w:pPr>
      <w:r>
        <w:rPr>
          <w:rFonts w:ascii="仿宋_GB2312" w:hAnsi="仿宋_GB2312" w:eastAsia="仿宋_GB2312"/>
          <w:b w:val="0"/>
          <w:sz w:val="32"/>
        </w:rPr>
        <w:t>四、《财政拨款收入支出决算总表》</w:t>
      </w:r>
    </w:p>
    <w:p w14:paraId="27C03FE5">
      <w:pPr>
        <w:spacing w:line="240" w:lineRule="auto"/>
        <w:ind w:firstLine="640"/>
        <w:jc w:val="both"/>
      </w:pPr>
      <w:r>
        <w:rPr>
          <w:rFonts w:ascii="仿宋_GB2312" w:hAnsi="仿宋_GB2312" w:eastAsia="仿宋_GB2312"/>
          <w:b w:val="0"/>
          <w:sz w:val="32"/>
        </w:rPr>
        <w:t>五、《一般公共预算财政拨款支出决算表》</w:t>
      </w:r>
    </w:p>
    <w:p w14:paraId="052792DA">
      <w:pPr>
        <w:spacing w:line="240" w:lineRule="auto"/>
        <w:ind w:firstLine="640"/>
        <w:jc w:val="both"/>
      </w:pPr>
      <w:r>
        <w:rPr>
          <w:rFonts w:ascii="仿宋_GB2312" w:hAnsi="仿宋_GB2312" w:eastAsia="仿宋_GB2312"/>
          <w:b w:val="0"/>
          <w:sz w:val="32"/>
        </w:rPr>
        <w:t>六、《一般公共预算财政拨款基本支出决算表》</w:t>
      </w:r>
    </w:p>
    <w:p w14:paraId="7838AD14">
      <w:pPr>
        <w:spacing w:line="240" w:lineRule="auto"/>
        <w:ind w:firstLine="640"/>
        <w:jc w:val="both"/>
      </w:pPr>
      <w:r>
        <w:rPr>
          <w:rFonts w:ascii="仿宋_GB2312" w:hAnsi="仿宋_GB2312" w:eastAsia="仿宋_GB2312"/>
          <w:b w:val="0"/>
          <w:sz w:val="32"/>
        </w:rPr>
        <w:t>七、《政府性基金预算财政拨款收入支出决算表》</w:t>
      </w:r>
    </w:p>
    <w:p w14:paraId="5C2B53D8">
      <w:pPr>
        <w:spacing w:line="240" w:lineRule="auto"/>
        <w:ind w:firstLine="640"/>
        <w:jc w:val="both"/>
      </w:pPr>
      <w:r>
        <w:rPr>
          <w:rFonts w:ascii="仿宋_GB2312" w:hAnsi="仿宋_GB2312" w:eastAsia="仿宋_GB2312"/>
          <w:b w:val="0"/>
          <w:sz w:val="32"/>
        </w:rPr>
        <w:t>八、《国有资本经营预算财政拨款收入支出决算表》</w:t>
      </w:r>
    </w:p>
    <w:p w14:paraId="53CD26C3">
      <w:pPr>
        <w:spacing w:line="240" w:lineRule="auto"/>
        <w:ind w:firstLine="640"/>
        <w:jc w:val="both"/>
      </w:pPr>
      <w:r>
        <w:rPr>
          <w:rFonts w:ascii="仿宋_GB2312" w:hAnsi="仿宋_GB2312" w:eastAsia="仿宋_GB2312"/>
          <w:b w:val="0"/>
          <w:sz w:val="32"/>
        </w:rPr>
        <w:t>九、《财政拨款“三公”经费支出决算表》</w:t>
      </w:r>
    </w:p>
    <w:p w14:paraId="0B98B4EF">
      <w:pPr>
        <w:spacing w:line="240" w:lineRule="auto"/>
        <w:ind w:firstLine="640"/>
        <w:jc w:val="both"/>
      </w:pPr>
    </w:p>
    <w:p w14:paraId="182877AC">
      <w:pPr>
        <w:spacing w:line="240" w:lineRule="auto"/>
        <w:ind w:firstLine="640"/>
        <w:jc w:val="both"/>
      </w:pPr>
    </w:p>
    <w:p w14:paraId="7A45934E">
      <w:pPr>
        <w:spacing w:line="240" w:lineRule="auto"/>
        <w:ind w:firstLine="640"/>
        <w:jc w:val="both"/>
      </w:pPr>
    </w:p>
    <w:p w14:paraId="3D7AD0D7">
      <w:pPr>
        <w:spacing w:line="240" w:lineRule="auto"/>
        <w:ind w:firstLine="640"/>
        <w:jc w:val="both"/>
      </w:pPr>
    </w:p>
    <w:p w14:paraId="345B5901">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swiss"/>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2000000000000000000"/>
    <w:charset w:val="86"/>
    <w:family w:val="script"/>
    <w:pitch w:val="default"/>
    <w:sig w:usb0="00000000" w:usb1="00000000" w:usb2="00082016" w:usb3="00000000" w:csb0="00040001"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2010609030101010101"/>
    <w:charset w:val="86"/>
    <w:family w:val="modern"/>
    <w:pitch w:val="default"/>
    <w:sig w:usb0="00000000" w:usb1="00000000" w:usb2="00000000" w:usb3="00000000" w:csb0="00040000" w:csb1="00000000"/>
  </w:font>
  <w:font w:name="楷体_GB2312">
    <w:altName w:val="楷体"/>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9CD565C"/>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17</Pages>
  <Words>5437</Words>
  <Characters>6039</Characters>
  <Lines>0</Lines>
  <Paragraphs>0</Paragraphs>
  <TotalTime>1</TotalTime>
  <ScaleCrop>false</ScaleCrop>
  <LinksUpToDate>false</LinksUpToDate>
  <CharactersWithSpaces>6049</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白羊</cp:lastModifiedBy>
  <cp:lastPrinted>2024-07-22T11:58:00Z</cp:lastPrinted>
  <dcterms:modified xsi:type="dcterms:W3CDTF">2025-09-16T04:40:31Z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eyJoZGlkIjoiYmMxZDY5OGZlYzU4ZGEwZmUyZWNkMmU5NzBiZTFjZWEiLCJ1c2VySWQiOiI0MzE2NzY3NzkifQ==</vt:lpwstr>
  </property>
</Properties>
</file>