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FF6C22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疏附县第一中学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3E4B0C">
      <w:r>
        <w:br w:type="page"/>
      </w:r>
    </w:p>
    <w:p w14:paraId="0D6FB80E">
      <w:pPr>
        <w:spacing w:line="640" w:lineRule="exact"/>
        <w:jc w:val="center"/>
        <w:outlineLvl w:val="1"/>
      </w:pPr>
      <w:r>
        <w:rPr>
          <w:rFonts w:ascii="黑体" w:hAnsi="黑体" w:eastAsia="黑体"/>
          <w:sz w:val="32"/>
        </w:rPr>
        <w:t>第一部分 单位概况</w:t>
      </w:r>
    </w:p>
    <w:p w14:paraId="03DB4CAC">
      <w:pPr>
        <w:spacing w:line="640" w:lineRule="exact"/>
        <w:ind w:firstLine="640"/>
        <w:jc w:val="both"/>
        <w:outlineLvl w:val="2"/>
      </w:pPr>
      <w:r>
        <w:rPr>
          <w:rFonts w:ascii="黑体" w:hAnsi="黑体" w:eastAsia="黑体"/>
          <w:sz w:val="32"/>
        </w:rPr>
        <w:t>一、主要职能</w:t>
      </w:r>
    </w:p>
    <w:p w14:paraId="38ABA099">
      <w:pPr>
        <w:spacing w:line="580" w:lineRule="exact"/>
        <w:ind w:firstLine="640"/>
        <w:jc w:val="both"/>
      </w:pPr>
      <w:r>
        <w:rPr>
          <w:rFonts w:ascii="仿宋_GB2312" w:hAnsi="仿宋_GB2312" w:eastAsia="仿宋_GB2312"/>
          <w:sz w:val="32"/>
        </w:rPr>
        <w:t>贯彻执行党和国家的教育方针、政策、法规‌，确保教育工作的正确方向。‌维护学校的教学秩序‌，为学生创造良好的学习环境。推进教育改革‌，按教育规律办事，不断提高教育质量。‌设置学校管理机构‌，建立健全各项规章制度和岗位责任制。教书育人、服务育人、环境育人‌，加强对学生的思想品德教育，使学生的德、智、体、美、劳全面发展。‌抓好教师队伍建设‌，提高教师的教育教学能力。‌做好安全防范工作‌，保证学生的人身安全。‌抓实后勤管理‌，为学生学习、生活提供后勤保障。‌承担高中确保教学质量。‌承担教育主管部门、镇党委、政府交办的其他事项‌，积极响应上级部门的指示和要求。此外，中学还负责研究和拟定学校教育发展</w:t>
      </w:r>
      <w:r>
        <w:rPr>
          <w:rFonts w:hint="eastAsia" w:ascii="仿宋_GB2312" w:hAnsi="仿宋_GB2312" w:eastAsia="仿宋_GB2312"/>
          <w:sz w:val="32"/>
          <w:lang w:eastAsia="zh-CN"/>
        </w:rPr>
        <w:t>战略</w:t>
      </w:r>
      <w:r>
        <w:rPr>
          <w:rFonts w:ascii="仿宋_GB2312" w:hAnsi="仿宋_GB2312" w:eastAsia="仿宋_GB2312"/>
          <w:sz w:val="32"/>
        </w:rPr>
        <w:t>教学工作‌，略法，贯彻执行党和国家的教育方针、政策法规；管理和指导学校基础教育工作；管理学校教育经费，执行财务管理制度；负责和指导学校教职工的思想政治工作；负责做好社会治安综合治理及安全保卫工作。</w:t>
      </w:r>
    </w:p>
    <w:p w14:paraId="03F82CAF">
      <w:pPr>
        <w:spacing w:line="640" w:lineRule="exact"/>
        <w:ind w:firstLine="640"/>
        <w:jc w:val="both"/>
        <w:outlineLvl w:val="2"/>
      </w:pPr>
      <w:r>
        <w:rPr>
          <w:rFonts w:ascii="黑体" w:hAnsi="黑体" w:eastAsia="黑体"/>
          <w:sz w:val="32"/>
        </w:rPr>
        <w:t>二、机构设置及人员情况</w:t>
      </w:r>
    </w:p>
    <w:p w14:paraId="2FF72AA8">
      <w:pPr>
        <w:spacing w:line="580" w:lineRule="exact"/>
        <w:ind w:firstLine="640"/>
        <w:jc w:val="both"/>
      </w:pPr>
      <w:r>
        <w:rPr>
          <w:rFonts w:ascii="仿宋_GB2312" w:hAnsi="仿宋_GB2312" w:eastAsia="仿宋_GB2312"/>
          <w:sz w:val="32"/>
        </w:rPr>
        <w:t>疏附县第一中学2024年度，实有人数398人，其中：在职人员332人，增加14人；离休人员0人，增加0人；退休人员66人,增加6人。</w:t>
      </w:r>
    </w:p>
    <w:p w14:paraId="3E8B4E2C">
      <w:pPr>
        <w:spacing w:line="580" w:lineRule="exact"/>
        <w:ind w:firstLine="640"/>
        <w:jc w:val="both"/>
      </w:pPr>
      <w:r>
        <w:rPr>
          <w:rFonts w:ascii="仿宋_GB2312" w:hAnsi="仿宋_GB2312" w:eastAsia="仿宋_GB2312"/>
          <w:sz w:val="32"/>
        </w:rPr>
        <w:t>疏附县第一中学无下属预算单位，下设6个科室，分别是：办公室、德育室、党建办、教务处、体育室、财务室。</w:t>
      </w:r>
    </w:p>
    <w:p w14:paraId="259040A7">
      <w:r>
        <w:br w:type="page"/>
      </w:r>
    </w:p>
    <w:p w14:paraId="503DBF49">
      <w:pPr>
        <w:spacing w:line="240" w:lineRule="auto"/>
        <w:jc w:val="center"/>
        <w:outlineLvl w:val="1"/>
      </w:pPr>
      <w:r>
        <w:rPr>
          <w:rFonts w:ascii="黑体" w:hAnsi="黑体" w:eastAsia="黑体"/>
          <w:sz w:val="32"/>
        </w:rPr>
        <w:t>第二部分 部门决算情况说明</w:t>
      </w:r>
    </w:p>
    <w:p w14:paraId="5B146D21">
      <w:pPr>
        <w:spacing w:line="640" w:lineRule="exact"/>
        <w:ind w:firstLine="640"/>
        <w:jc w:val="both"/>
        <w:outlineLvl w:val="2"/>
      </w:pPr>
      <w:r>
        <w:rPr>
          <w:rFonts w:ascii="黑体" w:hAnsi="黑体" w:eastAsia="黑体"/>
          <w:sz w:val="32"/>
        </w:rPr>
        <w:t>一、收入支出决算总体情况说明</w:t>
      </w:r>
    </w:p>
    <w:p w14:paraId="6EF99C01">
      <w:pPr>
        <w:spacing w:line="580" w:lineRule="exact"/>
        <w:ind w:firstLine="640"/>
        <w:jc w:val="both"/>
      </w:pPr>
      <w:r>
        <w:rPr>
          <w:rFonts w:ascii="仿宋_GB2312" w:hAnsi="仿宋_GB2312" w:eastAsia="仿宋_GB2312"/>
          <w:b/>
          <w:sz w:val="32"/>
        </w:rPr>
        <w:t>2024年度收入总计7,194.94万元，</w:t>
      </w:r>
      <w:r>
        <w:rPr>
          <w:rFonts w:ascii="仿宋_GB2312" w:hAnsi="仿宋_GB2312" w:eastAsia="仿宋_GB2312"/>
          <w:b w:val="0"/>
          <w:sz w:val="32"/>
        </w:rPr>
        <w:t>其中：本年收入合计7,184.94万元，使用非财政拨款结余（含专用结余）0.00万元，年初结转和结余10.00万元。</w:t>
      </w:r>
    </w:p>
    <w:p w14:paraId="463FA8BD">
      <w:pPr>
        <w:spacing w:line="580" w:lineRule="exact"/>
        <w:ind w:firstLine="640"/>
        <w:jc w:val="both"/>
      </w:pPr>
      <w:r>
        <w:rPr>
          <w:rFonts w:ascii="仿宋_GB2312" w:hAnsi="仿宋_GB2312" w:eastAsia="仿宋_GB2312"/>
          <w:b/>
          <w:sz w:val="32"/>
        </w:rPr>
        <w:t>2024年度支出总计7,194.94万元，</w:t>
      </w:r>
      <w:r>
        <w:rPr>
          <w:rFonts w:ascii="仿宋_GB2312" w:hAnsi="仿宋_GB2312" w:eastAsia="仿宋_GB2312"/>
          <w:b w:val="0"/>
          <w:sz w:val="32"/>
        </w:rPr>
        <w:t>其中：本年支出合计7,194.94万元，结余分配0.00万元，年末结转和结余0.00万元。</w:t>
      </w:r>
    </w:p>
    <w:p w14:paraId="7C9B5F63">
      <w:pPr>
        <w:spacing w:line="580" w:lineRule="exact"/>
        <w:ind w:firstLine="640"/>
        <w:jc w:val="both"/>
      </w:pPr>
      <w:r>
        <w:rPr>
          <w:rFonts w:ascii="仿宋_GB2312" w:hAnsi="仿宋_GB2312" w:eastAsia="仿宋_GB2312"/>
          <w:b w:val="0"/>
          <w:sz w:val="32"/>
        </w:rPr>
        <w:t>收入支出总体与上年相比，减少174.93万元，下降2.37%，主要原因是：本年减少教育系统庆新春旱地龙舟赛活动经费、打造优质学校援疆项目资金等项目经费，本年学生数减少、寄宿生伙食费、普通高中免学费、相应支出减少。</w:t>
      </w:r>
    </w:p>
    <w:p w14:paraId="032B2706">
      <w:pPr>
        <w:spacing w:line="640" w:lineRule="exact"/>
        <w:ind w:firstLine="640"/>
        <w:jc w:val="both"/>
        <w:outlineLvl w:val="2"/>
      </w:pPr>
      <w:r>
        <w:rPr>
          <w:rFonts w:ascii="黑体" w:hAnsi="黑体" w:eastAsia="黑体"/>
          <w:sz w:val="32"/>
        </w:rPr>
        <w:t>二、收入决算情况说明</w:t>
      </w:r>
    </w:p>
    <w:p w14:paraId="19F56B5C">
      <w:pPr>
        <w:spacing w:line="580" w:lineRule="exact"/>
        <w:ind w:firstLine="640"/>
        <w:jc w:val="both"/>
      </w:pPr>
      <w:r>
        <w:rPr>
          <w:rFonts w:ascii="仿宋_GB2312" w:hAnsi="仿宋_GB2312" w:eastAsia="仿宋_GB2312"/>
          <w:b/>
          <w:sz w:val="32"/>
        </w:rPr>
        <w:t>本年收入7,184.94万元，</w:t>
      </w:r>
      <w:r>
        <w:rPr>
          <w:rFonts w:ascii="仿宋_GB2312" w:hAnsi="仿宋_GB2312" w:eastAsia="仿宋_GB2312"/>
          <w:b w:val="0"/>
          <w:sz w:val="32"/>
        </w:rPr>
        <w:t>其中：财政拨款收入7,145.36万元，占99.45%；上级补助收入0.00万元，占0.00%；事业收入0.00万元，占0.00%；经营收入0.00万元，占0.00%；附属单位上缴收入0.00万元，占0.00%；其他收入39.58万元，占0.55%。</w:t>
      </w:r>
    </w:p>
    <w:p w14:paraId="0E105D7B">
      <w:pPr>
        <w:spacing w:line="640" w:lineRule="exact"/>
        <w:ind w:firstLine="640"/>
        <w:jc w:val="both"/>
        <w:outlineLvl w:val="2"/>
      </w:pPr>
      <w:r>
        <w:rPr>
          <w:rFonts w:ascii="黑体" w:hAnsi="黑体" w:eastAsia="黑体"/>
          <w:sz w:val="32"/>
        </w:rPr>
        <w:t>三、支出决算情况说明</w:t>
      </w:r>
    </w:p>
    <w:p w14:paraId="6DD8E146">
      <w:pPr>
        <w:spacing w:line="580" w:lineRule="exact"/>
        <w:ind w:firstLine="640"/>
        <w:jc w:val="both"/>
      </w:pPr>
      <w:r>
        <w:rPr>
          <w:rFonts w:ascii="仿宋_GB2312" w:hAnsi="仿宋_GB2312" w:eastAsia="仿宋_GB2312"/>
          <w:b/>
          <w:sz w:val="32"/>
        </w:rPr>
        <w:t>本年支出7,194.94万元，</w:t>
      </w:r>
      <w:r>
        <w:rPr>
          <w:rFonts w:ascii="仿宋_GB2312" w:hAnsi="仿宋_GB2312" w:eastAsia="仿宋_GB2312"/>
          <w:b w:val="0"/>
          <w:sz w:val="32"/>
        </w:rPr>
        <w:t>其中：基本支出5,653.15万元，占78.57%；项目支出1,541.79万元，占21.43%；上缴上级支出0.00万元，占0.00%；经营支出0.00万元，占0.00%；对附属单位补助支出0.00万元，占0.00%。</w:t>
      </w:r>
    </w:p>
    <w:p w14:paraId="1A4DCA0F">
      <w:pPr>
        <w:spacing w:line="640" w:lineRule="exact"/>
        <w:ind w:firstLine="640"/>
        <w:jc w:val="both"/>
        <w:outlineLvl w:val="2"/>
      </w:pPr>
      <w:r>
        <w:rPr>
          <w:rFonts w:ascii="黑体" w:hAnsi="黑体" w:eastAsia="黑体"/>
          <w:sz w:val="32"/>
        </w:rPr>
        <w:t>四、财政拨款收入支出决算总体情况说明</w:t>
      </w:r>
    </w:p>
    <w:p w14:paraId="351E43C6">
      <w:pPr>
        <w:spacing w:line="580" w:lineRule="exact"/>
        <w:ind w:firstLine="640"/>
        <w:jc w:val="both"/>
      </w:pPr>
      <w:r>
        <w:rPr>
          <w:rFonts w:ascii="仿宋_GB2312" w:hAnsi="仿宋_GB2312" w:eastAsia="仿宋_GB2312"/>
          <w:b/>
          <w:sz w:val="32"/>
        </w:rPr>
        <w:t>2024年度财政拨款收入总计7,145.36万元，</w:t>
      </w:r>
      <w:r>
        <w:rPr>
          <w:rFonts w:ascii="仿宋_GB2312" w:hAnsi="仿宋_GB2312" w:eastAsia="仿宋_GB2312"/>
          <w:b w:val="0"/>
          <w:sz w:val="32"/>
        </w:rPr>
        <w:t>其中：年初财政拨款结转和结余0.00万元，本年财政拨款收入7,145.36万元。</w:t>
      </w:r>
      <w:r>
        <w:rPr>
          <w:rFonts w:ascii="仿宋_GB2312" w:hAnsi="仿宋_GB2312" w:eastAsia="仿宋_GB2312"/>
          <w:b/>
          <w:sz w:val="32"/>
        </w:rPr>
        <w:t>财政拨款支出总计7,145.36万元，</w:t>
      </w:r>
      <w:r>
        <w:rPr>
          <w:rFonts w:ascii="仿宋_GB2312" w:hAnsi="仿宋_GB2312" w:eastAsia="仿宋_GB2312"/>
          <w:b w:val="0"/>
          <w:sz w:val="32"/>
        </w:rPr>
        <w:t>其中：年末财政拨款结转和结余0.00万元，本年财政拨款支出7,145.36万元。</w:t>
      </w:r>
    </w:p>
    <w:p w14:paraId="71BA197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减少139.06万元，下降1.91%，主要原因是：本年学生数减少、寄宿生伙食费、普通高中免学费、相应支出减少。</w:t>
      </w:r>
      <w:r>
        <w:rPr>
          <w:rFonts w:ascii="仿宋_GB2312" w:hAnsi="仿宋_GB2312" w:eastAsia="仿宋_GB2312"/>
          <w:b/>
          <w:sz w:val="32"/>
        </w:rPr>
        <w:t>与年初预算相比，</w:t>
      </w:r>
      <w:r>
        <w:rPr>
          <w:rFonts w:ascii="仿宋_GB2312" w:hAnsi="仿宋_GB2312" w:eastAsia="仿宋_GB2312"/>
          <w:b w:val="0"/>
          <w:sz w:val="32"/>
        </w:rPr>
        <w:t>年初预算数5,677.11万元，决算数7,145.36万元，预决算差异率25.86%，主要原因是：本年在职人员工资调薪，工资、社保、公积金等相关人员经费增加，年中追加人员经费，年中追加普通高中免学费等项目经费，导致预决算存在差异。</w:t>
      </w:r>
    </w:p>
    <w:p w14:paraId="0B1DCBD4">
      <w:pPr>
        <w:spacing w:line="640" w:lineRule="exact"/>
        <w:ind w:firstLine="640"/>
        <w:jc w:val="both"/>
        <w:outlineLvl w:val="2"/>
      </w:pPr>
      <w:r>
        <w:rPr>
          <w:rFonts w:ascii="黑体" w:hAnsi="黑体" w:eastAsia="黑体"/>
          <w:sz w:val="32"/>
        </w:rPr>
        <w:t>五、一般公共预算财政拨款支出决算情况说明</w:t>
      </w:r>
    </w:p>
    <w:p w14:paraId="1B73434D">
      <w:pPr>
        <w:spacing w:line="640" w:lineRule="exact"/>
        <w:ind w:firstLine="640"/>
        <w:jc w:val="both"/>
        <w:outlineLvl w:val="3"/>
      </w:pPr>
      <w:r>
        <w:rPr>
          <w:rFonts w:ascii="楷体_GB2312" w:hAnsi="楷体_GB2312" w:eastAsia="楷体_GB2312"/>
          <w:b/>
          <w:sz w:val="32"/>
        </w:rPr>
        <w:t>（一）一般公共预算财政拨款支出决算总体情况</w:t>
      </w:r>
    </w:p>
    <w:p w14:paraId="0A2633D5">
      <w:pPr>
        <w:spacing w:line="580" w:lineRule="exact"/>
        <w:ind w:firstLine="640"/>
        <w:jc w:val="both"/>
      </w:pPr>
      <w:r>
        <w:rPr>
          <w:rFonts w:ascii="仿宋_GB2312" w:hAnsi="仿宋_GB2312" w:eastAsia="仿宋_GB2312"/>
          <w:b/>
          <w:sz w:val="32"/>
        </w:rPr>
        <w:t>2024年度一般公共预算财政拨款支出7,145.36万元，</w:t>
      </w:r>
      <w:r>
        <w:rPr>
          <w:rFonts w:ascii="仿宋_GB2312" w:hAnsi="仿宋_GB2312" w:eastAsia="仿宋_GB2312"/>
          <w:b w:val="0"/>
          <w:sz w:val="32"/>
        </w:rPr>
        <w:t>占本年支出合计的99.31%。</w:t>
      </w:r>
      <w:r>
        <w:rPr>
          <w:rFonts w:ascii="仿宋_GB2312" w:hAnsi="仿宋_GB2312" w:eastAsia="仿宋_GB2312"/>
          <w:b/>
          <w:sz w:val="32"/>
        </w:rPr>
        <w:t>与上年相比，</w:t>
      </w:r>
      <w:r>
        <w:rPr>
          <w:rFonts w:ascii="仿宋_GB2312" w:hAnsi="仿宋_GB2312" w:eastAsia="仿宋_GB2312"/>
          <w:b w:val="0"/>
          <w:sz w:val="32"/>
        </w:rPr>
        <w:t>减少139.06万元，下降1.91%，主要原因是：本年学生数减少、班主任费、寄宿生伙食费、普通高中免学费、相应支出减少。</w:t>
      </w:r>
      <w:r>
        <w:rPr>
          <w:rFonts w:ascii="仿宋_GB2312" w:hAnsi="仿宋_GB2312" w:eastAsia="仿宋_GB2312"/>
          <w:b/>
          <w:sz w:val="32"/>
        </w:rPr>
        <w:t>与年初预算相比,</w:t>
      </w:r>
      <w:r>
        <w:rPr>
          <w:rFonts w:ascii="仿宋_GB2312" w:hAnsi="仿宋_GB2312" w:eastAsia="仿宋_GB2312"/>
          <w:b w:val="0"/>
          <w:sz w:val="32"/>
        </w:rPr>
        <w:t>年初预算数5,677.11万元，决算数7,145.36万元，预决算差异率25.86%，主要原因是：本年在职人员工资调薪，工资、社保、公积金等相关人员经费增加，年中追加人员经费，年中追加普通高中免学费等项目经费，导致预决算存在差异。</w:t>
      </w:r>
    </w:p>
    <w:p w14:paraId="4A4C8559">
      <w:pPr>
        <w:spacing w:line="640" w:lineRule="exact"/>
        <w:ind w:firstLine="640"/>
        <w:jc w:val="both"/>
        <w:outlineLvl w:val="3"/>
      </w:pPr>
      <w:r>
        <w:rPr>
          <w:rFonts w:ascii="楷体_GB2312" w:hAnsi="楷体_GB2312" w:eastAsia="楷体_GB2312"/>
          <w:b/>
          <w:sz w:val="32"/>
        </w:rPr>
        <w:t>（二）一般公共预算财政拨款支出决算结构情况</w:t>
      </w:r>
    </w:p>
    <w:p w14:paraId="42E67A61">
      <w:pPr>
        <w:spacing w:line="580" w:lineRule="exact"/>
        <w:ind w:firstLine="640"/>
        <w:jc w:val="both"/>
      </w:pPr>
      <w:r>
        <w:rPr>
          <w:rFonts w:ascii="仿宋_GB2312" w:hAnsi="仿宋_GB2312" w:eastAsia="仿宋_GB2312"/>
          <w:b w:val="0"/>
          <w:sz w:val="32"/>
        </w:rPr>
        <w:t>1.教育支出(类)7,145.36万元,占100.00%。</w:t>
      </w:r>
    </w:p>
    <w:p w14:paraId="18F1F24B">
      <w:pPr>
        <w:spacing w:line="640" w:lineRule="exact"/>
        <w:ind w:firstLine="640"/>
        <w:jc w:val="both"/>
        <w:outlineLvl w:val="3"/>
      </w:pPr>
      <w:r>
        <w:rPr>
          <w:rFonts w:ascii="楷体_GB2312" w:hAnsi="楷体_GB2312" w:eastAsia="楷体_GB2312"/>
          <w:b/>
          <w:sz w:val="32"/>
        </w:rPr>
        <w:t>（三）一般公共预算财政拨款支出决算具体情况</w:t>
      </w:r>
    </w:p>
    <w:p w14:paraId="54DA44C0">
      <w:pPr>
        <w:spacing w:line="580" w:lineRule="exact"/>
        <w:ind w:firstLine="640"/>
        <w:jc w:val="both"/>
      </w:pPr>
      <w:r>
        <w:rPr>
          <w:rFonts w:ascii="仿宋_GB2312" w:hAnsi="仿宋_GB2312" w:eastAsia="仿宋_GB2312"/>
          <w:b w:val="0"/>
          <w:sz w:val="32"/>
        </w:rPr>
        <w:t>1.教育支出(类)普通教育(款)高中教育(项):支出决算数为7,145.36万元，比上年决算增加501.50万元，增长7.55%,主要原因是：本年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城乡义务教育中央补助经费-</w:t>
      </w:r>
      <w:bookmarkStart w:id="0" w:name="_GoBack"/>
      <w:bookmarkEnd w:id="0"/>
      <w:r>
        <w:rPr>
          <w:rFonts w:ascii="仿宋_GB2312" w:hAnsi="仿宋_GB2312" w:eastAsia="仿宋_GB2312"/>
          <w:b w:val="0"/>
          <w:sz w:val="32"/>
        </w:rPr>
        <w:t>教师工资项目经费，同时功能科目调整，普通高中助学金、普通高中免学费等项目经费本年调整至高中教育科目列支，导致经费较上年增长。</w:t>
      </w:r>
    </w:p>
    <w:p w14:paraId="5480ACF3">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559.24万元，下降100.00%,主要原因是：本年功能科目调整，普通高中助学金、普通高中免学费等项目经费上年度在其他普通教育支出科目列支，本年调整至高中教育科目列支，导致经费较上年减少。</w:t>
      </w:r>
    </w:p>
    <w:p w14:paraId="534376F7">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81.32万元，下降100.00%,主要原因是：本年功能科目调整，普通高中助学金、普通高中免学费等项目经费上年度在本科目列支，本年调整至高中教育科目列支，导致经费较上年减少。</w:t>
      </w:r>
    </w:p>
    <w:p w14:paraId="6C74BE10">
      <w:pPr>
        <w:spacing w:line="640" w:lineRule="exact"/>
        <w:ind w:firstLine="640"/>
        <w:jc w:val="both"/>
        <w:outlineLvl w:val="2"/>
      </w:pPr>
      <w:r>
        <w:rPr>
          <w:rFonts w:ascii="黑体" w:hAnsi="黑体" w:eastAsia="黑体"/>
          <w:sz w:val="32"/>
        </w:rPr>
        <w:t>六、一般公共预算财政拨款基本支出决算情况说明</w:t>
      </w:r>
    </w:p>
    <w:p w14:paraId="0586B517">
      <w:pPr>
        <w:spacing w:line="580" w:lineRule="exact"/>
        <w:ind w:firstLine="640"/>
        <w:jc w:val="both"/>
      </w:pPr>
      <w:r>
        <w:rPr>
          <w:rFonts w:ascii="仿宋_GB2312" w:hAnsi="仿宋_GB2312" w:eastAsia="仿宋_GB2312"/>
          <w:b w:val="0"/>
          <w:sz w:val="32"/>
        </w:rPr>
        <w:t>2024年度一般公共预算财政拨款基本支出5,653.15万元，其中：</w:t>
      </w:r>
      <w:r>
        <w:rPr>
          <w:rFonts w:ascii="仿宋_GB2312" w:hAnsi="仿宋_GB2312" w:eastAsia="仿宋_GB2312"/>
          <w:b/>
          <w:sz w:val="32"/>
        </w:rPr>
        <w:t>人员经费5,653.15万元，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3E25D23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441A4F6">
      <w:pPr>
        <w:spacing w:line="640" w:lineRule="exact"/>
        <w:ind w:firstLine="640"/>
        <w:jc w:val="both"/>
        <w:outlineLvl w:val="2"/>
      </w:pPr>
      <w:r>
        <w:rPr>
          <w:rFonts w:ascii="黑体" w:hAnsi="黑体" w:eastAsia="黑体"/>
          <w:sz w:val="32"/>
        </w:rPr>
        <w:t>七、政府性基金预算财政拨款收入支出决算情况说明</w:t>
      </w:r>
    </w:p>
    <w:p w14:paraId="146517A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299AB24">
      <w:pPr>
        <w:spacing w:line="640" w:lineRule="exact"/>
        <w:ind w:firstLine="640"/>
        <w:jc w:val="both"/>
        <w:outlineLvl w:val="2"/>
      </w:pPr>
      <w:r>
        <w:rPr>
          <w:rFonts w:ascii="黑体" w:hAnsi="黑体" w:eastAsia="黑体"/>
          <w:sz w:val="32"/>
        </w:rPr>
        <w:t>八、国有资本经营预算财政拨款收入支出决算情况说明</w:t>
      </w:r>
    </w:p>
    <w:p w14:paraId="4D361C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092E37A">
      <w:pPr>
        <w:spacing w:line="640" w:lineRule="exact"/>
        <w:ind w:firstLine="640"/>
        <w:jc w:val="both"/>
        <w:outlineLvl w:val="2"/>
      </w:pPr>
      <w:r>
        <w:rPr>
          <w:rFonts w:ascii="黑体" w:hAnsi="黑体" w:eastAsia="黑体"/>
          <w:sz w:val="32"/>
        </w:rPr>
        <w:t>九、财政拨款“三公”经费支出决算情况说明</w:t>
      </w:r>
    </w:p>
    <w:p w14:paraId="14ED4A8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67CD080">
      <w:pPr>
        <w:spacing w:line="580" w:lineRule="exact"/>
        <w:ind w:firstLine="640"/>
        <w:jc w:val="both"/>
      </w:pPr>
      <w:r>
        <w:rPr>
          <w:rFonts w:ascii="仿宋_GB2312" w:hAnsi="仿宋_GB2312" w:eastAsia="仿宋_GB2312"/>
          <w:b/>
          <w:sz w:val="32"/>
        </w:rPr>
        <w:t>具体情况如下：</w:t>
      </w:r>
    </w:p>
    <w:p w14:paraId="5DA8175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65AC27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7A41E1F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22FAA5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123FC78">
      <w:pPr>
        <w:spacing w:line="640" w:lineRule="exact"/>
        <w:ind w:firstLine="640"/>
        <w:jc w:val="both"/>
        <w:outlineLvl w:val="2"/>
      </w:pPr>
      <w:r>
        <w:rPr>
          <w:rFonts w:ascii="黑体" w:hAnsi="黑体" w:eastAsia="黑体"/>
          <w:sz w:val="32"/>
        </w:rPr>
        <w:t>十、其他重要事项的情况说明</w:t>
      </w:r>
    </w:p>
    <w:p w14:paraId="27DC47DB">
      <w:pPr>
        <w:spacing w:line="640" w:lineRule="exact"/>
        <w:ind w:firstLine="640"/>
        <w:jc w:val="both"/>
        <w:outlineLvl w:val="3"/>
      </w:pPr>
      <w:r>
        <w:rPr>
          <w:rFonts w:ascii="楷体_GB2312" w:hAnsi="楷体_GB2312" w:eastAsia="楷体_GB2312"/>
          <w:b/>
          <w:sz w:val="32"/>
        </w:rPr>
        <w:t>（一）机关运行经费及公用经费支出情况</w:t>
      </w:r>
    </w:p>
    <w:p w14:paraId="6708BE74">
      <w:pPr>
        <w:spacing w:line="580" w:lineRule="exact"/>
        <w:ind w:firstLine="640"/>
        <w:jc w:val="both"/>
      </w:pPr>
      <w:r>
        <w:rPr>
          <w:rFonts w:ascii="仿宋_GB2312" w:hAnsi="仿宋_GB2312" w:eastAsia="仿宋_GB2312"/>
          <w:b w:val="0"/>
          <w:sz w:val="32"/>
        </w:rPr>
        <w:t>2024年度疏附县第一中学（事业单位）公用经费支出0.00万元，比上年增加0.00万元，增长0.00%，主要原因是：2023年与2024年均未安排公用经费支出。</w:t>
      </w:r>
    </w:p>
    <w:p w14:paraId="4F13422E">
      <w:pPr>
        <w:spacing w:line="640" w:lineRule="exact"/>
        <w:ind w:firstLine="640"/>
        <w:jc w:val="both"/>
        <w:outlineLvl w:val="3"/>
      </w:pPr>
      <w:r>
        <w:rPr>
          <w:rFonts w:ascii="楷体_GB2312" w:hAnsi="楷体_GB2312" w:eastAsia="楷体_GB2312"/>
          <w:b/>
          <w:sz w:val="32"/>
        </w:rPr>
        <w:t>（二）政府采购情况</w:t>
      </w:r>
    </w:p>
    <w:p w14:paraId="34FB74AC">
      <w:pPr>
        <w:spacing w:line="580" w:lineRule="exact"/>
        <w:ind w:firstLine="640"/>
        <w:jc w:val="both"/>
      </w:pPr>
      <w:r>
        <w:rPr>
          <w:rFonts w:ascii="仿宋_GB2312" w:hAnsi="仿宋_GB2312" w:eastAsia="仿宋_GB2312"/>
          <w:b w:val="0"/>
          <w:sz w:val="32"/>
        </w:rPr>
        <w:t>2024年度政府采购支出总额20.36万元，其中：政府采购货物支出19.82万元、政府采购工程支出0.00万元、政府采购服务支出0.54万元。</w:t>
      </w:r>
    </w:p>
    <w:p w14:paraId="1EBBA98C">
      <w:pPr>
        <w:spacing w:line="580" w:lineRule="exact"/>
        <w:ind w:firstLine="640"/>
        <w:jc w:val="both"/>
      </w:pPr>
      <w:r>
        <w:rPr>
          <w:rFonts w:ascii="仿宋_GB2312" w:hAnsi="仿宋_GB2312" w:eastAsia="仿宋_GB2312"/>
          <w:b w:val="0"/>
          <w:sz w:val="32"/>
        </w:rPr>
        <w:t>授予中小企业合同金额20.36万元，占政府采购支出总额的100.00%，其中：授予小微企业合同金额20.36万元，占政府采购支出总额的100.00%。</w:t>
      </w:r>
    </w:p>
    <w:p w14:paraId="685C0534">
      <w:pPr>
        <w:spacing w:line="640" w:lineRule="exact"/>
        <w:ind w:firstLine="640"/>
        <w:jc w:val="both"/>
        <w:outlineLvl w:val="3"/>
      </w:pPr>
      <w:r>
        <w:rPr>
          <w:rFonts w:ascii="楷体_GB2312" w:hAnsi="楷体_GB2312" w:eastAsia="楷体_GB2312"/>
          <w:b/>
          <w:sz w:val="32"/>
        </w:rPr>
        <w:t>（三）国有资产占用情况说明</w:t>
      </w:r>
    </w:p>
    <w:p w14:paraId="1F7C87EB">
      <w:pPr>
        <w:spacing w:line="580" w:lineRule="exact"/>
        <w:ind w:firstLine="640"/>
        <w:jc w:val="both"/>
      </w:pPr>
      <w:r>
        <w:rPr>
          <w:rFonts w:ascii="仿宋_GB2312" w:hAnsi="仿宋_GB2312" w:eastAsia="仿宋_GB2312"/>
          <w:b w:val="0"/>
          <w:sz w:val="32"/>
        </w:rPr>
        <w:t>截至2024年12月31日，房屋52,499.98平方米，价值5,839.00万元。车辆1辆，价值44.50万元，其中：副部（省）级及以上领导用车0辆、主要负责人用车0辆、机要通信用车0辆、应急保障用车0辆、执法执勤用车0辆、特种专业技术用车0辆、离退休干部服务用车0辆、其他用车1辆，其他用车主要是：本单位校车。单价100万元（含）以上设备（不含车辆）1台（套）。</w:t>
      </w:r>
    </w:p>
    <w:p w14:paraId="587AB962">
      <w:pPr>
        <w:spacing w:line="640" w:lineRule="exact"/>
        <w:ind w:firstLine="640"/>
        <w:jc w:val="both"/>
        <w:outlineLvl w:val="2"/>
      </w:pPr>
      <w:r>
        <w:rPr>
          <w:rFonts w:ascii="黑体" w:hAnsi="黑体" w:eastAsia="黑体"/>
          <w:sz w:val="32"/>
        </w:rPr>
        <w:t>十一、预算绩效的情况说明</w:t>
      </w:r>
    </w:p>
    <w:p w14:paraId="094DEECD">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18E458DB">
      <w:r>
        <w:br w:type="page"/>
      </w:r>
    </w:p>
    <w:p w14:paraId="3FAB05D2">
      <w:pPr>
        <w:spacing w:line="640" w:lineRule="exact"/>
        <w:ind w:firstLine="640"/>
        <w:jc w:val="both"/>
        <w:outlineLvl w:val="2"/>
      </w:pPr>
      <w:r>
        <w:rPr>
          <w:rFonts w:ascii="黑体" w:hAnsi="黑体" w:eastAsia="黑体"/>
          <w:sz w:val="32"/>
        </w:rPr>
        <w:t>十二、其他需说明的事项</w:t>
      </w:r>
    </w:p>
    <w:p w14:paraId="2C1505BB">
      <w:pPr>
        <w:spacing w:line="580" w:lineRule="exact"/>
        <w:ind w:firstLine="640"/>
        <w:jc w:val="both"/>
      </w:pPr>
      <w:r>
        <w:rPr>
          <w:rFonts w:ascii="仿宋_GB2312" w:hAnsi="仿宋_GB2312" w:eastAsia="仿宋_GB2312"/>
          <w:b w:val="0"/>
          <w:sz w:val="32"/>
        </w:rPr>
        <w:t>本年度本单位整体绩效自评表由疏附县教育局编报并公开。</w:t>
      </w:r>
    </w:p>
    <w:p w14:paraId="1A9B0417">
      <w:r>
        <w:br w:type="page"/>
      </w:r>
    </w:p>
    <w:p w14:paraId="0B52EBB8">
      <w:pPr>
        <w:spacing w:line="240" w:lineRule="auto"/>
        <w:jc w:val="center"/>
        <w:outlineLvl w:val="1"/>
      </w:pPr>
      <w:r>
        <w:rPr>
          <w:rFonts w:ascii="黑体" w:hAnsi="黑体" w:eastAsia="黑体"/>
          <w:sz w:val="32"/>
        </w:rPr>
        <w:t>第三部分 专业名词解释</w:t>
      </w:r>
    </w:p>
    <w:p w14:paraId="0199DC8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9EB73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BC730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DC1AA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0F220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6E8AD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541CBF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DC1EC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36946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0023F1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AF32E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555E70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0320D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3B2AF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B939EFC">
      <w:r>
        <w:br w:type="page"/>
      </w:r>
    </w:p>
    <w:p w14:paraId="333BCC0B">
      <w:pPr>
        <w:spacing w:line="240" w:lineRule="auto"/>
        <w:jc w:val="center"/>
        <w:outlineLvl w:val="1"/>
      </w:pPr>
      <w:r>
        <w:rPr>
          <w:rFonts w:ascii="黑体" w:hAnsi="黑体" w:eastAsia="黑体"/>
          <w:sz w:val="32"/>
        </w:rPr>
        <w:t>第四部分 部门决算报表（见附表）</w:t>
      </w:r>
    </w:p>
    <w:p w14:paraId="6D7E481C">
      <w:pPr>
        <w:spacing w:line="240" w:lineRule="auto"/>
        <w:ind w:firstLine="640"/>
        <w:jc w:val="both"/>
      </w:pPr>
      <w:r>
        <w:rPr>
          <w:rFonts w:ascii="仿宋_GB2312" w:hAnsi="仿宋_GB2312" w:eastAsia="仿宋_GB2312"/>
          <w:b w:val="0"/>
          <w:sz w:val="32"/>
        </w:rPr>
        <w:t>一、《收入支出决算总表》</w:t>
      </w:r>
    </w:p>
    <w:p w14:paraId="1D78E0B9">
      <w:pPr>
        <w:spacing w:line="240" w:lineRule="auto"/>
        <w:ind w:firstLine="640"/>
        <w:jc w:val="both"/>
      </w:pPr>
      <w:r>
        <w:rPr>
          <w:rFonts w:ascii="仿宋_GB2312" w:hAnsi="仿宋_GB2312" w:eastAsia="仿宋_GB2312"/>
          <w:b w:val="0"/>
          <w:sz w:val="32"/>
        </w:rPr>
        <w:t>二、《收入决算表》</w:t>
      </w:r>
    </w:p>
    <w:p w14:paraId="4DDAEA9B">
      <w:pPr>
        <w:spacing w:line="240" w:lineRule="auto"/>
        <w:ind w:firstLine="640"/>
        <w:jc w:val="both"/>
      </w:pPr>
      <w:r>
        <w:rPr>
          <w:rFonts w:ascii="仿宋_GB2312" w:hAnsi="仿宋_GB2312" w:eastAsia="仿宋_GB2312"/>
          <w:b w:val="0"/>
          <w:sz w:val="32"/>
        </w:rPr>
        <w:t>三、《支出决算表》</w:t>
      </w:r>
    </w:p>
    <w:p w14:paraId="4B6ABE84">
      <w:pPr>
        <w:spacing w:line="240" w:lineRule="auto"/>
        <w:ind w:firstLine="640"/>
        <w:jc w:val="both"/>
      </w:pPr>
      <w:r>
        <w:rPr>
          <w:rFonts w:ascii="仿宋_GB2312" w:hAnsi="仿宋_GB2312" w:eastAsia="仿宋_GB2312"/>
          <w:b w:val="0"/>
          <w:sz w:val="32"/>
        </w:rPr>
        <w:t>四、《财政拨款收入支出决算总表》</w:t>
      </w:r>
    </w:p>
    <w:p w14:paraId="718742BB">
      <w:pPr>
        <w:spacing w:line="240" w:lineRule="auto"/>
        <w:ind w:firstLine="640"/>
        <w:jc w:val="both"/>
      </w:pPr>
      <w:r>
        <w:rPr>
          <w:rFonts w:ascii="仿宋_GB2312" w:hAnsi="仿宋_GB2312" w:eastAsia="仿宋_GB2312"/>
          <w:b w:val="0"/>
          <w:sz w:val="32"/>
        </w:rPr>
        <w:t>五、《一般公共预算财政拨款支出决算表》</w:t>
      </w:r>
    </w:p>
    <w:p w14:paraId="5A21D85D">
      <w:pPr>
        <w:spacing w:line="240" w:lineRule="auto"/>
        <w:ind w:firstLine="640"/>
        <w:jc w:val="both"/>
      </w:pPr>
      <w:r>
        <w:rPr>
          <w:rFonts w:ascii="仿宋_GB2312" w:hAnsi="仿宋_GB2312" w:eastAsia="仿宋_GB2312"/>
          <w:b w:val="0"/>
          <w:sz w:val="32"/>
        </w:rPr>
        <w:t>六、《一般公共预算财政拨款基本支出决算表》</w:t>
      </w:r>
    </w:p>
    <w:p w14:paraId="748F05A4">
      <w:pPr>
        <w:spacing w:line="240" w:lineRule="auto"/>
        <w:ind w:firstLine="640"/>
        <w:jc w:val="both"/>
      </w:pPr>
      <w:r>
        <w:rPr>
          <w:rFonts w:ascii="仿宋_GB2312" w:hAnsi="仿宋_GB2312" w:eastAsia="仿宋_GB2312"/>
          <w:b w:val="0"/>
          <w:sz w:val="32"/>
        </w:rPr>
        <w:t>七、《政府性基金预算财政拨款收入支出决算表》</w:t>
      </w:r>
    </w:p>
    <w:p w14:paraId="6A62930A">
      <w:pPr>
        <w:spacing w:line="240" w:lineRule="auto"/>
        <w:ind w:firstLine="640"/>
        <w:jc w:val="both"/>
      </w:pPr>
      <w:r>
        <w:rPr>
          <w:rFonts w:ascii="仿宋_GB2312" w:hAnsi="仿宋_GB2312" w:eastAsia="仿宋_GB2312"/>
          <w:b w:val="0"/>
          <w:sz w:val="32"/>
        </w:rPr>
        <w:t>八、《国有资本经营预算财政拨款收入支出决算表》</w:t>
      </w:r>
    </w:p>
    <w:p w14:paraId="0EFD92BD">
      <w:pPr>
        <w:spacing w:line="240" w:lineRule="auto"/>
        <w:ind w:firstLine="640"/>
        <w:jc w:val="both"/>
      </w:pPr>
      <w:r>
        <w:rPr>
          <w:rFonts w:ascii="仿宋_GB2312" w:hAnsi="仿宋_GB2312" w:eastAsia="仿宋_GB2312"/>
          <w:b w:val="0"/>
          <w:sz w:val="32"/>
        </w:rPr>
        <w:t>九、《财政拨款“三公”经费支出决算表》</w:t>
      </w:r>
    </w:p>
    <w:p w14:paraId="1DFA1125">
      <w:pPr>
        <w:spacing w:line="240" w:lineRule="auto"/>
        <w:ind w:firstLine="640"/>
        <w:jc w:val="both"/>
      </w:pPr>
    </w:p>
    <w:p w14:paraId="5CA89707">
      <w:pPr>
        <w:spacing w:line="240" w:lineRule="auto"/>
        <w:ind w:firstLine="640"/>
        <w:jc w:val="both"/>
      </w:pPr>
    </w:p>
    <w:p w14:paraId="52A7AB0B">
      <w:pPr>
        <w:spacing w:line="240" w:lineRule="auto"/>
        <w:ind w:firstLine="640"/>
        <w:jc w:val="both"/>
      </w:pPr>
    </w:p>
    <w:p w14:paraId="41C2CED9">
      <w:pPr>
        <w:spacing w:line="240" w:lineRule="auto"/>
        <w:ind w:firstLine="640"/>
        <w:jc w:val="both"/>
      </w:pPr>
    </w:p>
    <w:p w14:paraId="79D0A3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C852AC-3D04-4E89-8072-A5FA92D606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D842354-191F-4821-846B-B9BB4D3507E7}"/>
  </w:font>
  <w:font w:name="仿宋_GB2312">
    <w:panose1 w:val="02010609030101010101"/>
    <w:charset w:val="86"/>
    <w:family w:val="modern"/>
    <w:pitch w:val="default"/>
    <w:sig w:usb0="00000001" w:usb1="080E0000" w:usb2="00000000" w:usb3="00000000" w:csb0="00040000" w:csb1="00000000"/>
    <w:embedRegular r:id="rId3" w:fontKey="{19FDE00C-DBC3-48D9-82F1-5D1DAA84AD02}"/>
  </w:font>
  <w:font w:name="楷体_GB2312">
    <w:panose1 w:val="02010609030101010101"/>
    <w:charset w:val="86"/>
    <w:family w:val="auto"/>
    <w:pitch w:val="default"/>
    <w:sig w:usb0="00000001" w:usb1="080E0000" w:usb2="00000000" w:usb3="00000000" w:csb0="00040000" w:csb1="00000000"/>
    <w:embedRegular r:id="rId4" w:fontKey="{A93C9BF6-EA0C-43D1-9E6D-6CB5744F77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5156B31"/>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682CBA"/>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5032</Words>
  <Characters>5634</Characters>
  <Lines>0</Lines>
  <Paragraphs>0</Paragraphs>
  <TotalTime>10</TotalTime>
  <ScaleCrop>false</ScaleCrop>
  <LinksUpToDate>false</LinksUpToDate>
  <CharactersWithSpaces>5644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2025-09-16T04:25:42Z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