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753298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疏附县站敏乡小学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7B5DFD0">
      <w:r>
        <w:br w:type="page"/>
      </w:r>
    </w:p>
    <w:p w14:paraId="05EF6DA8">
      <w:pPr>
        <w:spacing w:line="640" w:lineRule="exact"/>
        <w:jc w:val="center"/>
        <w:outlineLvl w:val="1"/>
      </w:pPr>
      <w:r>
        <w:rPr>
          <w:rFonts w:ascii="黑体" w:hAnsi="黑体" w:eastAsia="黑体"/>
          <w:sz w:val="32"/>
        </w:rPr>
        <w:t>第一部分 单位概况</w:t>
      </w:r>
    </w:p>
    <w:p w14:paraId="0C39488F">
      <w:pPr>
        <w:spacing w:line="640" w:lineRule="exact"/>
        <w:ind w:firstLine="640"/>
        <w:jc w:val="both"/>
        <w:outlineLvl w:val="2"/>
      </w:pPr>
      <w:r>
        <w:rPr>
          <w:rFonts w:ascii="黑体" w:hAnsi="黑体" w:eastAsia="黑体"/>
          <w:sz w:val="32"/>
        </w:rPr>
        <w:t>一、主要职能</w:t>
      </w:r>
    </w:p>
    <w:p w14:paraId="56ADA964">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贯彻执行党和国家的纪要方针、政策及中小学工作条例。</w:t>
      </w:r>
    </w:p>
    <w:p w14:paraId="4FF507B8">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协助上级教育行政部门制定教育事业发展计划，并组织制定乡（镇）的教育事业发展规划，重点抓好普及九年义务教育、幼儿教育和农民教育。</w:t>
      </w:r>
    </w:p>
    <w:p w14:paraId="467813A1">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协助当地政府和上级教育行政部门做好乡（镇）教育校长干部和教师的管理，努力改善广大教师的工作和生活条件，不断提高教师社会地位。</w:t>
      </w:r>
    </w:p>
    <w:p w14:paraId="5E614CAA">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组织和指导全乡镇的教学工作，坚持以教学为中心，正确处理各项工作之间的关系，车市提高教育质量。</w:t>
      </w:r>
    </w:p>
    <w:p w14:paraId="62BB2A4B">
      <w:pPr>
        <w:spacing w:line="640" w:lineRule="exact"/>
        <w:ind w:firstLine="640"/>
        <w:jc w:val="both"/>
        <w:outlineLvl w:val="2"/>
      </w:pPr>
      <w:r>
        <w:rPr>
          <w:rFonts w:ascii="黑体" w:hAnsi="黑体" w:eastAsia="黑体"/>
          <w:sz w:val="32"/>
        </w:rPr>
        <w:t>二、机构设置及人员情况</w:t>
      </w:r>
    </w:p>
    <w:p w14:paraId="0B952246">
      <w:pPr>
        <w:spacing w:line="580" w:lineRule="exact"/>
        <w:ind w:firstLine="640"/>
        <w:jc w:val="both"/>
      </w:pPr>
      <w:r>
        <w:rPr>
          <w:rFonts w:ascii="仿宋_GB2312" w:hAnsi="仿宋_GB2312" w:eastAsia="仿宋_GB2312"/>
          <w:sz w:val="32"/>
        </w:rPr>
        <w:t>疏附县站敏乡小学2024年度，实有人数367人，其中：在职人员296人，增加10人；离休人员0人，增加0人；退休人员71人,增加0人。</w:t>
      </w:r>
    </w:p>
    <w:p w14:paraId="5A712FDD">
      <w:pPr>
        <w:spacing w:line="580" w:lineRule="exact"/>
        <w:ind w:firstLine="640"/>
        <w:jc w:val="both"/>
      </w:pPr>
      <w:r>
        <w:rPr>
          <w:rFonts w:ascii="仿宋_GB2312" w:hAnsi="仿宋_GB2312" w:eastAsia="仿宋_GB2312"/>
          <w:sz w:val="32"/>
        </w:rPr>
        <w:t>疏附县站敏乡小学无下属预算单位，下设8个科室，分别是：书记（党建）办公室、校长（安全）办公室、财务室、教务室、少先队活动室、录播室、书法室、教研室。</w:t>
      </w:r>
    </w:p>
    <w:p w14:paraId="24356CF9">
      <w:r>
        <w:br w:type="page"/>
      </w:r>
    </w:p>
    <w:p w14:paraId="3A1B2E9C">
      <w:pPr>
        <w:spacing w:line="240" w:lineRule="auto"/>
        <w:jc w:val="center"/>
        <w:outlineLvl w:val="1"/>
      </w:pPr>
      <w:r>
        <w:rPr>
          <w:rFonts w:ascii="黑体" w:hAnsi="黑体" w:eastAsia="黑体"/>
          <w:sz w:val="32"/>
        </w:rPr>
        <w:t>第二部分 部门决算情况说明</w:t>
      </w:r>
    </w:p>
    <w:p w14:paraId="27B9BF00">
      <w:pPr>
        <w:spacing w:line="640" w:lineRule="exact"/>
        <w:ind w:firstLine="640"/>
        <w:jc w:val="both"/>
        <w:outlineLvl w:val="2"/>
      </w:pPr>
      <w:r>
        <w:rPr>
          <w:rFonts w:ascii="黑体" w:hAnsi="黑体" w:eastAsia="黑体"/>
          <w:sz w:val="32"/>
        </w:rPr>
        <w:t>一、收入支出决算总体情况说明</w:t>
      </w:r>
    </w:p>
    <w:p w14:paraId="7476FB87">
      <w:pPr>
        <w:spacing w:line="580" w:lineRule="exact"/>
        <w:ind w:firstLine="640"/>
        <w:jc w:val="both"/>
      </w:pPr>
      <w:r>
        <w:rPr>
          <w:rFonts w:ascii="仿宋_GB2312" w:hAnsi="仿宋_GB2312" w:eastAsia="仿宋_GB2312"/>
          <w:b/>
          <w:sz w:val="32"/>
        </w:rPr>
        <w:t>2024年度收入总计6,256.71万元，</w:t>
      </w:r>
      <w:r>
        <w:rPr>
          <w:rFonts w:ascii="仿宋_GB2312" w:hAnsi="仿宋_GB2312" w:eastAsia="仿宋_GB2312"/>
          <w:b w:val="0"/>
          <w:sz w:val="32"/>
        </w:rPr>
        <w:t>其中：本年收入合计6,256.71万元，使用非财政拨款结余（含专用结余）0.00万元，年初结转和结余0.00万元。</w:t>
      </w:r>
    </w:p>
    <w:p w14:paraId="3B5331C1">
      <w:pPr>
        <w:spacing w:line="580" w:lineRule="exact"/>
        <w:ind w:firstLine="640"/>
        <w:jc w:val="both"/>
      </w:pPr>
      <w:r>
        <w:rPr>
          <w:rFonts w:ascii="仿宋_GB2312" w:hAnsi="仿宋_GB2312" w:eastAsia="仿宋_GB2312"/>
          <w:b/>
          <w:sz w:val="32"/>
        </w:rPr>
        <w:t>2024年度支出总计6,256.71万元，</w:t>
      </w:r>
      <w:r>
        <w:rPr>
          <w:rFonts w:ascii="仿宋_GB2312" w:hAnsi="仿宋_GB2312" w:eastAsia="仿宋_GB2312"/>
          <w:b w:val="0"/>
          <w:sz w:val="32"/>
        </w:rPr>
        <w:t>其中：本年支出合计6,256.71万元，结余分配0.00万元，年末结转和结余0.00万元。</w:t>
      </w:r>
    </w:p>
    <w:p w14:paraId="6C62683E">
      <w:pPr>
        <w:spacing w:line="580" w:lineRule="exact"/>
        <w:ind w:firstLine="640"/>
        <w:jc w:val="both"/>
      </w:pPr>
      <w:r>
        <w:rPr>
          <w:rFonts w:ascii="仿宋_GB2312" w:hAnsi="仿宋_GB2312" w:eastAsia="仿宋_GB2312"/>
          <w:b w:val="0"/>
          <w:sz w:val="32"/>
        </w:rPr>
        <w:t>收入支出总体与上年相比，增加198.70万元，增长3.28%，主要原因是：</w:t>
      </w:r>
      <w:r>
        <w:rPr>
          <w:rFonts w:hint="eastAsia" w:ascii="仿宋_GB2312" w:hAnsi="仿宋_GB2312" w:eastAsia="仿宋_GB2312"/>
          <w:b w:val="0"/>
          <w:sz w:val="32"/>
          <w:lang w:eastAsia="zh-CN"/>
        </w:rPr>
        <w:t>本</w:t>
      </w:r>
      <w:r>
        <w:rPr>
          <w:rFonts w:ascii="仿宋_GB2312" w:hAnsi="仿宋_GB2312" w:eastAsia="仿宋_GB2312"/>
          <w:b w:val="0"/>
          <w:sz w:val="32"/>
        </w:rPr>
        <w:t>年在职人员工资调薪，工资、社保、公积金等相关人员经费增加。本年增加城乡义务教育中央补助经费、家庭经济困难学生综合奖补资金</w:t>
      </w:r>
      <w:r>
        <w:rPr>
          <w:rFonts w:hint="eastAsia" w:ascii="仿宋_GB2312" w:hAnsi="仿宋_GB2312" w:eastAsia="仿宋_GB2312"/>
          <w:b w:val="0"/>
          <w:sz w:val="32"/>
          <w:lang w:eastAsia="zh-CN"/>
        </w:rPr>
        <w:t>，</w:t>
      </w:r>
      <w:r>
        <w:rPr>
          <w:rFonts w:ascii="仿宋_GB2312" w:hAnsi="仿宋_GB2312" w:eastAsia="仿宋_GB2312"/>
          <w:b w:val="0"/>
          <w:sz w:val="32"/>
        </w:rPr>
        <w:t>增加援疆帮扶资金、乡村少年宫运转资金，导致经费较上年增加。</w:t>
      </w:r>
    </w:p>
    <w:p w14:paraId="283B0C7B">
      <w:pPr>
        <w:spacing w:line="640" w:lineRule="exact"/>
        <w:ind w:firstLine="640"/>
        <w:jc w:val="both"/>
        <w:outlineLvl w:val="2"/>
      </w:pPr>
      <w:r>
        <w:rPr>
          <w:rFonts w:ascii="黑体" w:hAnsi="黑体" w:eastAsia="黑体"/>
          <w:sz w:val="32"/>
        </w:rPr>
        <w:t>二、收入决算情况说明</w:t>
      </w:r>
    </w:p>
    <w:p w14:paraId="3A311E07">
      <w:pPr>
        <w:spacing w:line="580" w:lineRule="exact"/>
        <w:ind w:firstLine="640"/>
        <w:jc w:val="both"/>
      </w:pPr>
      <w:r>
        <w:rPr>
          <w:rFonts w:ascii="仿宋_GB2312" w:hAnsi="仿宋_GB2312" w:eastAsia="仿宋_GB2312"/>
          <w:b/>
          <w:sz w:val="32"/>
        </w:rPr>
        <w:t>本年收入6,256.71万元，</w:t>
      </w:r>
      <w:r>
        <w:rPr>
          <w:rFonts w:ascii="仿宋_GB2312" w:hAnsi="仿宋_GB2312" w:eastAsia="仿宋_GB2312"/>
          <w:b w:val="0"/>
          <w:sz w:val="32"/>
        </w:rPr>
        <w:t>其中：财政拨款收入6,164.07万元，占98.52%；上级补助收入0.00万元，占0.00%；事业收入0.00万元，占0.00%；经营收入0.00万元，占0.00%；附属单位上缴收入0.00万元，占0.00%；其他收入92.64万元，占1.48%。</w:t>
      </w:r>
    </w:p>
    <w:p w14:paraId="00FA2DEA">
      <w:pPr>
        <w:spacing w:line="640" w:lineRule="exact"/>
        <w:ind w:firstLine="640"/>
        <w:jc w:val="both"/>
        <w:outlineLvl w:val="2"/>
      </w:pPr>
      <w:r>
        <w:rPr>
          <w:rFonts w:ascii="黑体" w:hAnsi="黑体" w:eastAsia="黑体"/>
          <w:sz w:val="32"/>
        </w:rPr>
        <w:t>三、支出决算情况说明</w:t>
      </w:r>
    </w:p>
    <w:p w14:paraId="1CC0F8D0">
      <w:pPr>
        <w:spacing w:line="580" w:lineRule="exact"/>
        <w:ind w:firstLine="640"/>
        <w:jc w:val="both"/>
      </w:pPr>
      <w:r>
        <w:rPr>
          <w:rFonts w:ascii="仿宋_GB2312" w:hAnsi="仿宋_GB2312" w:eastAsia="仿宋_GB2312"/>
          <w:b/>
          <w:sz w:val="32"/>
        </w:rPr>
        <w:t>本年支出6,256.71万元，</w:t>
      </w:r>
      <w:r>
        <w:rPr>
          <w:rFonts w:ascii="仿宋_GB2312" w:hAnsi="仿宋_GB2312" w:eastAsia="仿宋_GB2312"/>
          <w:b w:val="0"/>
          <w:sz w:val="32"/>
        </w:rPr>
        <w:t>其中：基本支出4,876.45万元，占77.94%；项目支出1,380.26万元，占22.06%；上缴上级支出0.00万元，占0.00%；经营支出0.00万元，占0.00%；对附属单位补助支出0.00万元，占0.00%。</w:t>
      </w:r>
    </w:p>
    <w:p w14:paraId="3B12889B">
      <w:pPr>
        <w:spacing w:line="640" w:lineRule="exact"/>
        <w:ind w:firstLine="640"/>
        <w:jc w:val="both"/>
        <w:outlineLvl w:val="2"/>
      </w:pPr>
      <w:r>
        <w:rPr>
          <w:rFonts w:ascii="黑体" w:hAnsi="黑体" w:eastAsia="黑体"/>
          <w:sz w:val="32"/>
        </w:rPr>
        <w:t>四、财政拨款收入支出决算总体情况说明</w:t>
      </w:r>
    </w:p>
    <w:p w14:paraId="5130D91A">
      <w:pPr>
        <w:spacing w:line="580" w:lineRule="exact"/>
        <w:ind w:firstLine="640"/>
        <w:jc w:val="both"/>
      </w:pPr>
      <w:r>
        <w:rPr>
          <w:rFonts w:ascii="仿宋_GB2312" w:hAnsi="仿宋_GB2312" w:eastAsia="仿宋_GB2312"/>
          <w:b/>
          <w:sz w:val="32"/>
        </w:rPr>
        <w:t>2024年度财政拨款收入总计6,164.07万元，</w:t>
      </w:r>
      <w:r>
        <w:rPr>
          <w:rFonts w:ascii="仿宋_GB2312" w:hAnsi="仿宋_GB2312" w:eastAsia="仿宋_GB2312"/>
          <w:b w:val="0"/>
          <w:sz w:val="32"/>
        </w:rPr>
        <w:t>其中：年初财政拨款结转和结余0.00万元，本年财政拨款收入6,164.07万元。</w:t>
      </w:r>
      <w:r>
        <w:rPr>
          <w:rFonts w:ascii="仿宋_GB2312" w:hAnsi="仿宋_GB2312" w:eastAsia="仿宋_GB2312"/>
          <w:b/>
          <w:sz w:val="32"/>
        </w:rPr>
        <w:t>财政拨款支出总计6,164.07万元，</w:t>
      </w:r>
      <w:r>
        <w:rPr>
          <w:rFonts w:ascii="仿宋_GB2312" w:hAnsi="仿宋_GB2312" w:eastAsia="仿宋_GB2312"/>
          <w:b w:val="0"/>
          <w:sz w:val="32"/>
        </w:rPr>
        <w:t>其中：年末财政拨款结转和结余0.00万元，本年财政拨款支出6,164.07万元。</w:t>
      </w:r>
    </w:p>
    <w:p w14:paraId="4EE37CC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增加129.06万元，增长2.14%，主要原因是：本年在职人员工资调薪，工资、社保、公积金等相关人员经费增加。本年增加城乡义务教育中央补助经费、家庭经济困难学生综合奖补资金，导致经费较上年增加。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年初预算数5,362.31万元，决算数6,164.07万元，预决算差异率14.95%，主要原因是：年中追加人员工资、社保、公积金基数调增部分资金，年中追加乡村少年宫运转资金项目经费，导致预决算存在差异。</w:t>
      </w:r>
    </w:p>
    <w:p w14:paraId="0BDE1155">
      <w:pPr>
        <w:spacing w:line="640" w:lineRule="exact"/>
        <w:ind w:firstLine="640"/>
        <w:jc w:val="both"/>
        <w:outlineLvl w:val="2"/>
      </w:pPr>
      <w:r>
        <w:rPr>
          <w:rFonts w:ascii="黑体" w:hAnsi="黑体" w:eastAsia="黑体"/>
          <w:sz w:val="32"/>
        </w:rPr>
        <w:t>五、一般公共预算财政拨款支出决算情况说明</w:t>
      </w:r>
    </w:p>
    <w:p w14:paraId="3478671A">
      <w:pPr>
        <w:spacing w:line="640" w:lineRule="exact"/>
        <w:ind w:firstLine="640"/>
        <w:jc w:val="both"/>
        <w:outlineLvl w:val="3"/>
      </w:pPr>
      <w:r>
        <w:rPr>
          <w:rFonts w:ascii="楷体_GB2312" w:hAnsi="楷体_GB2312" w:eastAsia="楷体_GB2312"/>
          <w:b/>
          <w:sz w:val="32"/>
        </w:rPr>
        <w:t>（一）一般公共预算财政拨款支出决算总体情况</w:t>
      </w:r>
    </w:p>
    <w:p w14:paraId="47CAE013">
      <w:pPr>
        <w:spacing w:line="580" w:lineRule="exact"/>
        <w:ind w:firstLine="640"/>
        <w:jc w:val="both"/>
      </w:pPr>
      <w:r>
        <w:rPr>
          <w:rFonts w:ascii="仿宋_GB2312" w:hAnsi="仿宋_GB2312" w:eastAsia="仿宋_GB2312"/>
          <w:b/>
          <w:sz w:val="32"/>
        </w:rPr>
        <w:t>2024年度一般公共预算财政拨款支出6,162.57万元，</w:t>
      </w:r>
      <w:r>
        <w:rPr>
          <w:rFonts w:ascii="仿宋_GB2312" w:hAnsi="仿宋_GB2312" w:eastAsia="仿宋_GB2312"/>
          <w:b w:val="0"/>
          <w:sz w:val="32"/>
        </w:rPr>
        <w:t>占本年支出合计的98.50%。</w:t>
      </w:r>
      <w:r>
        <w:rPr>
          <w:rFonts w:ascii="仿宋_GB2312" w:hAnsi="仿宋_GB2312" w:eastAsia="仿宋_GB2312"/>
          <w:b/>
          <w:sz w:val="32"/>
        </w:rPr>
        <w:t>与上年相比，</w:t>
      </w:r>
      <w:r>
        <w:rPr>
          <w:rFonts w:ascii="仿宋_GB2312" w:hAnsi="仿宋_GB2312" w:eastAsia="仿宋_GB2312"/>
          <w:b w:val="0"/>
          <w:sz w:val="32"/>
        </w:rPr>
        <w:t>增加129.06万元，增长2.14%，主要原因是：本年在职人员工资调薪，工资、社保、公积金等相关人员经费增加。本年增加城乡义务教育中央补助经费、家庭经济困难学生综合奖补资金，导致经费较上年增加。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年初预算数5,362.31万元，决算数6,162.57万元，预决算差异率14.92%，主要原因是：年中追加人员工资、社保、公积金基数调增部分资金，导致预决算存在差异。</w:t>
      </w:r>
    </w:p>
    <w:p w14:paraId="6520AF70">
      <w:pPr>
        <w:spacing w:line="640" w:lineRule="exact"/>
        <w:ind w:firstLine="640"/>
        <w:jc w:val="both"/>
        <w:outlineLvl w:val="3"/>
      </w:pPr>
      <w:r>
        <w:rPr>
          <w:rFonts w:ascii="楷体_GB2312" w:hAnsi="楷体_GB2312" w:eastAsia="楷体_GB2312"/>
          <w:b/>
          <w:sz w:val="32"/>
        </w:rPr>
        <w:t>（二）一般公共预算财政拨款支出决算结构情况</w:t>
      </w:r>
    </w:p>
    <w:p w14:paraId="40D9C5B5">
      <w:pPr>
        <w:spacing w:line="580" w:lineRule="exact"/>
        <w:ind w:firstLine="640"/>
        <w:jc w:val="both"/>
      </w:pPr>
      <w:r>
        <w:rPr>
          <w:rFonts w:ascii="仿宋_GB2312" w:hAnsi="仿宋_GB2312" w:eastAsia="仿宋_GB2312"/>
          <w:b w:val="0"/>
          <w:sz w:val="32"/>
        </w:rPr>
        <w:t>1.教育支出(类)6,162.57万元,占100.00%。</w:t>
      </w:r>
    </w:p>
    <w:p w14:paraId="592FCBE6">
      <w:pPr>
        <w:spacing w:line="640" w:lineRule="exact"/>
        <w:ind w:firstLine="640"/>
        <w:jc w:val="both"/>
        <w:outlineLvl w:val="3"/>
      </w:pPr>
      <w:r>
        <w:rPr>
          <w:rFonts w:ascii="楷体_GB2312" w:hAnsi="楷体_GB2312" w:eastAsia="楷体_GB2312"/>
          <w:b/>
          <w:sz w:val="32"/>
        </w:rPr>
        <w:t>（三）一般公共预算财政拨款支出决算具体情况</w:t>
      </w:r>
    </w:p>
    <w:p w14:paraId="438A9A0E">
      <w:pPr>
        <w:spacing w:line="580" w:lineRule="exact"/>
        <w:ind w:firstLine="640"/>
        <w:jc w:val="both"/>
      </w:pPr>
      <w:r>
        <w:rPr>
          <w:rFonts w:ascii="仿宋_GB2312" w:hAnsi="仿宋_GB2312" w:eastAsia="仿宋_GB2312"/>
          <w:b w:val="0"/>
          <w:sz w:val="32"/>
        </w:rPr>
        <w:t>1.教育支出(类)普通教育(款)小学教育(项):支出决算数为5,993.77万元，比上年决算增加577.05万元，增长10.65%,主要原因是：本年在职人员工资调薪，工资、社保、公积金等相关人员经费增加；功能科目调整，在校学生生活补助、城乡义务教育中央补助经</w:t>
      </w:r>
      <w:bookmarkStart w:id="0" w:name="_GoBack"/>
      <w:r>
        <w:rPr>
          <w:rFonts w:hint="eastAsia" w:ascii="仿宋_GB2312" w:hAnsi="仿宋_GB2312" w:eastAsia="仿宋_GB2312"/>
          <w:b w:val="0"/>
          <w:sz w:val="32"/>
          <w:lang w:eastAsia="zh-CN"/>
        </w:rPr>
        <w:t>费和</w:t>
      </w:r>
      <w:bookmarkEnd w:id="0"/>
      <w:r>
        <w:rPr>
          <w:rFonts w:ascii="仿宋_GB2312" w:hAnsi="仿宋_GB2312" w:eastAsia="仿宋_GB2312"/>
          <w:b w:val="0"/>
          <w:sz w:val="32"/>
        </w:rPr>
        <w:t>公用经费等上年在其他普通教育支出</w:t>
      </w:r>
      <w:r>
        <w:rPr>
          <w:rFonts w:hint="eastAsia" w:ascii="仿宋_GB2312" w:hAnsi="仿宋_GB2312" w:eastAsia="仿宋_GB2312"/>
          <w:b w:val="0"/>
          <w:sz w:val="32"/>
          <w:lang w:val="en-US" w:eastAsia="zh-CN"/>
        </w:rPr>
        <w:t>科目</w:t>
      </w:r>
      <w:r>
        <w:rPr>
          <w:rFonts w:ascii="仿宋_GB2312" w:hAnsi="仿宋_GB2312" w:eastAsia="仿宋_GB2312"/>
          <w:b w:val="0"/>
          <w:sz w:val="32"/>
        </w:rPr>
        <w:t>列支，本年调整至小学教育科目列支；本年增加义务教育公用经费及取暖费、家庭经济困难学生综合奖补资金项目，导致经费较上年增加。</w:t>
      </w:r>
    </w:p>
    <w:p w14:paraId="7367CB32">
      <w:pPr>
        <w:spacing w:line="580" w:lineRule="exact"/>
        <w:ind w:firstLine="640"/>
        <w:jc w:val="both"/>
      </w:pPr>
      <w:r>
        <w:rPr>
          <w:rFonts w:ascii="仿宋_GB2312" w:hAnsi="仿宋_GB2312" w:eastAsia="仿宋_GB2312"/>
          <w:b w:val="0"/>
          <w:sz w:val="32"/>
        </w:rPr>
        <w:t>2.教育支出(类)普通教育(款)其他普通教育支出(项):支出决算数为157.05万元，比上年决算减少348.45万元，下降68.93%,主要原因是：本年功能科目调整，在校学生生活补助、城乡义务教育中央补助经费，公用经费等项目上年在本科目列支，本年在小学教育科目列支，导致经费较上年减少。</w:t>
      </w:r>
    </w:p>
    <w:p w14:paraId="52F53FF7">
      <w:pPr>
        <w:spacing w:line="580" w:lineRule="exact"/>
        <w:ind w:firstLine="640"/>
        <w:jc w:val="both"/>
      </w:pPr>
      <w:r>
        <w:rPr>
          <w:rFonts w:ascii="仿宋_GB2312" w:hAnsi="仿宋_GB2312" w:eastAsia="仿宋_GB2312"/>
          <w:b w:val="0"/>
          <w:sz w:val="32"/>
        </w:rPr>
        <w:t>3.教育支出(类)其他教育支出(款)其他教育支出(项):支出决算数为11.75万元，比上年决算减少99.54万元，下降89.44%,主要原因是：长聘人员工资项目资金减少。</w:t>
      </w:r>
    </w:p>
    <w:p w14:paraId="66B14742">
      <w:pPr>
        <w:spacing w:line="640" w:lineRule="exact"/>
        <w:ind w:firstLine="640"/>
        <w:jc w:val="both"/>
        <w:outlineLvl w:val="2"/>
      </w:pPr>
      <w:r>
        <w:rPr>
          <w:rFonts w:ascii="黑体" w:hAnsi="黑体" w:eastAsia="黑体"/>
          <w:sz w:val="32"/>
        </w:rPr>
        <w:t>六、一般公共预算财政拨款基本支出决算情况说明</w:t>
      </w:r>
    </w:p>
    <w:p w14:paraId="2C4E6061">
      <w:pPr>
        <w:spacing w:line="580" w:lineRule="exact"/>
        <w:ind w:firstLine="640"/>
        <w:jc w:val="both"/>
      </w:pPr>
      <w:r>
        <w:rPr>
          <w:rFonts w:ascii="仿宋_GB2312" w:hAnsi="仿宋_GB2312" w:eastAsia="仿宋_GB2312"/>
          <w:b w:val="0"/>
          <w:sz w:val="32"/>
        </w:rPr>
        <w:t>2024年度一般公共预算财政拨款基本支出4,876.45万元，其中：</w:t>
      </w:r>
      <w:r>
        <w:rPr>
          <w:rFonts w:ascii="仿宋_GB2312" w:hAnsi="仿宋_GB2312" w:eastAsia="仿宋_GB2312"/>
          <w:b/>
          <w:sz w:val="32"/>
        </w:rPr>
        <w:t>人员经费4,876.45万元，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其他对个人和家庭的补助。</w:t>
      </w:r>
    </w:p>
    <w:p w14:paraId="30F06430">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6B6A365">
      <w:pPr>
        <w:spacing w:line="640" w:lineRule="exact"/>
        <w:ind w:firstLine="640"/>
        <w:jc w:val="both"/>
        <w:outlineLvl w:val="2"/>
      </w:pPr>
      <w:r>
        <w:rPr>
          <w:rFonts w:ascii="黑体" w:hAnsi="黑体" w:eastAsia="黑体"/>
          <w:sz w:val="32"/>
        </w:rPr>
        <w:t>七、政府性基金预算财政拨款收入支出决算情况说明</w:t>
      </w:r>
    </w:p>
    <w:p w14:paraId="05C2D22C">
      <w:pPr>
        <w:spacing w:line="580" w:lineRule="exact"/>
        <w:ind w:firstLine="640"/>
        <w:jc w:val="both"/>
      </w:pPr>
      <w:r>
        <w:rPr>
          <w:rFonts w:ascii="仿宋_GB2312" w:hAnsi="仿宋_GB2312" w:eastAsia="仿宋_GB2312"/>
          <w:b/>
          <w:sz w:val="32"/>
        </w:rPr>
        <w:t>2024年度政府性基金预算财政拨款收入总计1.50万元，</w:t>
      </w:r>
      <w:r>
        <w:rPr>
          <w:rFonts w:ascii="仿宋_GB2312" w:hAnsi="仿宋_GB2312" w:eastAsia="仿宋_GB2312"/>
          <w:b w:val="0"/>
          <w:sz w:val="32"/>
        </w:rPr>
        <w:t>其中：年初结转和结余0.00万元，本年收入1.50万元。</w:t>
      </w:r>
      <w:r>
        <w:rPr>
          <w:rFonts w:ascii="仿宋_GB2312" w:hAnsi="仿宋_GB2312" w:eastAsia="仿宋_GB2312"/>
          <w:b/>
          <w:sz w:val="32"/>
        </w:rPr>
        <w:t>政府性基金预算财政拨款支出总计1.50万元，</w:t>
      </w:r>
      <w:r>
        <w:rPr>
          <w:rFonts w:ascii="仿宋_GB2312" w:hAnsi="仿宋_GB2312" w:eastAsia="仿宋_GB2312"/>
          <w:b w:val="0"/>
          <w:sz w:val="32"/>
        </w:rPr>
        <w:t>其中：年末结转和结余0.00万元，本年支出1.50万元。</w:t>
      </w:r>
    </w:p>
    <w:p w14:paraId="420A69B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增加0.00万元，增长0.00%，主要原因是：本年少年宫运转资金与上年一致，无变化。</w:t>
      </w:r>
      <w:r>
        <w:rPr>
          <w:rFonts w:ascii="仿宋_GB2312" w:hAnsi="仿宋_GB2312" w:eastAsia="仿宋_GB2312"/>
          <w:b/>
          <w:sz w:val="32"/>
        </w:rPr>
        <w:t>与年初预算相比，</w:t>
      </w:r>
      <w:r>
        <w:rPr>
          <w:rFonts w:ascii="仿宋_GB2312" w:hAnsi="仿宋_GB2312" w:eastAsia="仿宋_GB2312"/>
          <w:b w:val="0"/>
          <w:sz w:val="32"/>
        </w:rPr>
        <w:t>年初预算数0.00万元，决算数1.50万元，预决算差异率100.00%，主要原因是：年中追加少年宫运转资金，导致预决算存在差异。</w:t>
      </w:r>
    </w:p>
    <w:p w14:paraId="42FBC290">
      <w:pPr>
        <w:spacing w:line="580" w:lineRule="exact"/>
        <w:ind w:firstLine="640"/>
        <w:jc w:val="both"/>
      </w:pPr>
      <w:r>
        <w:rPr>
          <w:rFonts w:ascii="仿宋_GB2312" w:hAnsi="仿宋_GB2312" w:eastAsia="仿宋_GB2312"/>
          <w:b w:val="0"/>
          <w:sz w:val="32"/>
        </w:rPr>
        <w:t>政府性基金预算财政拨款支出1.50万元。</w:t>
      </w:r>
    </w:p>
    <w:p w14:paraId="600638F1">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1.其他支出(类)彩票公益金安排的支出(款)用于教育事业的彩票公益金支出(项):支出决算数为1.50万元，比上年决算增加0.00万元，增长0.00%,主要原因是：本年少年宫运转资金与上年一致，无变化。</w:t>
      </w:r>
    </w:p>
    <w:p w14:paraId="06999703">
      <w:pPr>
        <w:spacing w:line="640" w:lineRule="exact"/>
        <w:ind w:firstLine="640"/>
        <w:jc w:val="both"/>
        <w:outlineLvl w:val="2"/>
      </w:pPr>
      <w:r>
        <w:rPr>
          <w:rFonts w:ascii="黑体" w:hAnsi="黑体" w:eastAsia="黑体"/>
          <w:sz w:val="32"/>
        </w:rPr>
        <w:t>八、国有资本经营预算财政拨款收入支出决算情况说明</w:t>
      </w:r>
    </w:p>
    <w:p w14:paraId="4B6BC89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900BEA2">
      <w:pPr>
        <w:spacing w:line="640" w:lineRule="exact"/>
        <w:ind w:firstLine="640"/>
        <w:jc w:val="both"/>
        <w:outlineLvl w:val="2"/>
      </w:pPr>
      <w:r>
        <w:rPr>
          <w:rFonts w:ascii="黑体" w:hAnsi="黑体" w:eastAsia="黑体"/>
          <w:sz w:val="32"/>
        </w:rPr>
        <w:t>九、财政拨款“三公”经费支出决算情况说明</w:t>
      </w:r>
    </w:p>
    <w:p w14:paraId="3904DCC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CF559C0">
      <w:pPr>
        <w:spacing w:line="580" w:lineRule="exact"/>
        <w:ind w:firstLine="640"/>
        <w:jc w:val="both"/>
      </w:pPr>
      <w:r>
        <w:rPr>
          <w:rFonts w:ascii="仿宋_GB2312" w:hAnsi="仿宋_GB2312" w:eastAsia="仿宋_GB2312"/>
          <w:b/>
          <w:sz w:val="32"/>
        </w:rPr>
        <w:t>具体情况如下：</w:t>
      </w:r>
    </w:p>
    <w:p w14:paraId="1B9334F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91D5AE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7427DD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28B5A8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2D2EFE2">
      <w:pPr>
        <w:spacing w:line="640" w:lineRule="exact"/>
        <w:ind w:firstLine="640"/>
        <w:jc w:val="both"/>
        <w:outlineLvl w:val="2"/>
      </w:pPr>
      <w:r>
        <w:rPr>
          <w:rFonts w:ascii="黑体" w:hAnsi="黑体" w:eastAsia="黑体"/>
          <w:sz w:val="32"/>
        </w:rPr>
        <w:t>十、其他重要事项的情况说明</w:t>
      </w:r>
    </w:p>
    <w:p w14:paraId="22BA776E">
      <w:pPr>
        <w:spacing w:line="640" w:lineRule="exact"/>
        <w:ind w:firstLine="640"/>
        <w:jc w:val="both"/>
        <w:outlineLvl w:val="3"/>
      </w:pPr>
      <w:r>
        <w:rPr>
          <w:rFonts w:ascii="楷体_GB2312" w:hAnsi="楷体_GB2312" w:eastAsia="楷体_GB2312"/>
          <w:b/>
          <w:sz w:val="32"/>
        </w:rPr>
        <w:t>（一）机关运行经费及公用经费支出情况</w:t>
      </w:r>
    </w:p>
    <w:p w14:paraId="5F3A8921">
      <w:pPr>
        <w:spacing w:line="580" w:lineRule="exact"/>
        <w:ind w:firstLine="640"/>
        <w:jc w:val="both"/>
      </w:pPr>
      <w:r>
        <w:rPr>
          <w:rFonts w:ascii="仿宋_GB2312" w:hAnsi="仿宋_GB2312" w:eastAsia="仿宋_GB2312"/>
          <w:b w:val="0"/>
          <w:sz w:val="32"/>
        </w:rPr>
        <w:t>2024年度疏附县站敏乡小学（事业单位）公用经费支出0.00万元，比上年增加0.00万元，增长0.00%，主要原因是：2023年与2024年均未安排公用经费支出。</w:t>
      </w:r>
    </w:p>
    <w:p w14:paraId="72665B8C">
      <w:pPr>
        <w:spacing w:line="640" w:lineRule="exact"/>
        <w:ind w:firstLine="640"/>
        <w:jc w:val="both"/>
        <w:outlineLvl w:val="3"/>
      </w:pPr>
      <w:r>
        <w:rPr>
          <w:rFonts w:ascii="楷体_GB2312" w:hAnsi="楷体_GB2312" w:eastAsia="楷体_GB2312"/>
          <w:b/>
          <w:sz w:val="32"/>
        </w:rPr>
        <w:t>（二）政府采购情况</w:t>
      </w:r>
    </w:p>
    <w:p w14:paraId="441EC0FF">
      <w:pPr>
        <w:spacing w:line="580" w:lineRule="exact"/>
        <w:ind w:firstLine="640"/>
        <w:jc w:val="both"/>
      </w:pPr>
      <w:r>
        <w:rPr>
          <w:rFonts w:ascii="仿宋_GB2312" w:hAnsi="仿宋_GB2312" w:eastAsia="仿宋_GB2312"/>
          <w:b w:val="0"/>
          <w:sz w:val="32"/>
        </w:rPr>
        <w:t>2024年度政府采购支出总额69.02万元，其中：政府采购货物支出33.15万元、政府采购工程支出35.86万元、政府采购服务支出0.00万元。</w:t>
      </w:r>
    </w:p>
    <w:p w14:paraId="2FB33C25">
      <w:pPr>
        <w:spacing w:line="580" w:lineRule="exact"/>
        <w:ind w:firstLine="640"/>
        <w:jc w:val="both"/>
      </w:pPr>
      <w:r>
        <w:rPr>
          <w:rFonts w:ascii="仿宋_GB2312" w:hAnsi="仿宋_GB2312" w:eastAsia="仿宋_GB2312"/>
          <w:b w:val="0"/>
          <w:sz w:val="32"/>
        </w:rPr>
        <w:t>授予中小企业合同金额69.02万元，占政府采购支出总额的100.00%，其中：授予小微企业合同金额47.40万元，占政府采购支出总额的68.68%。</w:t>
      </w:r>
    </w:p>
    <w:p w14:paraId="5590C0E1">
      <w:pPr>
        <w:spacing w:line="640" w:lineRule="exact"/>
        <w:ind w:firstLine="640"/>
        <w:jc w:val="both"/>
        <w:outlineLvl w:val="3"/>
      </w:pPr>
      <w:r>
        <w:rPr>
          <w:rFonts w:ascii="楷体_GB2312" w:hAnsi="楷体_GB2312" w:eastAsia="楷体_GB2312"/>
          <w:b/>
          <w:sz w:val="32"/>
        </w:rPr>
        <w:t>（三）国有资产占用情况说明</w:t>
      </w:r>
    </w:p>
    <w:p w14:paraId="4F9A5C41">
      <w:pPr>
        <w:spacing w:line="580" w:lineRule="exact"/>
        <w:ind w:firstLine="640"/>
        <w:jc w:val="both"/>
      </w:pPr>
      <w:r>
        <w:rPr>
          <w:rFonts w:ascii="仿宋_GB2312" w:hAnsi="仿宋_GB2312" w:eastAsia="仿宋_GB2312"/>
          <w:b w:val="0"/>
          <w:sz w:val="32"/>
        </w:rPr>
        <w:t>截至2024年12月31日，房屋40,744.33平方米，价值6,373.24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9EF2E5A">
      <w:pPr>
        <w:spacing w:line="640" w:lineRule="exact"/>
        <w:ind w:firstLine="640"/>
        <w:jc w:val="both"/>
        <w:outlineLvl w:val="2"/>
      </w:pPr>
      <w:r>
        <w:rPr>
          <w:rFonts w:ascii="黑体" w:hAnsi="黑体" w:eastAsia="黑体"/>
          <w:sz w:val="32"/>
        </w:rPr>
        <w:t>十一、预算绩效的情况说明</w:t>
      </w:r>
    </w:p>
    <w:p w14:paraId="7C4F2CA0">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无预算绩效项目。发现的问题及原因：2024年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无预算绩效项目。下一步改进措施：2024年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w:t>
      </w:r>
    </w:p>
    <w:p w14:paraId="07D25323">
      <w:r>
        <w:br w:type="page"/>
      </w:r>
    </w:p>
    <w:p w14:paraId="1D21E567">
      <w:pPr>
        <w:spacing w:line="640" w:lineRule="exact"/>
        <w:ind w:firstLine="640"/>
        <w:jc w:val="both"/>
        <w:outlineLvl w:val="2"/>
      </w:pPr>
      <w:r>
        <w:rPr>
          <w:rFonts w:ascii="黑体" w:hAnsi="黑体" w:eastAsia="黑体"/>
          <w:sz w:val="32"/>
        </w:rPr>
        <w:t>十二、其他需说明的事项</w:t>
      </w:r>
    </w:p>
    <w:p w14:paraId="25DBD423">
      <w:pPr>
        <w:spacing w:line="580" w:lineRule="exact"/>
        <w:ind w:firstLine="640"/>
        <w:jc w:val="both"/>
      </w:pPr>
      <w:r>
        <w:rPr>
          <w:rFonts w:ascii="仿宋_GB2312" w:hAnsi="仿宋_GB2312" w:eastAsia="仿宋_GB2312"/>
          <w:b w:val="0"/>
          <w:sz w:val="32"/>
        </w:rPr>
        <w:t>本年度本单位整体绩效自评表由疏附县教育局编报并公开。</w:t>
      </w:r>
    </w:p>
    <w:p w14:paraId="08B17087">
      <w:r>
        <w:br w:type="page"/>
      </w:r>
    </w:p>
    <w:p w14:paraId="67BE918B">
      <w:pPr>
        <w:spacing w:line="240" w:lineRule="auto"/>
        <w:jc w:val="center"/>
        <w:outlineLvl w:val="1"/>
      </w:pPr>
      <w:r>
        <w:rPr>
          <w:rFonts w:ascii="黑体" w:hAnsi="黑体" w:eastAsia="黑体"/>
          <w:sz w:val="32"/>
        </w:rPr>
        <w:t>第三部分 专业名词解释</w:t>
      </w:r>
    </w:p>
    <w:p w14:paraId="2C4F3B0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2D984C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3D6371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FC50EA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E1520E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5CEEA0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E1C83B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0DFD67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FBE66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203837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0509AE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D3EECC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C2BFDB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561ABB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A5DE534">
      <w:r>
        <w:br w:type="page"/>
      </w:r>
    </w:p>
    <w:p w14:paraId="490F85A4">
      <w:pPr>
        <w:spacing w:line="240" w:lineRule="auto"/>
        <w:jc w:val="center"/>
        <w:outlineLvl w:val="1"/>
      </w:pPr>
      <w:r>
        <w:rPr>
          <w:rFonts w:ascii="黑体" w:hAnsi="黑体" w:eastAsia="黑体"/>
          <w:sz w:val="32"/>
        </w:rPr>
        <w:t>第四部分 部门决算报表（见附表）</w:t>
      </w:r>
    </w:p>
    <w:p w14:paraId="4EAE6676">
      <w:pPr>
        <w:spacing w:line="240" w:lineRule="auto"/>
        <w:ind w:firstLine="640"/>
        <w:jc w:val="both"/>
      </w:pPr>
      <w:r>
        <w:rPr>
          <w:rFonts w:ascii="仿宋_GB2312" w:hAnsi="仿宋_GB2312" w:eastAsia="仿宋_GB2312"/>
          <w:b w:val="0"/>
          <w:sz w:val="32"/>
        </w:rPr>
        <w:t>一、《收入支出决算总表》</w:t>
      </w:r>
    </w:p>
    <w:p w14:paraId="6A82B0E3">
      <w:pPr>
        <w:spacing w:line="240" w:lineRule="auto"/>
        <w:ind w:firstLine="640"/>
        <w:jc w:val="both"/>
      </w:pPr>
      <w:r>
        <w:rPr>
          <w:rFonts w:ascii="仿宋_GB2312" w:hAnsi="仿宋_GB2312" w:eastAsia="仿宋_GB2312"/>
          <w:b w:val="0"/>
          <w:sz w:val="32"/>
        </w:rPr>
        <w:t>二、《收入决算表》</w:t>
      </w:r>
    </w:p>
    <w:p w14:paraId="79E2B5E7">
      <w:pPr>
        <w:spacing w:line="240" w:lineRule="auto"/>
        <w:ind w:firstLine="640"/>
        <w:jc w:val="both"/>
      </w:pPr>
      <w:r>
        <w:rPr>
          <w:rFonts w:ascii="仿宋_GB2312" w:hAnsi="仿宋_GB2312" w:eastAsia="仿宋_GB2312"/>
          <w:b w:val="0"/>
          <w:sz w:val="32"/>
        </w:rPr>
        <w:t>三、《支出决算表》</w:t>
      </w:r>
    </w:p>
    <w:p w14:paraId="08A0C8ED">
      <w:pPr>
        <w:spacing w:line="240" w:lineRule="auto"/>
        <w:ind w:firstLine="640"/>
        <w:jc w:val="both"/>
      </w:pPr>
      <w:r>
        <w:rPr>
          <w:rFonts w:ascii="仿宋_GB2312" w:hAnsi="仿宋_GB2312" w:eastAsia="仿宋_GB2312"/>
          <w:b w:val="0"/>
          <w:sz w:val="32"/>
        </w:rPr>
        <w:t>四、《财政拨款收入支出决算总表》</w:t>
      </w:r>
    </w:p>
    <w:p w14:paraId="2182888A">
      <w:pPr>
        <w:spacing w:line="240" w:lineRule="auto"/>
        <w:ind w:firstLine="640"/>
        <w:jc w:val="both"/>
      </w:pPr>
      <w:r>
        <w:rPr>
          <w:rFonts w:ascii="仿宋_GB2312" w:hAnsi="仿宋_GB2312" w:eastAsia="仿宋_GB2312"/>
          <w:b w:val="0"/>
          <w:sz w:val="32"/>
        </w:rPr>
        <w:t>五、《一般公共预算财政拨款支出决算表》</w:t>
      </w:r>
    </w:p>
    <w:p w14:paraId="3A22364C">
      <w:pPr>
        <w:spacing w:line="240" w:lineRule="auto"/>
        <w:ind w:firstLine="640"/>
        <w:jc w:val="both"/>
      </w:pPr>
      <w:r>
        <w:rPr>
          <w:rFonts w:ascii="仿宋_GB2312" w:hAnsi="仿宋_GB2312" w:eastAsia="仿宋_GB2312"/>
          <w:b w:val="0"/>
          <w:sz w:val="32"/>
        </w:rPr>
        <w:t>六、《一般公共预算财政拨款基本支出决算表》</w:t>
      </w:r>
    </w:p>
    <w:p w14:paraId="6D100FFF">
      <w:pPr>
        <w:spacing w:line="240" w:lineRule="auto"/>
        <w:ind w:firstLine="640"/>
        <w:jc w:val="both"/>
      </w:pPr>
      <w:r>
        <w:rPr>
          <w:rFonts w:ascii="仿宋_GB2312" w:hAnsi="仿宋_GB2312" w:eastAsia="仿宋_GB2312"/>
          <w:b w:val="0"/>
          <w:sz w:val="32"/>
        </w:rPr>
        <w:t>七、《政府性基金预算财政拨款收入支出决算表》</w:t>
      </w:r>
    </w:p>
    <w:p w14:paraId="54C24FC5">
      <w:pPr>
        <w:spacing w:line="240" w:lineRule="auto"/>
        <w:ind w:firstLine="640"/>
        <w:jc w:val="both"/>
      </w:pPr>
      <w:r>
        <w:rPr>
          <w:rFonts w:ascii="仿宋_GB2312" w:hAnsi="仿宋_GB2312" w:eastAsia="仿宋_GB2312"/>
          <w:b w:val="0"/>
          <w:sz w:val="32"/>
        </w:rPr>
        <w:t>八、《国有资本经营预算财政拨款收入支出决算表》</w:t>
      </w:r>
    </w:p>
    <w:p w14:paraId="089FA33D">
      <w:pPr>
        <w:spacing w:line="240" w:lineRule="auto"/>
        <w:ind w:firstLine="640"/>
        <w:jc w:val="both"/>
      </w:pPr>
      <w:r>
        <w:rPr>
          <w:rFonts w:ascii="仿宋_GB2312" w:hAnsi="仿宋_GB2312" w:eastAsia="仿宋_GB2312"/>
          <w:b w:val="0"/>
          <w:sz w:val="32"/>
        </w:rPr>
        <w:t>九、《财政拨款“三公”经费支出决算表》</w:t>
      </w:r>
    </w:p>
    <w:p w14:paraId="4F72A863">
      <w:pPr>
        <w:spacing w:line="240" w:lineRule="auto"/>
        <w:ind w:firstLine="640"/>
        <w:jc w:val="both"/>
      </w:pPr>
    </w:p>
    <w:p w14:paraId="0527089C">
      <w:pPr>
        <w:spacing w:line="240" w:lineRule="auto"/>
        <w:ind w:firstLine="640"/>
        <w:jc w:val="both"/>
      </w:pPr>
    </w:p>
    <w:p w14:paraId="51F6952E">
      <w:pPr>
        <w:spacing w:line="240" w:lineRule="auto"/>
        <w:ind w:firstLine="640"/>
        <w:jc w:val="both"/>
      </w:pPr>
    </w:p>
    <w:p w14:paraId="0E586124">
      <w:pPr>
        <w:spacing w:line="240" w:lineRule="auto"/>
        <w:ind w:firstLine="640"/>
        <w:jc w:val="both"/>
      </w:pPr>
    </w:p>
    <w:p w14:paraId="0ECD0E2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582B33"/>
    <w:rsid w:val="3B1220C9"/>
    <w:rsid w:val="3D4824CD"/>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5109</Words>
  <Characters>5780</Characters>
  <Lines>0</Lines>
  <Paragraphs>0</Paragraphs>
  <TotalTime>2</TotalTime>
  <ScaleCrop>false</ScaleCrop>
  <LinksUpToDate>false</LinksUpToDate>
  <CharactersWithSpaces>5790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2025-09-16T04:07:11Z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