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疏附县木什乡中心幼儿园2024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EF9E568">
      <w:r>
        <w:br w:type="page"/>
      </w:r>
    </w:p>
    <w:p w14:paraId="0E75D894">
      <w:pPr>
        <w:spacing w:line="640" w:lineRule="exact"/>
        <w:jc w:val="center"/>
        <w:outlineLvl w:val="1"/>
      </w:pPr>
      <w:r>
        <w:rPr>
          <w:rFonts w:ascii="黑体" w:hAnsi="黑体" w:eastAsia="黑体"/>
          <w:sz w:val="32"/>
        </w:rPr>
        <w:t>第一部分 单位概况</w:t>
      </w:r>
    </w:p>
    <w:p w14:paraId="0501FE58">
      <w:pPr>
        <w:spacing w:line="640" w:lineRule="exact"/>
        <w:ind w:firstLine="640"/>
        <w:jc w:val="both"/>
        <w:outlineLvl w:val="2"/>
      </w:pPr>
      <w:r>
        <w:rPr>
          <w:rFonts w:ascii="黑体" w:hAnsi="黑体" w:eastAsia="黑体"/>
          <w:sz w:val="32"/>
        </w:rPr>
        <w:t>一、主要职能</w:t>
      </w:r>
    </w:p>
    <w:p w14:paraId="4C083AC1">
      <w:pPr>
        <w:spacing w:line="580" w:lineRule="exact"/>
        <w:ind w:firstLine="640"/>
        <w:jc w:val="both"/>
      </w:pPr>
      <w:r>
        <w:rPr>
          <w:rFonts w:ascii="仿宋_GB2312" w:hAnsi="仿宋_GB2312" w:eastAsia="仿宋_GB2312"/>
          <w:sz w:val="32"/>
        </w:rPr>
        <w:t>（1）宣传贯彻执行党和国家的教育方针、教育政策、教育法律和法规，贯彻执行上级教育行政部门的各项规章制度。</w:t>
      </w:r>
    </w:p>
    <w:p w14:paraId="5CD378B6">
      <w:pPr>
        <w:spacing w:line="580" w:lineRule="exact"/>
        <w:ind w:firstLine="640"/>
        <w:jc w:val="both"/>
      </w:pPr>
      <w:r>
        <w:rPr>
          <w:rFonts w:ascii="仿宋_GB2312" w:hAnsi="仿宋_GB2312" w:eastAsia="仿宋_GB2312"/>
          <w:sz w:val="32"/>
        </w:rPr>
        <w:t>（2）在政府和上级教育主管部门的领导下，为师生的学习和工作提供优美和谐的环境。</w:t>
      </w:r>
    </w:p>
    <w:p w14:paraId="04B10F95">
      <w:pPr>
        <w:spacing w:line="580" w:lineRule="exact"/>
        <w:ind w:firstLine="640"/>
        <w:jc w:val="both"/>
      </w:pPr>
      <w:r>
        <w:rPr>
          <w:rFonts w:ascii="仿宋_GB2312" w:hAnsi="仿宋_GB2312" w:eastAsia="仿宋_GB2312"/>
          <w:sz w:val="32"/>
        </w:rPr>
        <w:t>（3）根据市政府制定的教育事业发展规划，结合实际制定并组织实施本县的教育事业发展规划。</w:t>
      </w:r>
    </w:p>
    <w:p w14:paraId="745B32B8">
      <w:pPr>
        <w:spacing w:line="580" w:lineRule="exact"/>
        <w:ind w:firstLine="640"/>
        <w:jc w:val="both"/>
      </w:pPr>
      <w:r>
        <w:rPr>
          <w:rFonts w:ascii="仿宋_GB2312" w:hAnsi="仿宋_GB2312" w:eastAsia="仿宋_GB2312"/>
          <w:sz w:val="32"/>
        </w:rPr>
        <w:t>（4）积极办好本乡的学前教育。</w:t>
      </w:r>
    </w:p>
    <w:p w14:paraId="02DB0EE8">
      <w:pPr>
        <w:spacing w:line="580" w:lineRule="exact"/>
        <w:ind w:firstLine="640"/>
        <w:jc w:val="both"/>
      </w:pPr>
      <w:r>
        <w:rPr>
          <w:rFonts w:ascii="仿宋_GB2312" w:hAnsi="仿宋_GB2312" w:eastAsia="仿宋_GB2312"/>
          <w:sz w:val="32"/>
        </w:rPr>
        <w:t>（5）在政府的领导下，组织教师动员适龄少年就近入学。</w:t>
      </w:r>
    </w:p>
    <w:p w14:paraId="19ACC199">
      <w:pPr>
        <w:spacing w:line="580" w:lineRule="exact"/>
        <w:ind w:firstLine="640"/>
        <w:jc w:val="both"/>
      </w:pPr>
      <w:r>
        <w:rPr>
          <w:rFonts w:ascii="仿宋_GB2312" w:hAnsi="仿宋_GB2312" w:eastAsia="仿宋_GB2312"/>
          <w:sz w:val="32"/>
        </w:rPr>
        <w:t>（6）按照上级有关部门的规定，负责对本校的财务和项目建设进行管理。组织制定和实施校舍建设和校园建设规划，正确使用各项经费，不断改善办学条件，强化安全工作管理，创造良好的育人环境。</w:t>
      </w:r>
    </w:p>
    <w:p w14:paraId="40653AEA">
      <w:pPr>
        <w:spacing w:line="580" w:lineRule="exact"/>
        <w:ind w:firstLine="640"/>
        <w:jc w:val="both"/>
      </w:pPr>
      <w:r>
        <w:rPr>
          <w:rFonts w:ascii="仿宋_GB2312" w:hAnsi="仿宋_GB2312" w:eastAsia="仿宋_GB2312"/>
          <w:sz w:val="32"/>
        </w:rPr>
        <w:t>（7）按照教育课程计划，开齐课程，开足课时，全面推进素质教育，全面提高教育教学质量。</w:t>
      </w:r>
    </w:p>
    <w:p w14:paraId="263AABCA">
      <w:pPr>
        <w:spacing w:line="640" w:lineRule="exact"/>
        <w:ind w:firstLine="640"/>
        <w:jc w:val="both"/>
        <w:outlineLvl w:val="2"/>
      </w:pPr>
      <w:r>
        <w:rPr>
          <w:rFonts w:ascii="黑体" w:hAnsi="黑体" w:eastAsia="黑体"/>
          <w:sz w:val="32"/>
        </w:rPr>
        <w:t>二、机构设置及人员情况</w:t>
      </w:r>
    </w:p>
    <w:p w14:paraId="74C3515F">
      <w:pPr>
        <w:spacing w:line="580" w:lineRule="exact"/>
        <w:ind w:firstLine="640"/>
        <w:jc w:val="both"/>
      </w:pPr>
      <w:r>
        <w:rPr>
          <w:rFonts w:ascii="仿宋_GB2312" w:hAnsi="仿宋_GB2312" w:eastAsia="仿宋_GB2312"/>
          <w:sz w:val="32"/>
        </w:rPr>
        <w:t>疏附县木什乡中心幼儿园2024年度，实有人数59人，其中：在职人员59人，减少7人；离休人员0人，增加0人；退休人员0人</w:t>
      </w:r>
      <w:r>
        <w:rPr>
          <w:rFonts w:hint="eastAsia" w:ascii="仿宋_GB2312" w:hAnsi="仿宋_GB2312" w:eastAsia="仿宋_GB2312"/>
          <w:sz w:val="32"/>
          <w:lang w:eastAsia="zh-CN"/>
        </w:rPr>
        <w:t>，</w:t>
      </w:r>
      <w:r>
        <w:rPr>
          <w:rFonts w:ascii="仿宋_GB2312" w:hAnsi="仿宋_GB2312" w:eastAsia="仿宋_GB2312"/>
          <w:sz w:val="32"/>
        </w:rPr>
        <w:t>增加0人。</w:t>
      </w:r>
    </w:p>
    <w:p w14:paraId="0F5C2A3F">
      <w:pPr>
        <w:spacing w:line="580" w:lineRule="exact"/>
        <w:ind w:firstLine="640"/>
        <w:jc w:val="both"/>
      </w:pPr>
      <w:r>
        <w:rPr>
          <w:rFonts w:ascii="仿宋_GB2312" w:hAnsi="仿宋_GB2312" w:eastAsia="仿宋_GB2312"/>
          <w:sz w:val="32"/>
        </w:rPr>
        <w:t>疏附县木什乡中心幼儿园无下属预算单位，下设5个科室，分别是：园长办公室、书记办公室、综合办公室、保健室、党建办公室。</w:t>
      </w:r>
    </w:p>
    <w:p w14:paraId="756F61EA">
      <w:r>
        <w:br w:type="page"/>
      </w:r>
    </w:p>
    <w:p w14:paraId="4352BA4A">
      <w:pPr>
        <w:spacing w:line="240" w:lineRule="auto"/>
        <w:jc w:val="center"/>
        <w:outlineLvl w:val="1"/>
      </w:pPr>
      <w:r>
        <w:rPr>
          <w:rFonts w:ascii="黑体" w:hAnsi="黑体" w:eastAsia="黑体"/>
          <w:sz w:val="32"/>
        </w:rPr>
        <w:t>第二部分 部门决算情况说明</w:t>
      </w:r>
    </w:p>
    <w:p w14:paraId="7BE0D017">
      <w:pPr>
        <w:spacing w:line="640" w:lineRule="exact"/>
        <w:ind w:firstLine="640"/>
        <w:jc w:val="both"/>
        <w:outlineLvl w:val="2"/>
      </w:pPr>
      <w:r>
        <w:rPr>
          <w:rFonts w:ascii="黑体" w:hAnsi="黑体" w:eastAsia="黑体"/>
          <w:sz w:val="32"/>
        </w:rPr>
        <w:t>一、收入支出决算总体情况说明</w:t>
      </w:r>
    </w:p>
    <w:p w14:paraId="7243CAC7">
      <w:pPr>
        <w:spacing w:line="580" w:lineRule="exact"/>
        <w:ind w:firstLine="640"/>
        <w:jc w:val="both"/>
      </w:pPr>
      <w:r>
        <w:rPr>
          <w:rFonts w:ascii="仿宋_GB2312" w:hAnsi="仿宋_GB2312" w:eastAsia="仿宋_GB2312"/>
          <w:b/>
          <w:sz w:val="32"/>
        </w:rPr>
        <w:t>2024年度收入总计1,167.50万元，</w:t>
      </w:r>
      <w:r>
        <w:rPr>
          <w:rFonts w:ascii="仿宋_GB2312" w:hAnsi="仿宋_GB2312" w:eastAsia="仿宋_GB2312"/>
          <w:b w:val="0"/>
          <w:sz w:val="32"/>
        </w:rPr>
        <w:t>其中：本年收入合计1,167.50万元，使用非财政拨款结余（含专用结余）0.00万元，年初结转和结余0.00万元。</w:t>
      </w:r>
    </w:p>
    <w:p w14:paraId="3407284B">
      <w:pPr>
        <w:spacing w:line="580" w:lineRule="exact"/>
        <w:ind w:firstLine="640"/>
        <w:jc w:val="both"/>
      </w:pPr>
      <w:r>
        <w:rPr>
          <w:rFonts w:ascii="仿宋_GB2312" w:hAnsi="仿宋_GB2312" w:eastAsia="仿宋_GB2312"/>
          <w:b/>
          <w:sz w:val="32"/>
        </w:rPr>
        <w:t>2024年度支出总计1,167.50万元，</w:t>
      </w:r>
      <w:r>
        <w:rPr>
          <w:rFonts w:ascii="仿宋_GB2312" w:hAnsi="仿宋_GB2312" w:eastAsia="仿宋_GB2312"/>
          <w:b w:val="0"/>
          <w:sz w:val="32"/>
        </w:rPr>
        <w:t>其中：本年支出合计1,167.50万元，结余分配0.00万元，年末结转和结余0.00万元。</w:t>
      </w:r>
    </w:p>
    <w:p w14:paraId="468400CE">
      <w:pPr>
        <w:spacing w:line="580" w:lineRule="exact"/>
        <w:ind w:firstLine="640"/>
        <w:jc w:val="both"/>
      </w:pPr>
      <w:r>
        <w:rPr>
          <w:rFonts w:ascii="仿宋_GB2312" w:hAnsi="仿宋_GB2312" w:eastAsia="仿宋_GB2312"/>
          <w:b w:val="0"/>
          <w:sz w:val="32"/>
        </w:rPr>
        <w:t>收入支出总体与上年相比，减少100.01万元，下降7.89%，主要原因是：本年在职人员减少，相关人员经费较上年减少。</w:t>
      </w:r>
    </w:p>
    <w:p w14:paraId="0600E864">
      <w:pPr>
        <w:spacing w:line="640" w:lineRule="exact"/>
        <w:ind w:firstLine="640"/>
        <w:jc w:val="both"/>
        <w:outlineLvl w:val="2"/>
      </w:pPr>
      <w:r>
        <w:rPr>
          <w:rFonts w:ascii="黑体" w:hAnsi="黑体" w:eastAsia="黑体"/>
          <w:sz w:val="32"/>
        </w:rPr>
        <w:t>二、收入决算情况说明</w:t>
      </w:r>
    </w:p>
    <w:p w14:paraId="02A77A1A">
      <w:pPr>
        <w:spacing w:line="580" w:lineRule="exact"/>
        <w:ind w:firstLine="640"/>
        <w:jc w:val="both"/>
      </w:pPr>
      <w:r>
        <w:rPr>
          <w:rFonts w:ascii="仿宋_GB2312" w:hAnsi="仿宋_GB2312" w:eastAsia="仿宋_GB2312"/>
          <w:b/>
          <w:sz w:val="32"/>
        </w:rPr>
        <w:t>本年收入1,167.50万元，</w:t>
      </w:r>
      <w:r>
        <w:rPr>
          <w:rFonts w:ascii="仿宋_GB2312" w:hAnsi="仿宋_GB2312" w:eastAsia="仿宋_GB2312"/>
          <w:b w:val="0"/>
          <w:sz w:val="32"/>
        </w:rPr>
        <w:t>其中：财政拨款收入1,167.50万元，占100.00%；上级补助收入0.00万元，占0.00%；事业收入0.00万元，占0.00%；经营收入0.00万元，占0.00%；附属单位上缴收入0.00万元，占0.00%；其他收入0.00万元，占0.00%。</w:t>
      </w:r>
    </w:p>
    <w:p w14:paraId="72214C8B">
      <w:pPr>
        <w:spacing w:line="640" w:lineRule="exact"/>
        <w:ind w:firstLine="640"/>
        <w:jc w:val="both"/>
        <w:outlineLvl w:val="2"/>
      </w:pPr>
      <w:r>
        <w:rPr>
          <w:rFonts w:ascii="黑体" w:hAnsi="黑体" w:eastAsia="黑体"/>
          <w:sz w:val="32"/>
        </w:rPr>
        <w:t>三、支出决算情况说明</w:t>
      </w:r>
    </w:p>
    <w:p w14:paraId="7DD53EAA">
      <w:pPr>
        <w:spacing w:line="580" w:lineRule="exact"/>
        <w:ind w:firstLine="640"/>
        <w:jc w:val="both"/>
      </w:pPr>
      <w:r>
        <w:rPr>
          <w:rFonts w:ascii="仿宋_GB2312" w:hAnsi="仿宋_GB2312" w:eastAsia="仿宋_GB2312"/>
          <w:b/>
          <w:sz w:val="32"/>
        </w:rPr>
        <w:t>本年支出1,167.50万元，</w:t>
      </w:r>
      <w:r>
        <w:rPr>
          <w:rFonts w:ascii="仿宋_GB2312" w:hAnsi="仿宋_GB2312" w:eastAsia="仿宋_GB2312"/>
          <w:b w:val="0"/>
          <w:sz w:val="32"/>
        </w:rPr>
        <w:t>其中：基本支出987.61万元，占84.59%；项目支出179.89万元，占15.41%；上缴上级支出0.00万元，占0.00%；经营支出0.00万元，占0.00%；对附属单位补助支出0.00万元，占0.00%。</w:t>
      </w:r>
    </w:p>
    <w:p w14:paraId="613C35FB">
      <w:pPr>
        <w:spacing w:line="640" w:lineRule="exact"/>
        <w:ind w:firstLine="640"/>
        <w:jc w:val="both"/>
        <w:outlineLvl w:val="2"/>
      </w:pPr>
      <w:r>
        <w:rPr>
          <w:rFonts w:ascii="黑体" w:hAnsi="黑体" w:eastAsia="黑体"/>
          <w:sz w:val="32"/>
        </w:rPr>
        <w:t>四、财政拨款收入支出决算总体情况说明</w:t>
      </w:r>
    </w:p>
    <w:p w14:paraId="095ACE3B">
      <w:pPr>
        <w:spacing w:line="580" w:lineRule="exact"/>
        <w:ind w:firstLine="640"/>
        <w:jc w:val="both"/>
      </w:pPr>
      <w:r>
        <w:rPr>
          <w:rFonts w:ascii="仿宋_GB2312" w:hAnsi="仿宋_GB2312" w:eastAsia="仿宋_GB2312"/>
          <w:b/>
          <w:sz w:val="32"/>
        </w:rPr>
        <w:t>2024年度财政拨款收入总计1,167.50万元，</w:t>
      </w:r>
      <w:r>
        <w:rPr>
          <w:rFonts w:ascii="仿宋_GB2312" w:hAnsi="仿宋_GB2312" w:eastAsia="仿宋_GB2312"/>
          <w:b w:val="0"/>
          <w:sz w:val="32"/>
        </w:rPr>
        <w:t>其中：年初财政拨款结转和结余0.00万元，本年财政拨款收入1,167.50万元。</w:t>
      </w:r>
      <w:r>
        <w:rPr>
          <w:rFonts w:ascii="仿宋_GB2312" w:hAnsi="仿宋_GB2312" w:eastAsia="仿宋_GB2312"/>
          <w:b/>
          <w:sz w:val="32"/>
        </w:rPr>
        <w:t>财政拨款支出总计1,167.50万元，</w:t>
      </w:r>
      <w:r>
        <w:rPr>
          <w:rFonts w:ascii="仿宋_GB2312" w:hAnsi="仿宋_GB2312" w:eastAsia="仿宋_GB2312"/>
          <w:b w:val="0"/>
          <w:sz w:val="32"/>
        </w:rPr>
        <w:t>其中：年末财政拨款结转和结余0.00万元，本年财政拨款支出1,167.50万元。</w:t>
      </w:r>
    </w:p>
    <w:p w14:paraId="2504170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减少98.01万元，下降7.74%，主要原因是：本年在职人员减少，相关人员经费较上年减少。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1,044.60万元，决算数1,167.50万元，预决算差异率11.77%，主要原因是：年中追加人员工资、社保、公积金基数调增部分资金及幼儿园保安工资（县级配套）、2024年幼儿园公用经费项目，导致预决算存在差异。</w:t>
      </w:r>
    </w:p>
    <w:p w14:paraId="0CEBA96F">
      <w:pPr>
        <w:spacing w:line="640" w:lineRule="exact"/>
        <w:ind w:firstLine="640"/>
        <w:jc w:val="both"/>
        <w:outlineLvl w:val="2"/>
      </w:pPr>
      <w:r>
        <w:rPr>
          <w:rFonts w:ascii="黑体" w:hAnsi="黑体" w:eastAsia="黑体"/>
          <w:sz w:val="32"/>
        </w:rPr>
        <w:t>五、一般公共预算财政拨款支出决算情况说明</w:t>
      </w:r>
    </w:p>
    <w:p w14:paraId="6D514DBC">
      <w:pPr>
        <w:spacing w:line="640" w:lineRule="exact"/>
        <w:ind w:firstLine="640"/>
        <w:jc w:val="both"/>
        <w:outlineLvl w:val="3"/>
      </w:pPr>
      <w:r>
        <w:rPr>
          <w:rFonts w:ascii="楷体_GB2312" w:hAnsi="楷体_GB2312" w:eastAsia="楷体_GB2312"/>
          <w:b/>
          <w:sz w:val="32"/>
        </w:rPr>
        <w:t>（一）一般公共预算财政拨款支出决算总体情况</w:t>
      </w:r>
    </w:p>
    <w:p w14:paraId="19CB1EFA">
      <w:pPr>
        <w:spacing w:line="580" w:lineRule="exact"/>
        <w:ind w:firstLine="640"/>
        <w:jc w:val="both"/>
      </w:pPr>
      <w:r>
        <w:rPr>
          <w:rFonts w:ascii="仿宋_GB2312" w:hAnsi="仿宋_GB2312" w:eastAsia="仿宋_GB2312"/>
          <w:b/>
          <w:sz w:val="32"/>
        </w:rPr>
        <w:t>2024年度一般公共预算财政拨款支出1,167.50万元，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减少98.01万元，下降7.74%，主要原因是：本年在职人员减少，相关人员经费较上年减少。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1,044.60万元，决算数1,167.50万元，预决算差异率11.77%，主要原因是：年中追加人员工资、社保、公积金基数调增部分资金及幼儿园保安工资（县级配套）、2024年幼儿园公用经费项目，导致预决算存在差异。</w:t>
      </w:r>
    </w:p>
    <w:p w14:paraId="755A4194">
      <w:pPr>
        <w:spacing w:line="640" w:lineRule="exact"/>
        <w:ind w:firstLine="640"/>
        <w:jc w:val="both"/>
        <w:outlineLvl w:val="3"/>
      </w:pPr>
      <w:r>
        <w:rPr>
          <w:rFonts w:ascii="楷体_GB2312" w:hAnsi="楷体_GB2312" w:eastAsia="楷体_GB2312"/>
          <w:b/>
          <w:sz w:val="32"/>
        </w:rPr>
        <w:t>（二）一般公共预算财政拨款支出决算结构情况</w:t>
      </w:r>
    </w:p>
    <w:p w14:paraId="3079B5D7">
      <w:pPr>
        <w:spacing w:line="580" w:lineRule="exact"/>
        <w:ind w:firstLine="640"/>
        <w:jc w:val="both"/>
      </w:pPr>
      <w:r>
        <w:rPr>
          <w:rFonts w:ascii="仿宋_GB2312" w:hAnsi="仿宋_GB2312" w:eastAsia="仿宋_GB2312"/>
          <w:b w:val="0"/>
          <w:sz w:val="32"/>
        </w:rPr>
        <w:t>1.教育支出(类)1,167.50万元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14:paraId="428A029D">
      <w:pPr>
        <w:spacing w:line="640" w:lineRule="exact"/>
        <w:ind w:firstLine="640"/>
        <w:jc w:val="both"/>
        <w:outlineLvl w:val="3"/>
      </w:pPr>
      <w:r>
        <w:rPr>
          <w:rFonts w:ascii="楷体_GB2312" w:hAnsi="楷体_GB2312" w:eastAsia="楷体_GB2312"/>
          <w:b/>
          <w:sz w:val="32"/>
        </w:rPr>
        <w:t>（三）一般公共预算财政拨款支出决算具体情况</w:t>
      </w:r>
    </w:p>
    <w:p w14:paraId="1376E8AF">
      <w:pPr>
        <w:spacing w:line="580" w:lineRule="exact"/>
        <w:ind w:firstLine="640"/>
        <w:jc w:val="both"/>
      </w:pPr>
      <w:r>
        <w:rPr>
          <w:rFonts w:ascii="仿宋_GB2312" w:hAnsi="仿宋_GB2312" w:eastAsia="仿宋_GB2312"/>
          <w:b w:val="0"/>
          <w:sz w:val="32"/>
        </w:rPr>
        <w:t>1.教育支出(类)普通教育(款)学前教育(项)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支出决算数为1,167.50万元，比上年决算增加4.50万元，增长0.39%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主要原因是：本年科目调整，聘用人员经费项目上年在其他教育支出科目列支，本年在学前教育列支，导致经费较上年增加。</w:t>
      </w:r>
    </w:p>
    <w:p w14:paraId="5A085527">
      <w:pPr>
        <w:spacing w:line="580" w:lineRule="exact"/>
        <w:ind w:firstLine="640"/>
        <w:jc w:val="both"/>
      </w:pPr>
      <w:r>
        <w:rPr>
          <w:rFonts w:ascii="仿宋_GB2312" w:hAnsi="仿宋_GB2312" w:eastAsia="仿宋_GB2312"/>
          <w:b w:val="0"/>
          <w:sz w:val="32"/>
        </w:rPr>
        <w:t>2.教育支出(类)普通教育(款)其他普通教育支出(项)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支出决算数为0.00万元，比上年决算减少61.13万元，下降100.00%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主要原因是：本年科目调整，学前幼儿保障经费项目</w:t>
      </w:r>
      <w:r>
        <w:rPr>
          <w:rFonts w:hint="eastAsia" w:ascii="仿宋_GB2312" w:hAnsi="仿宋_GB2312" w:eastAsia="仿宋_GB2312"/>
          <w:b w:val="0"/>
          <w:sz w:val="32"/>
          <w:lang w:eastAsia="zh-CN"/>
        </w:rPr>
        <w:t>－</w:t>
      </w:r>
      <w:r>
        <w:rPr>
          <w:rFonts w:ascii="仿宋_GB2312" w:hAnsi="仿宋_GB2312" w:eastAsia="仿宋_GB2312"/>
          <w:b w:val="0"/>
          <w:sz w:val="32"/>
        </w:rPr>
        <w:t>公用经费、学前幼儿保障经费项目</w:t>
      </w:r>
      <w:r>
        <w:rPr>
          <w:rFonts w:hint="eastAsia" w:ascii="仿宋_GB2312" w:hAnsi="仿宋_GB2312" w:eastAsia="仿宋_GB2312"/>
          <w:b w:val="0"/>
          <w:sz w:val="32"/>
          <w:lang w:eastAsia="zh-CN"/>
        </w:rPr>
        <w:t>－</w:t>
      </w:r>
      <w:r>
        <w:rPr>
          <w:rFonts w:ascii="仿宋_GB2312" w:hAnsi="仿宋_GB2312" w:eastAsia="仿宋_GB2312"/>
          <w:b w:val="0"/>
          <w:sz w:val="32"/>
        </w:rPr>
        <w:t>伙食费上年在本科目列支，本年在学前教育列支，导致经费较上年减少；本年减少自治区中小学和幼儿园自聘教师补助资金。</w:t>
      </w:r>
    </w:p>
    <w:p w14:paraId="166BB915">
      <w:pPr>
        <w:spacing w:line="580" w:lineRule="exact"/>
        <w:ind w:firstLine="640"/>
        <w:jc w:val="both"/>
      </w:pPr>
      <w:r>
        <w:rPr>
          <w:rFonts w:ascii="仿宋_GB2312" w:hAnsi="仿宋_GB2312" w:eastAsia="仿宋_GB2312"/>
          <w:b w:val="0"/>
          <w:sz w:val="32"/>
        </w:rPr>
        <w:t>3.教育支出(类)其他教育支出(款)其他教育支出(项)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支出决算数为0.00万元，比上年决算减少41.37万元，下降100.00%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主要原因是：本年科目调整，聘用人员经费项目上年在本科目列支，本年在学前教育列支，导致经费较上年减少。</w:t>
      </w:r>
    </w:p>
    <w:p w14:paraId="66A64CCF">
      <w:pPr>
        <w:spacing w:line="640" w:lineRule="exact"/>
        <w:ind w:firstLine="640"/>
        <w:jc w:val="both"/>
        <w:outlineLvl w:val="2"/>
      </w:pPr>
      <w:r>
        <w:rPr>
          <w:rFonts w:ascii="黑体" w:hAnsi="黑体" w:eastAsia="黑体"/>
          <w:sz w:val="32"/>
        </w:rPr>
        <w:t>六、一般公共预算财政拨款基本支出决算情况说明</w:t>
      </w:r>
    </w:p>
    <w:p w14:paraId="249F4C75">
      <w:pPr>
        <w:spacing w:line="580" w:lineRule="exact"/>
        <w:ind w:firstLine="640"/>
        <w:jc w:val="both"/>
      </w:pPr>
      <w:r>
        <w:rPr>
          <w:rFonts w:ascii="仿宋_GB2312" w:hAnsi="仿宋_GB2312" w:eastAsia="仿宋_GB2312"/>
          <w:b w:val="0"/>
          <w:sz w:val="32"/>
        </w:rPr>
        <w:t>2024年度一般公共预算财政拨款基本支出987.61万元，其中：</w:t>
      </w:r>
      <w:r>
        <w:rPr>
          <w:rFonts w:ascii="仿宋_GB2312" w:hAnsi="仿宋_GB2312" w:eastAsia="仿宋_GB2312"/>
          <w:b/>
          <w:sz w:val="32"/>
        </w:rPr>
        <w:t>人员经费987.61万元，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73FC2E7D">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493969F">
      <w:pPr>
        <w:spacing w:line="640" w:lineRule="exact"/>
        <w:ind w:firstLine="640"/>
        <w:jc w:val="both"/>
        <w:outlineLvl w:val="2"/>
      </w:pPr>
      <w:r>
        <w:rPr>
          <w:rFonts w:ascii="黑体" w:hAnsi="黑体" w:eastAsia="黑体"/>
          <w:sz w:val="32"/>
        </w:rPr>
        <w:t>七、政府性基金预算财政拨款收入支出决算情况说明</w:t>
      </w:r>
    </w:p>
    <w:p w14:paraId="6E97135F">
      <w:pPr>
        <w:spacing w:line="580" w:lineRule="exact"/>
        <w:ind w:firstLine="640"/>
        <w:jc w:val="both"/>
      </w:pPr>
      <w:r>
        <w:rPr>
          <w:rFonts w:ascii="仿宋_GB2312" w:hAnsi="仿宋_GB2312" w:eastAsia="仿宋_GB2312"/>
          <w:b w:val="0"/>
          <w:sz w:val="32"/>
        </w:rPr>
        <w:t>本单位本年度无政府性基金预算财政拨款收入、支出及结转和</w:t>
      </w:r>
      <w:bookmarkStart w:id="0" w:name="_GoBack"/>
      <w:r>
        <w:rPr>
          <w:rFonts w:ascii="仿宋_GB2312" w:hAnsi="仿宋_GB2312" w:eastAsia="仿宋_GB2312"/>
          <w:b w:val="0"/>
          <w:sz w:val="32"/>
        </w:rPr>
        <w:t>结余</w:t>
      </w:r>
      <w:bookmarkEnd w:id="0"/>
      <w:r>
        <w:rPr>
          <w:rFonts w:ascii="仿宋_GB2312" w:hAnsi="仿宋_GB2312" w:eastAsia="仿宋_GB2312"/>
          <w:b w:val="0"/>
          <w:sz w:val="32"/>
        </w:rPr>
        <w:t>，政府性基金预算财政拨款收入支出决算表为空表。</w:t>
      </w:r>
    </w:p>
    <w:p w14:paraId="12ED3BFB">
      <w:pPr>
        <w:spacing w:line="640" w:lineRule="exact"/>
        <w:ind w:firstLine="640"/>
        <w:jc w:val="both"/>
        <w:outlineLvl w:val="2"/>
      </w:pPr>
      <w:r>
        <w:rPr>
          <w:rFonts w:ascii="黑体" w:hAnsi="黑体" w:eastAsia="黑体"/>
          <w:sz w:val="32"/>
        </w:rPr>
        <w:t>八、国有资本经营预算财政拨款收入支出决算情况说明</w:t>
      </w:r>
    </w:p>
    <w:p w14:paraId="4693C49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B6B17D9">
      <w:pPr>
        <w:spacing w:line="640" w:lineRule="exact"/>
        <w:ind w:firstLine="640"/>
        <w:jc w:val="both"/>
        <w:outlineLvl w:val="2"/>
      </w:pPr>
      <w:r>
        <w:rPr>
          <w:rFonts w:ascii="黑体" w:hAnsi="黑体" w:eastAsia="黑体"/>
          <w:sz w:val="32"/>
        </w:rPr>
        <w:t>九、财政拨款“三公”经费支出决算情况说明</w:t>
      </w:r>
    </w:p>
    <w:p w14:paraId="5BD7728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6C26E65">
      <w:pPr>
        <w:spacing w:line="580" w:lineRule="exact"/>
        <w:ind w:firstLine="640"/>
        <w:jc w:val="both"/>
      </w:pPr>
      <w:r>
        <w:rPr>
          <w:rFonts w:ascii="仿宋_GB2312" w:hAnsi="仿宋_GB2312" w:eastAsia="仿宋_GB2312"/>
          <w:b/>
          <w:sz w:val="32"/>
        </w:rPr>
        <w:t>具体情况如下：</w:t>
      </w:r>
    </w:p>
    <w:p w14:paraId="04D000E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89A462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D43C52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D3AC6D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63D72D4">
      <w:pPr>
        <w:spacing w:line="640" w:lineRule="exact"/>
        <w:ind w:firstLine="640"/>
        <w:jc w:val="both"/>
        <w:outlineLvl w:val="2"/>
      </w:pPr>
      <w:r>
        <w:rPr>
          <w:rFonts w:ascii="黑体" w:hAnsi="黑体" w:eastAsia="黑体"/>
          <w:sz w:val="32"/>
        </w:rPr>
        <w:t>十、其他重要事项的情况说明</w:t>
      </w:r>
    </w:p>
    <w:p w14:paraId="5C58B163">
      <w:pPr>
        <w:spacing w:line="640" w:lineRule="exact"/>
        <w:ind w:firstLine="640"/>
        <w:jc w:val="both"/>
        <w:outlineLvl w:val="3"/>
      </w:pPr>
      <w:r>
        <w:rPr>
          <w:rFonts w:ascii="楷体_GB2312" w:hAnsi="楷体_GB2312" w:eastAsia="楷体_GB2312"/>
          <w:b/>
          <w:sz w:val="32"/>
        </w:rPr>
        <w:t>（一）机关运行经费及公用经费支出情况</w:t>
      </w:r>
    </w:p>
    <w:p w14:paraId="54A6D9A0">
      <w:pPr>
        <w:spacing w:line="580" w:lineRule="exact"/>
        <w:ind w:firstLine="640"/>
        <w:jc w:val="both"/>
      </w:pPr>
      <w:r>
        <w:rPr>
          <w:rFonts w:ascii="仿宋_GB2312" w:hAnsi="仿宋_GB2312" w:eastAsia="仿宋_GB2312"/>
          <w:b w:val="0"/>
          <w:sz w:val="32"/>
        </w:rPr>
        <w:t>2024年度疏附县木什乡中心幼儿园（事业单位）公用经费支出0.00万元，比上年增加0.00万元，增长0.00%，主要原因是：2023年与2024年均未安排公用经费支出。</w:t>
      </w:r>
    </w:p>
    <w:p w14:paraId="337EB6EC">
      <w:pPr>
        <w:spacing w:line="640" w:lineRule="exact"/>
        <w:ind w:firstLine="640"/>
        <w:jc w:val="both"/>
        <w:outlineLvl w:val="3"/>
      </w:pPr>
      <w:r>
        <w:rPr>
          <w:rFonts w:ascii="楷体_GB2312" w:hAnsi="楷体_GB2312" w:eastAsia="楷体_GB2312"/>
          <w:b/>
          <w:sz w:val="32"/>
        </w:rPr>
        <w:t>（二）政府采购情况</w:t>
      </w:r>
    </w:p>
    <w:p w14:paraId="185C8FC2">
      <w:pPr>
        <w:spacing w:line="580" w:lineRule="exact"/>
        <w:ind w:firstLine="640"/>
        <w:jc w:val="both"/>
      </w:pPr>
      <w:r>
        <w:rPr>
          <w:rFonts w:ascii="仿宋_GB2312" w:hAnsi="仿宋_GB2312" w:eastAsia="仿宋_GB2312"/>
          <w:b w:val="0"/>
          <w:sz w:val="32"/>
        </w:rPr>
        <w:t>2024年度政府采购支出总额4.06万元，其中：政府采购货物支出4.06万元、政府采购工程支出0.00万元、政府采购服务支出0.00万元。</w:t>
      </w:r>
    </w:p>
    <w:p w14:paraId="04A003D0">
      <w:pPr>
        <w:spacing w:line="580" w:lineRule="exact"/>
        <w:ind w:firstLine="640"/>
        <w:jc w:val="both"/>
      </w:pPr>
      <w:r>
        <w:rPr>
          <w:rFonts w:ascii="仿宋_GB2312" w:hAnsi="仿宋_GB2312" w:eastAsia="仿宋_GB2312"/>
          <w:b w:val="0"/>
          <w:sz w:val="32"/>
        </w:rPr>
        <w:t>授予中小企业合同金额4.06万元，占政府采购支出总额的100.00%，其中：授予小微企业合同金额1.40万元，占政府采购支出总额的34.48%。</w:t>
      </w:r>
    </w:p>
    <w:p w14:paraId="3C092CC0">
      <w:pPr>
        <w:spacing w:line="640" w:lineRule="exact"/>
        <w:ind w:firstLine="640"/>
        <w:jc w:val="both"/>
        <w:outlineLvl w:val="3"/>
      </w:pPr>
      <w:r>
        <w:rPr>
          <w:rFonts w:ascii="楷体_GB2312" w:hAnsi="楷体_GB2312" w:eastAsia="楷体_GB2312"/>
          <w:b/>
          <w:sz w:val="32"/>
        </w:rPr>
        <w:t>（三）国有资产占用情况说明</w:t>
      </w:r>
    </w:p>
    <w:p w14:paraId="14A13E52">
      <w:pPr>
        <w:spacing w:line="580" w:lineRule="exact"/>
        <w:ind w:firstLine="640"/>
        <w:jc w:val="both"/>
      </w:pPr>
      <w:r>
        <w:rPr>
          <w:rFonts w:ascii="仿宋_GB2312" w:hAnsi="仿宋_GB2312" w:eastAsia="仿宋_GB2312"/>
          <w:b w:val="0"/>
          <w:sz w:val="32"/>
        </w:rPr>
        <w:t>截至2024年12月31日，房屋4,967.67平方米，价值540.94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63E5865">
      <w:pPr>
        <w:spacing w:line="640" w:lineRule="exact"/>
        <w:ind w:firstLine="640"/>
        <w:jc w:val="both"/>
        <w:outlineLvl w:val="2"/>
      </w:pPr>
      <w:r>
        <w:rPr>
          <w:rFonts w:ascii="黑体" w:hAnsi="黑体" w:eastAsia="黑体"/>
          <w:sz w:val="32"/>
        </w:rPr>
        <w:t>十一、预算绩效的情况说明</w:t>
      </w:r>
    </w:p>
    <w:p w14:paraId="62455C89">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2A888A5F">
      <w:r>
        <w:br w:type="page"/>
      </w:r>
    </w:p>
    <w:p w14:paraId="5166FBD9">
      <w:pPr>
        <w:spacing w:line="640" w:lineRule="exact"/>
        <w:ind w:firstLine="640"/>
        <w:jc w:val="both"/>
        <w:outlineLvl w:val="2"/>
      </w:pPr>
      <w:r>
        <w:rPr>
          <w:rFonts w:ascii="黑体" w:hAnsi="黑体" w:eastAsia="黑体"/>
          <w:sz w:val="32"/>
        </w:rPr>
        <w:t>十二、其他需说明的事项</w:t>
      </w:r>
    </w:p>
    <w:p w14:paraId="2AE18F26">
      <w:pPr>
        <w:spacing w:line="580" w:lineRule="exact"/>
        <w:ind w:firstLine="640"/>
        <w:jc w:val="both"/>
      </w:pPr>
      <w:r>
        <w:rPr>
          <w:rFonts w:ascii="仿宋_GB2312" w:hAnsi="仿宋_GB2312" w:eastAsia="仿宋_GB2312"/>
          <w:b w:val="0"/>
          <w:sz w:val="32"/>
        </w:rPr>
        <w:t>本年度本单位整体绩效自评表由疏附县教育局编报并公开。</w:t>
      </w:r>
    </w:p>
    <w:p w14:paraId="4831147C">
      <w:r>
        <w:br w:type="page"/>
      </w:r>
    </w:p>
    <w:p w14:paraId="18B3AA49">
      <w:pPr>
        <w:spacing w:line="240" w:lineRule="auto"/>
        <w:jc w:val="center"/>
        <w:outlineLvl w:val="1"/>
      </w:pPr>
      <w:r>
        <w:rPr>
          <w:rFonts w:ascii="黑体" w:hAnsi="黑体" w:eastAsia="黑体"/>
          <w:sz w:val="32"/>
        </w:rPr>
        <w:t>第三部分 专业名词解释</w:t>
      </w:r>
    </w:p>
    <w:p w14:paraId="60A8828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8C9F0D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0393AD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6F9FB7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A0030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3D957A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353D12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4C3250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FD671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1F1B4D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2A2333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09FECC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B57507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663EF6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55E31C6">
      <w:r>
        <w:br w:type="page"/>
      </w:r>
    </w:p>
    <w:p w14:paraId="5ECB9A5D">
      <w:pPr>
        <w:spacing w:line="240" w:lineRule="auto"/>
        <w:jc w:val="center"/>
        <w:outlineLvl w:val="1"/>
      </w:pPr>
      <w:r>
        <w:rPr>
          <w:rFonts w:ascii="黑体" w:hAnsi="黑体" w:eastAsia="黑体"/>
          <w:sz w:val="32"/>
        </w:rPr>
        <w:t>第四部分 部门决算报表（见附表）</w:t>
      </w:r>
    </w:p>
    <w:p w14:paraId="2A90E6ED">
      <w:pPr>
        <w:spacing w:line="240" w:lineRule="auto"/>
        <w:ind w:firstLine="640"/>
        <w:jc w:val="both"/>
      </w:pPr>
      <w:r>
        <w:rPr>
          <w:rFonts w:ascii="仿宋_GB2312" w:hAnsi="仿宋_GB2312" w:eastAsia="仿宋_GB2312"/>
          <w:b w:val="0"/>
          <w:sz w:val="32"/>
        </w:rPr>
        <w:t>一、《收入支出决算总表》</w:t>
      </w:r>
    </w:p>
    <w:p w14:paraId="31FA9700">
      <w:pPr>
        <w:spacing w:line="240" w:lineRule="auto"/>
        <w:ind w:firstLine="640"/>
        <w:jc w:val="both"/>
      </w:pPr>
      <w:r>
        <w:rPr>
          <w:rFonts w:ascii="仿宋_GB2312" w:hAnsi="仿宋_GB2312" w:eastAsia="仿宋_GB2312"/>
          <w:b w:val="0"/>
          <w:sz w:val="32"/>
        </w:rPr>
        <w:t>二、《收入决算表》</w:t>
      </w:r>
    </w:p>
    <w:p w14:paraId="6B94A5BA">
      <w:pPr>
        <w:spacing w:line="240" w:lineRule="auto"/>
        <w:ind w:firstLine="640"/>
        <w:jc w:val="both"/>
      </w:pPr>
      <w:r>
        <w:rPr>
          <w:rFonts w:ascii="仿宋_GB2312" w:hAnsi="仿宋_GB2312" w:eastAsia="仿宋_GB2312"/>
          <w:b w:val="0"/>
          <w:sz w:val="32"/>
        </w:rPr>
        <w:t>三、《支出决算表》</w:t>
      </w:r>
    </w:p>
    <w:p w14:paraId="4FFFD8D7">
      <w:pPr>
        <w:spacing w:line="240" w:lineRule="auto"/>
        <w:ind w:firstLine="640"/>
        <w:jc w:val="both"/>
      </w:pPr>
      <w:r>
        <w:rPr>
          <w:rFonts w:ascii="仿宋_GB2312" w:hAnsi="仿宋_GB2312" w:eastAsia="仿宋_GB2312"/>
          <w:b w:val="0"/>
          <w:sz w:val="32"/>
        </w:rPr>
        <w:t>四、《财政拨款收入支出决算总表》</w:t>
      </w:r>
    </w:p>
    <w:p w14:paraId="01A5903A">
      <w:pPr>
        <w:spacing w:line="240" w:lineRule="auto"/>
        <w:ind w:firstLine="640"/>
        <w:jc w:val="both"/>
      </w:pPr>
      <w:r>
        <w:rPr>
          <w:rFonts w:ascii="仿宋_GB2312" w:hAnsi="仿宋_GB2312" w:eastAsia="仿宋_GB2312"/>
          <w:b w:val="0"/>
          <w:sz w:val="32"/>
        </w:rPr>
        <w:t>五、《一般公共预算财政拨款支出决算表》</w:t>
      </w:r>
    </w:p>
    <w:p w14:paraId="5FD200CE">
      <w:pPr>
        <w:spacing w:line="240" w:lineRule="auto"/>
        <w:ind w:firstLine="640"/>
        <w:jc w:val="both"/>
      </w:pPr>
      <w:r>
        <w:rPr>
          <w:rFonts w:ascii="仿宋_GB2312" w:hAnsi="仿宋_GB2312" w:eastAsia="仿宋_GB2312"/>
          <w:b w:val="0"/>
          <w:sz w:val="32"/>
        </w:rPr>
        <w:t>六、《一般公共预算财政拨款基本支出决算表》</w:t>
      </w:r>
    </w:p>
    <w:p w14:paraId="7B7CA0D1">
      <w:pPr>
        <w:spacing w:line="240" w:lineRule="auto"/>
        <w:ind w:firstLine="640"/>
        <w:jc w:val="both"/>
      </w:pPr>
      <w:r>
        <w:rPr>
          <w:rFonts w:ascii="仿宋_GB2312" w:hAnsi="仿宋_GB2312" w:eastAsia="仿宋_GB2312"/>
          <w:b w:val="0"/>
          <w:sz w:val="32"/>
        </w:rPr>
        <w:t>七、《政府性基金预算财政拨款收入支出决算表》</w:t>
      </w:r>
    </w:p>
    <w:p w14:paraId="6094077B">
      <w:pPr>
        <w:spacing w:line="240" w:lineRule="auto"/>
        <w:ind w:firstLine="640"/>
        <w:jc w:val="both"/>
      </w:pPr>
      <w:r>
        <w:rPr>
          <w:rFonts w:ascii="仿宋_GB2312" w:hAnsi="仿宋_GB2312" w:eastAsia="仿宋_GB2312"/>
          <w:b w:val="0"/>
          <w:sz w:val="32"/>
        </w:rPr>
        <w:t>八、《国有资本经营预算财政拨款收入支出决算表》</w:t>
      </w:r>
    </w:p>
    <w:p w14:paraId="783C5092">
      <w:pPr>
        <w:spacing w:line="240" w:lineRule="auto"/>
        <w:ind w:firstLine="640"/>
        <w:jc w:val="both"/>
      </w:pPr>
      <w:r>
        <w:rPr>
          <w:rFonts w:ascii="仿宋_GB2312" w:hAnsi="仿宋_GB2312" w:eastAsia="仿宋_GB2312"/>
          <w:b w:val="0"/>
          <w:sz w:val="32"/>
        </w:rPr>
        <w:t>九、《财政拨款“三公”经费支出决算表》</w:t>
      </w:r>
    </w:p>
    <w:p w14:paraId="301E98E9">
      <w:pPr>
        <w:spacing w:line="240" w:lineRule="auto"/>
        <w:ind w:firstLine="640"/>
        <w:jc w:val="both"/>
      </w:pPr>
    </w:p>
    <w:p w14:paraId="0F6C0B6F">
      <w:pPr>
        <w:spacing w:line="240" w:lineRule="auto"/>
        <w:ind w:firstLine="640"/>
        <w:jc w:val="both"/>
      </w:pPr>
    </w:p>
    <w:p w14:paraId="1EEA6471">
      <w:pPr>
        <w:spacing w:line="240" w:lineRule="auto"/>
        <w:ind w:firstLine="640"/>
        <w:jc w:val="both"/>
      </w:pPr>
    </w:p>
    <w:p w14:paraId="25599A42">
      <w:pPr>
        <w:spacing w:line="240" w:lineRule="auto"/>
        <w:ind w:firstLine="640"/>
        <w:jc w:val="both"/>
      </w:pPr>
    </w:p>
    <w:p w14:paraId="27C41A0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5C0B2F"/>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4815</Words>
  <Characters>5397</Characters>
  <Lines>0</Lines>
  <Paragraphs>0</Paragraphs>
  <TotalTime>0</TotalTime>
  <ScaleCrop>false</ScaleCrop>
  <LinksUpToDate>false</LinksUpToDate>
  <CharactersWithSpaces>5407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2025-09-16T04:54:05Z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