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疏附县第一园艺场2024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9299AF">
      <w:r>
        <w:br w:type="page"/>
      </w:r>
    </w:p>
    <w:p w14:paraId="78AE3172">
      <w:pPr>
        <w:spacing w:line="640" w:lineRule="exact"/>
        <w:jc w:val="center"/>
        <w:outlineLvl w:val="1"/>
      </w:pPr>
      <w:r>
        <w:rPr>
          <w:rFonts w:ascii="黑体" w:hAnsi="黑体" w:eastAsia="黑体"/>
          <w:sz w:val="32"/>
        </w:rPr>
        <w:t>第一部分 单位概况</w:t>
      </w:r>
    </w:p>
    <w:p w14:paraId="052E3DEE">
      <w:pPr>
        <w:spacing w:line="640" w:lineRule="exact"/>
        <w:ind w:firstLine="640"/>
        <w:jc w:val="both"/>
        <w:outlineLvl w:val="2"/>
      </w:pPr>
      <w:r>
        <w:rPr>
          <w:rFonts w:ascii="黑体" w:hAnsi="黑体" w:eastAsia="黑体"/>
          <w:sz w:val="32"/>
        </w:rPr>
        <w:t>一、主要职能</w:t>
      </w:r>
    </w:p>
    <w:p w14:paraId="529D0961">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02C043D4">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636571B2">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5091FE6A">
      <w:pPr>
        <w:spacing w:line="580" w:lineRule="exact"/>
        <w:ind w:firstLine="640"/>
        <w:jc w:val="both"/>
      </w:pPr>
      <w:r>
        <w:rPr>
          <w:rFonts w:ascii="仿宋_GB2312" w:hAnsi="仿宋_GB2312" w:eastAsia="仿宋_GB2312"/>
          <w:sz w:val="32"/>
        </w:rPr>
        <w:t>（4）保护各种经济组织的合法权益。</w:t>
      </w:r>
    </w:p>
    <w:p w14:paraId="6AB53BE0">
      <w:pPr>
        <w:spacing w:line="580" w:lineRule="exact"/>
        <w:ind w:firstLine="640"/>
        <w:jc w:val="both"/>
      </w:pPr>
      <w:r>
        <w:rPr>
          <w:rFonts w:ascii="仿宋_GB2312" w:hAnsi="仿宋_GB2312" w:eastAsia="仿宋_GB2312"/>
          <w:sz w:val="32"/>
        </w:rPr>
        <w:t>（5）办理上级人民政府交办的其他事项。</w:t>
      </w:r>
    </w:p>
    <w:p w14:paraId="44CA05C3">
      <w:pPr>
        <w:spacing w:line="640" w:lineRule="exact"/>
        <w:ind w:firstLine="640"/>
        <w:jc w:val="both"/>
        <w:outlineLvl w:val="2"/>
      </w:pPr>
      <w:r>
        <w:rPr>
          <w:rFonts w:ascii="黑体" w:hAnsi="黑体" w:eastAsia="黑体"/>
          <w:sz w:val="32"/>
        </w:rPr>
        <w:t>二、机构设置及人员情况</w:t>
      </w:r>
    </w:p>
    <w:p w14:paraId="15D0DFEC">
      <w:pPr>
        <w:spacing w:line="580" w:lineRule="exact"/>
        <w:ind w:firstLine="640"/>
        <w:jc w:val="both"/>
      </w:pPr>
      <w:r>
        <w:rPr>
          <w:rFonts w:ascii="仿宋_GB2312" w:hAnsi="仿宋_GB2312" w:eastAsia="仿宋_GB2312"/>
          <w:sz w:val="32"/>
        </w:rPr>
        <w:t>疏附县第一园艺场2024年度，实有人数2人，其中：在职人员2人，增加0人；离休人员0人，增加0人；退休人员0人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1AAF2CE4">
      <w:pPr>
        <w:spacing w:line="580" w:lineRule="exact"/>
        <w:ind w:firstLine="640"/>
        <w:jc w:val="both"/>
      </w:pPr>
      <w:r>
        <w:rPr>
          <w:rFonts w:ascii="仿宋_GB2312" w:hAnsi="仿宋_GB2312" w:eastAsia="仿宋_GB2312"/>
          <w:sz w:val="32"/>
        </w:rPr>
        <w:t>疏附县第一园艺场无下属预算单位，下设4个科室，分别是：党政办、党建办、农业经济发展中心、乡村振兴办。</w:t>
      </w:r>
    </w:p>
    <w:p w14:paraId="202E6914">
      <w:r>
        <w:br w:type="page"/>
      </w:r>
    </w:p>
    <w:p w14:paraId="305B2F46">
      <w:pPr>
        <w:spacing w:line="240" w:lineRule="auto"/>
        <w:jc w:val="center"/>
        <w:outlineLvl w:val="1"/>
      </w:pPr>
      <w:r>
        <w:rPr>
          <w:rFonts w:ascii="黑体" w:hAnsi="黑体" w:eastAsia="黑体"/>
          <w:sz w:val="32"/>
        </w:rPr>
        <w:t>第二部分 部门决算情况说明</w:t>
      </w:r>
    </w:p>
    <w:p w14:paraId="70D09A7C">
      <w:pPr>
        <w:spacing w:line="640" w:lineRule="exact"/>
        <w:ind w:firstLine="640"/>
        <w:jc w:val="both"/>
        <w:outlineLvl w:val="2"/>
      </w:pPr>
      <w:r>
        <w:rPr>
          <w:rFonts w:ascii="黑体" w:hAnsi="黑体" w:eastAsia="黑体"/>
          <w:sz w:val="32"/>
        </w:rPr>
        <w:t>一、收入支出决算总体情况说明</w:t>
      </w:r>
    </w:p>
    <w:p w14:paraId="39E91597">
      <w:pPr>
        <w:spacing w:line="580" w:lineRule="exact"/>
        <w:ind w:firstLine="640"/>
        <w:jc w:val="both"/>
      </w:pPr>
      <w:r>
        <w:rPr>
          <w:rFonts w:ascii="仿宋_GB2312" w:hAnsi="仿宋_GB2312" w:eastAsia="仿宋_GB2312"/>
          <w:b/>
          <w:sz w:val="32"/>
        </w:rPr>
        <w:t>2024年度收入总计61.60万元，</w:t>
      </w:r>
      <w:r>
        <w:rPr>
          <w:rFonts w:ascii="仿宋_GB2312" w:hAnsi="仿宋_GB2312" w:eastAsia="仿宋_GB2312"/>
          <w:b w:val="0"/>
          <w:sz w:val="32"/>
        </w:rPr>
        <w:t>其中：本年收入合计61.60万元，使用非财政拨款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0E799386">
      <w:pPr>
        <w:spacing w:line="580" w:lineRule="exact"/>
        <w:ind w:firstLine="640"/>
        <w:jc w:val="both"/>
      </w:pPr>
      <w:r>
        <w:rPr>
          <w:rFonts w:ascii="仿宋_GB2312" w:hAnsi="仿宋_GB2312" w:eastAsia="仿宋_GB2312"/>
          <w:b/>
          <w:sz w:val="32"/>
        </w:rPr>
        <w:t>2024年度支出总计61.60万元，</w:t>
      </w:r>
      <w:r>
        <w:rPr>
          <w:rFonts w:ascii="仿宋_GB2312" w:hAnsi="仿宋_GB2312" w:eastAsia="仿宋_GB2312"/>
          <w:b w:val="0"/>
          <w:sz w:val="32"/>
        </w:rPr>
        <w:t>其中：本年支出合计61.60万元，结余分配0.00万元，年末结转和结余0.00万元。</w:t>
      </w:r>
    </w:p>
    <w:p w14:paraId="557AC34C">
      <w:pPr>
        <w:spacing w:line="580" w:lineRule="exact"/>
        <w:ind w:firstLine="640"/>
        <w:jc w:val="both"/>
        <w:rPr>
          <w:rFonts w:hint="eastAsia" w:eastAsia="仿宋_GB2312"/>
          <w:lang w:val="en-US" w:eastAsia="zh-CN"/>
        </w:rPr>
      </w:pPr>
      <w:r>
        <w:rPr>
          <w:rFonts w:ascii="仿宋_GB2312" w:hAnsi="仿宋_GB2312" w:eastAsia="仿宋_GB2312"/>
          <w:b w:val="0"/>
          <w:sz w:val="32"/>
        </w:rPr>
        <w:t>收入支出总体与上年相比，减少81.17万元，下降56.85%，主要原因是：本年本单位减少</w:t>
      </w:r>
      <w:r>
        <w:rPr>
          <w:rFonts w:hint="eastAsia" w:ascii="仿宋_GB2312" w:hAnsi="仿宋_GB2312" w:eastAsia="仿宋_GB2312"/>
          <w:b w:val="0"/>
          <w:sz w:val="32"/>
          <w:lang w:val="en-US" w:eastAsia="zh-CN"/>
        </w:rPr>
        <w:t>援疆资金用于</w:t>
      </w:r>
      <w:r>
        <w:rPr>
          <w:rFonts w:ascii="仿宋_GB2312" w:hAnsi="仿宋_GB2312" w:eastAsia="仿宋_GB2312"/>
          <w:b w:val="0"/>
          <w:sz w:val="32"/>
        </w:rPr>
        <w:t>防雨保暖屋顶项目、农村卫生户厕建设项目</w:t>
      </w:r>
      <w:r>
        <w:rPr>
          <w:rFonts w:hint="eastAsia" w:ascii="仿宋_GB2312" w:hAnsi="仿宋_GB2312" w:eastAsia="仿宋_GB2312"/>
          <w:b w:val="0"/>
          <w:sz w:val="32"/>
          <w:lang w:eastAsia="zh-CN"/>
        </w:rPr>
        <w:t>；</w:t>
      </w:r>
      <w:r>
        <w:rPr>
          <w:rFonts w:ascii="仿宋_GB2312" w:hAnsi="仿宋_GB2312" w:eastAsia="仿宋_GB2312"/>
          <w:b w:val="0"/>
          <w:sz w:val="32"/>
        </w:rPr>
        <w:t>减少园艺场和林场农村卫生户厕建设项目、林场高质量经济发展建设项目</w:t>
      </w:r>
      <w:r>
        <w:rPr>
          <w:rFonts w:hint="eastAsia" w:ascii="仿宋_GB2312" w:hAnsi="仿宋_GB2312" w:eastAsia="仿宋_GB2312"/>
          <w:b w:val="0"/>
          <w:sz w:val="32"/>
          <w:lang w:val="en-US" w:eastAsia="zh-CN"/>
        </w:rPr>
        <w:t>经费。</w:t>
      </w:r>
    </w:p>
    <w:p w14:paraId="126D4B82">
      <w:pPr>
        <w:spacing w:line="640" w:lineRule="exact"/>
        <w:ind w:firstLine="640"/>
        <w:jc w:val="both"/>
        <w:outlineLvl w:val="2"/>
      </w:pPr>
      <w:r>
        <w:rPr>
          <w:rFonts w:ascii="黑体" w:hAnsi="黑体" w:eastAsia="黑体"/>
          <w:sz w:val="32"/>
        </w:rPr>
        <w:t>二、收入决算情况说明</w:t>
      </w:r>
    </w:p>
    <w:p w14:paraId="5988FC6F">
      <w:pPr>
        <w:spacing w:line="580" w:lineRule="exact"/>
        <w:ind w:firstLine="640"/>
        <w:jc w:val="both"/>
      </w:pPr>
      <w:r>
        <w:rPr>
          <w:rFonts w:ascii="仿宋_GB2312" w:hAnsi="仿宋_GB2312" w:eastAsia="仿宋_GB2312"/>
          <w:b/>
          <w:sz w:val="32"/>
        </w:rPr>
        <w:t>本年收入61.60万元，</w:t>
      </w:r>
      <w:r>
        <w:rPr>
          <w:rFonts w:ascii="仿宋_GB2312" w:hAnsi="仿宋_GB2312" w:eastAsia="仿宋_GB2312"/>
          <w:b w:val="0"/>
          <w:sz w:val="32"/>
        </w:rPr>
        <w:t>其中：财政拨款收入49.20万元，占79.87%；上级补助收入0.00万元，占0.00%；事业收入0.00万元，占0.00%；经营收入0.00万元，占0.00%；附属单位上缴收入0.00万元，占0.00%；其他收入12.40万元，占20.13%。</w:t>
      </w:r>
    </w:p>
    <w:p w14:paraId="4929A47E">
      <w:pPr>
        <w:spacing w:line="640" w:lineRule="exact"/>
        <w:ind w:firstLine="640"/>
        <w:jc w:val="both"/>
        <w:outlineLvl w:val="2"/>
      </w:pPr>
      <w:r>
        <w:rPr>
          <w:rFonts w:ascii="黑体" w:hAnsi="黑体" w:eastAsia="黑体"/>
          <w:sz w:val="32"/>
        </w:rPr>
        <w:t>三、支出决算情况说明</w:t>
      </w:r>
    </w:p>
    <w:p w14:paraId="0101F553">
      <w:pPr>
        <w:spacing w:line="580" w:lineRule="exact"/>
        <w:ind w:firstLine="640"/>
        <w:jc w:val="both"/>
      </w:pPr>
      <w:r>
        <w:rPr>
          <w:rFonts w:ascii="仿宋_GB2312" w:hAnsi="仿宋_GB2312" w:eastAsia="仿宋_GB2312"/>
          <w:b/>
          <w:sz w:val="32"/>
        </w:rPr>
        <w:t>本年支出61.60万元，</w:t>
      </w:r>
      <w:r>
        <w:rPr>
          <w:rFonts w:ascii="仿宋_GB2312" w:hAnsi="仿宋_GB2312" w:eastAsia="仿宋_GB2312"/>
          <w:b w:val="0"/>
          <w:sz w:val="32"/>
        </w:rPr>
        <w:t>其中：基本支出31.67万元，占51.41%；项目支出29.93万元，占48.59%；上缴上级支出0.00万元，占0.00%；经营支出0.00万元，占0.00%；对附属单位补助支出0.00万元，占0.00%。</w:t>
      </w:r>
    </w:p>
    <w:p w14:paraId="703FFF14">
      <w:pPr>
        <w:spacing w:line="640" w:lineRule="exact"/>
        <w:ind w:firstLine="640"/>
        <w:jc w:val="both"/>
        <w:outlineLvl w:val="2"/>
      </w:pPr>
      <w:r>
        <w:rPr>
          <w:rFonts w:ascii="黑体" w:hAnsi="黑体" w:eastAsia="黑体"/>
          <w:sz w:val="32"/>
        </w:rPr>
        <w:t>四、财政拨款收入支出决算总体情况说明</w:t>
      </w:r>
    </w:p>
    <w:p w14:paraId="22D91554">
      <w:pPr>
        <w:spacing w:line="580" w:lineRule="exact"/>
        <w:ind w:firstLine="640"/>
        <w:jc w:val="both"/>
      </w:pPr>
      <w:r>
        <w:rPr>
          <w:rFonts w:ascii="仿宋_GB2312" w:hAnsi="仿宋_GB2312" w:eastAsia="仿宋_GB2312"/>
          <w:b/>
          <w:sz w:val="32"/>
        </w:rPr>
        <w:t>2024年度财政拨款收入总计49.20万元，</w:t>
      </w:r>
      <w:r>
        <w:rPr>
          <w:rFonts w:ascii="仿宋_GB2312" w:hAnsi="仿宋_GB2312" w:eastAsia="仿宋_GB2312"/>
          <w:b w:val="0"/>
          <w:sz w:val="32"/>
        </w:rPr>
        <w:t>其中：年初财政拨款结转和结余0.00万元，本年财政拨款收入49.20万元。</w:t>
      </w:r>
      <w:r>
        <w:rPr>
          <w:rFonts w:ascii="仿宋_GB2312" w:hAnsi="仿宋_GB2312" w:eastAsia="仿宋_GB2312"/>
          <w:b/>
          <w:sz w:val="32"/>
        </w:rPr>
        <w:t>财政拨款支出总计49.20万元，</w:t>
      </w:r>
      <w:r>
        <w:rPr>
          <w:rFonts w:ascii="仿宋_GB2312" w:hAnsi="仿宋_GB2312" w:eastAsia="仿宋_GB2312"/>
          <w:b w:val="0"/>
          <w:sz w:val="32"/>
        </w:rPr>
        <w:t>其中：年末财政拨款结转和结余0.00万元，本年财政拨款支出49.20万元。</w:t>
      </w:r>
    </w:p>
    <w:p w14:paraId="285FE1E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减少27.22万元，下降35.62%，主要原因是：本年减少园艺场和林场农村卫生户厕建设项目、林场高质量经济发展建设项目</w:t>
      </w:r>
      <w:r>
        <w:rPr>
          <w:rFonts w:hint="eastAsia" w:ascii="仿宋_GB2312" w:hAnsi="仿宋_GB2312" w:eastAsia="仿宋_GB2312"/>
          <w:b w:val="0"/>
          <w:sz w:val="32"/>
          <w:lang w:val="en-US" w:eastAsia="zh-CN"/>
        </w:rPr>
        <w:t>经费。</w:t>
      </w:r>
      <w:r>
        <w:rPr>
          <w:rFonts w:ascii="仿宋_GB2312" w:hAnsi="仿宋_GB2312" w:eastAsia="仿宋_GB2312"/>
          <w:b/>
          <w:sz w:val="32"/>
        </w:rPr>
        <w:t>与年初预算相比，</w:t>
      </w:r>
      <w:r>
        <w:rPr>
          <w:rFonts w:ascii="仿宋_GB2312" w:hAnsi="仿宋_GB2312" w:eastAsia="仿宋_GB2312"/>
          <w:b w:val="0"/>
          <w:sz w:val="32"/>
        </w:rPr>
        <w:t>年初预算数34.41万元，决算数49.20万元，预决算差异率42.98%，主要原因是：年中追加人员工资、社保、公积金基数调增部分资金，年中追加林场2019年农村环境卫生综合整治</w:t>
      </w:r>
      <w:r>
        <w:rPr>
          <w:rFonts w:hint="eastAsia" w:ascii="仿宋_GB2312" w:hAnsi="仿宋_GB2312" w:eastAsia="仿宋_GB2312"/>
          <w:b w:val="0"/>
          <w:sz w:val="32"/>
          <w:lang w:eastAsia="zh-CN"/>
        </w:rPr>
        <w:t>项目</w:t>
      </w:r>
      <w:r>
        <w:rPr>
          <w:rFonts w:ascii="仿宋_GB2312" w:hAnsi="仿宋_GB2312" w:eastAsia="仿宋_GB2312"/>
          <w:b w:val="0"/>
          <w:sz w:val="32"/>
        </w:rPr>
        <w:t>，导致预决算存在差异。</w:t>
      </w:r>
    </w:p>
    <w:p w14:paraId="1E8B6BBB">
      <w:pPr>
        <w:spacing w:line="640" w:lineRule="exact"/>
        <w:ind w:firstLine="640"/>
        <w:jc w:val="both"/>
        <w:outlineLvl w:val="2"/>
      </w:pPr>
      <w:r>
        <w:rPr>
          <w:rFonts w:ascii="黑体" w:hAnsi="黑体" w:eastAsia="黑体"/>
          <w:sz w:val="32"/>
        </w:rPr>
        <w:t>五、一般公共预算财政拨款支出决算情况说明</w:t>
      </w:r>
    </w:p>
    <w:p w14:paraId="5C1E4D93">
      <w:pPr>
        <w:spacing w:line="640" w:lineRule="exact"/>
        <w:ind w:firstLine="640"/>
        <w:jc w:val="both"/>
        <w:outlineLvl w:val="3"/>
      </w:pPr>
      <w:r>
        <w:rPr>
          <w:rFonts w:ascii="楷体_GB2312" w:hAnsi="楷体_GB2312" w:eastAsia="楷体_GB2312"/>
          <w:b/>
          <w:sz w:val="32"/>
        </w:rPr>
        <w:t>（一）一般公共预算财政拨款支出决算总体情况</w:t>
      </w:r>
    </w:p>
    <w:p w14:paraId="47556393">
      <w:pPr>
        <w:spacing w:line="580" w:lineRule="exact"/>
        <w:ind w:firstLine="640"/>
        <w:jc w:val="both"/>
      </w:pPr>
      <w:r>
        <w:rPr>
          <w:rFonts w:ascii="仿宋_GB2312" w:hAnsi="仿宋_GB2312" w:eastAsia="仿宋_GB2312"/>
          <w:b/>
          <w:sz w:val="32"/>
        </w:rPr>
        <w:t>2024年度一般公共预算财政拨款支出49.20万元，</w:t>
      </w:r>
      <w:r>
        <w:rPr>
          <w:rFonts w:ascii="仿宋_GB2312" w:hAnsi="仿宋_GB2312" w:eastAsia="仿宋_GB2312"/>
          <w:b w:val="0"/>
          <w:sz w:val="32"/>
        </w:rPr>
        <w:t>占本年支出合计的79.87%。</w:t>
      </w:r>
      <w:r>
        <w:rPr>
          <w:rFonts w:ascii="仿宋_GB2312" w:hAnsi="仿宋_GB2312" w:eastAsia="仿宋_GB2312"/>
          <w:b/>
          <w:sz w:val="32"/>
        </w:rPr>
        <w:t>与上年相比，</w:t>
      </w:r>
      <w:r>
        <w:rPr>
          <w:rFonts w:ascii="仿宋_GB2312" w:hAnsi="仿宋_GB2312" w:eastAsia="仿宋_GB2312"/>
          <w:b w:val="0"/>
          <w:sz w:val="32"/>
        </w:rPr>
        <w:t>减少27.22万元，下降35.62%，主要原因是：本年减少园艺场和林场农村卫生户厕建设项目、林场高质量经济发展建设项目</w:t>
      </w:r>
      <w:r>
        <w:rPr>
          <w:rFonts w:hint="eastAsia" w:ascii="仿宋_GB2312" w:hAnsi="仿宋_GB2312" w:eastAsia="仿宋_GB2312"/>
          <w:b w:val="0"/>
          <w:sz w:val="32"/>
          <w:lang w:val="en-US" w:eastAsia="zh-CN"/>
        </w:rPr>
        <w:t>经费。</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年初预算数34.41万元，决算数49.20万元，预决算差异率42.98%，主要原因是：年中追加人员工资、社保、公积金基数调增部分资金，年中追加林场2019年农村环境卫生综合整治</w:t>
      </w:r>
      <w:r>
        <w:rPr>
          <w:rFonts w:hint="eastAsia" w:ascii="仿宋_GB2312" w:hAnsi="仿宋_GB2312" w:eastAsia="仿宋_GB2312"/>
          <w:b w:val="0"/>
          <w:sz w:val="32"/>
          <w:lang w:eastAsia="zh-CN"/>
        </w:rPr>
        <w:t>项目</w:t>
      </w:r>
      <w:r>
        <w:rPr>
          <w:rFonts w:ascii="仿宋_GB2312" w:hAnsi="仿宋_GB2312" w:eastAsia="仿宋_GB2312"/>
          <w:b w:val="0"/>
          <w:sz w:val="32"/>
        </w:rPr>
        <w:t>，导致预决算存在差异。</w:t>
      </w:r>
    </w:p>
    <w:p w14:paraId="6F9FCE10">
      <w:pPr>
        <w:spacing w:line="640" w:lineRule="exact"/>
        <w:ind w:firstLine="640"/>
        <w:jc w:val="both"/>
        <w:outlineLvl w:val="3"/>
      </w:pPr>
      <w:r>
        <w:rPr>
          <w:rFonts w:ascii="楷体_GB2312" w:hAnsi="楷体_GB2312" w:eastAsia="楷体_GB2312"/>
          <w:b/>
          <w:sz w:val="32"/>
        </w:rPr>
        <w:t>（二）一般公共预算财政拨款支出决算结构情况</w:t>
      </w:r>
    </w:p>
    <w:p w14:paraId="38016EC8">
      <w:pPr>
        <w:spacing w:line="580" w:lineRule="exact"/>
        <w:ind w:firstLine="640"/>
        <w:jc w:val="both"/>
      </w:pPr>
      <w:r>
        <w:rPr>
          <w:rFonts w:ascii="仿宋_GB2312" w:hAnsi="仿宋_GB2312" w:eastAsia="仿宋_GB2312"/>
          <w:b w:val="0"/>
          <w:sz w:val="32"/>
        </w:rPr>
        <w:t>1.社会保障和就业支出(类)3.16万元</w:t>
      </w:r>
      <w:r>
        <w:rPr>
          <w:rFonts w:hint="eastAsia" w:ascii="仿宋_GB2312" w:hAnsi="仿宋_GB2312" w:eastAsia="仿宋_GB2312"/>
          <w:b w:val="0"/>
          <w:sz w:val="32"/>
          <w:lang w:eastAsia="zh-CN"/>
        </w:rPr>
        <w:t>，</w:t>
      </w:r>
      <w:r>
        <w:rPr>
          <w:rFonts w:ascii="仿宋_GB2312" w:hAnsi="仿宋_GB2312" w:eastAsia="仿宋_GB2312"/>
          <w:b w:val="0"/>
          <w:sz w:val="32"/>
        </w:rPr>
        <w:t>占6.42%。</w:t>
      </w:r>
    </w:p>
    <w:p w14:paraId="28AE115D">
      <w:pPr>
        <w:spacing w:line="580" w:lineRule="exact"/>
        <w:ind w:firstLine="640"/>
        <w:jc w:val="both"/>
      </w:pPr>
      <w:r>
        <w:rPr>
          <w:rFonts w:ascii="仿宋_GB2312" w:hAnsi="仿宋_GB2312" w:eastAsia="仿宋_GB2312"/>
          <w:b w:val="0"/>
          <w:sz w:val="32"/>
        </w:rPr>
        <w:t>2.卫生健康支出(类)1.34万元</w:t>
      </w:r>
      <w:r>
        <w:rPr>
          <w:rFonts w:hint="eastAsia" w:ascii="仿宋_GB2312" w:hAnsi="仿宋_GB2312" w:eastAsia="仿宋_GB2312"/>
          <w:b w:val="0"/>
          <w:sz w:val="32"/>
          <w:lang w:eastAsia="zh-CN"/>
        </w:rPr>
        <w:t>，</w:t>
      </w:r>
      <w:r>
        <w:rPr>
          <w:rFonts w:ascii="仿宋_GB2312" w:hAnsi="仿宋_GB2312" w:eastAsia="仿宋_GB2312"/>
          <w:b w:val="0"/>
          <w:sz w:val="32"/>
        </w:rPr>
        <w:t>占2.72%。</w:t>
      </w:r>
    </w:p>
    <w:p w14:paraId="66BB545C">
      <w:pPr>
        <w:spacing w:line="580" w:lineRule="exact"/>
        <w:ind w:firstLine="640"/>
        <w:jc w:val="both"/>
      </w:pPr>
      <w:r>
        <w:rPr>
          <w:rFonts w:ascii="仿宋_GB2312" w:hAnsi="仿宋_GB2312" w:eastAsia="仿宋_GB2312"/>
          <w:b w:val="0"/>
          <w:sz w:val="32"/>
        </w:rPr>
        <w:t>3.农林水支出(类)41.22万元</w:t>
      </w:r>
      <w:r>
        <w:rPr>
          <w:rFonts w:hint="eastAsia" w:ascii="仿宋_GB2312" w:hAnsi="仿宋_GB2312" w:eastAsia="仿宋_GB2312"/>
          <w:b w:val="0"/>
          <w:sz w:val="32"/>
          <w:lang w:eastAsia="zh-CN"/>
        </w:rPr>
        <w:t>，</w:t>
      </w:r>
      <w:r>
        <w:rPr>
          <w:rFonts w:ascii="仿宋_GB2312" w:hAnsi="仿宋_GB2312" w:eastAsia="仿宋_GB2312"/>
          <w:b w:val="0"/>
          <w:sz w:val="32"/>
        </w:rPr>
        <w:t>占83.78%。</w:t>
      </w:r>
    </w:p>
    <w:p w14:paraId="6935DFDD">
      <w:pPr>
        <w:spacing w:line="580" w:lineRule="exact"/>
        <w:ind w:firstLine="640"/>
        <w:jc w:val="both"/>
      </w:pPr>
      <w:r>
        <w:rPr>
          <w:rFonts w:ascii="仿宋_GB2312" w:hAnsi="仿宋_GB2312" w:eastAsia="仿宋_GB2312"/>
          <w:b w:val="0"/>
          <w:sz w:val="32"/>
        </w:rPr>
        <w:t>4.住房保障支出(类)2.48万元</w:t>
      </w:r>
      <w:r>
        <w:rPr>
          <w:rFonts w:hint="eastAsia" w:ascii="仿宋_GB2312" w:hAnsi="仿宋_GB2312" w:eastAsia="仿宋_GB2312"/>
          <w:b w:val="0"/>
          <w:sz w:val="32"/>
          <w:lang w:eastAsia="zh-CN"/>
        </w:rPr>
        <w:t>，</w:t>
      </w:r>
      <w:r>
        <w:rPr>
          <w:rFonts w:ascii="仿宋_GB2312" w:hAnsi="仿宋_GB2312" w:eastAsia="仿宋_GB2312"/>
          <w:b w:val="0"/>
          <w:sz w:val="32"/>
        </w:rPr>
        <w:t>占5.04%。</w:t>
      </w:r>
    </w:p>
    <w:p w14:paraId="1C1C03C0">
      <w:pPr>
        <w:spacing w:line="580" w:lineRule="exact"/>
        <w:ind w:firstLine="640"/>
        <w:jc w:val="both"/>
      </w:pPr>
      <w:r>
        <w:rPr>
          <w:rFonts w:ascii="仿宋_GB2312" w:hAnsi="仿宋_GB2312" w:eastAsia="仿宋_GB2312"/>
          <w:b w:val="0"/>
          <w:sz w:val="32"/>
        </w:rPr>
        <w:t>5.其他支出(类)1.00万元</w:t>
      </w:r>
      <w:r>
        <w:rPr>
          <w:rFonts w:hint="eastAsia" w:ascii="仿宋_GB2312" w:hAnsi="仿宋_GB2312" w:eastAsia="仿宋_GB2312"/>
          <w:b w:val="0"/>
          <w:sz w:val="32"/>
          <w:lang w:eastAsia="zh-CN"/>
        </w:rPr>
        <w:t>，</w:t>
      </w:r>
      <w:r>
        <w:rPr>
          <w:rFonts w:ascii="仿宋_GB2312" w:hAnsi="仿宋_GB2312" w:eastAsia="仿宋_GB2312"/>
          <w:b w:val="0"/>
          <w:sz w:val="32"/>
        </w:rPr>
        <w:t>占2.03%。</w:t>
      </w:r>
    </w:p>
    <w:p w14:paraId="226E4556">
      <w:pPr>
        <w:spacing w:line="640" w:lineRule="exact"/>
        <w:ind w:firstLine="640"/>
        <w:jc w:val="both"/>
        <w:outlineLvl w:val="3"/>
      </w:pPr>
      <w:r>
        <w:rPr>
          <w:rFonts w:ascii="楷体_GB2312" w:hAnsi="楷体_GB2312" w:eastAsia="楷体_GB2312"/>
          <w:b/>
          <w:sz w:val="32"/>
        </w:rPr>
        <w:t>（三）一般公共预算财政拨款支出决算具体情况</w:t>
      </w:r>
    </w:p>
    <w:p w14:paraId="107389BE">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支出决算数为3.16万元，比上年决算增加0.59万元，增长22.96%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12DCBDE9">
      <w:pPr>
        <w:spacing w:line="580" w:lineRule="exact"/>
        <w:ind w:firstLine="640"/>
        <w:jc w:val="both"/>
      </w:pPr>
      <w:r>
        <w:rPr>
          <w:rFonts w:ascii="仿宋_GB2312" w:hAnsi="仿宋_GB2312" w:eastAsia="仿宋_GB2312"/>
          <w:b w:val="0"/>
          <w:sz w:val="32"/>
        </w:rPr>
        <w:t>2.卫生健康支出(类)行政事业单位医疗(款)事业单位医疗(项)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支出决算数为1.34万元，比上年决算增加0.25万元，增长22.94%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468D965E">
      <w:pPr>
        <w:spacing w:line="580" w:lineRule="exact"/>
        <w:ind w:firstLine="640"/>
        <w:jc w:val="both"/>
      </w:pPr>
      <w:r>
        <w:rPr>
          <w:rFonts w:ascii="仿宋_GB2312" w:hAnsi="仿宋_GB2312" w:eastAsia="仿宋_GB2312"/>
          <w:b w:val="0"/>
          <w:sz w:val="32"/>
        </w:rPr>
        <w:t>3.农林水支出(类)农业农村(款)事业运行(项)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支出决算数为24.69万元，比上年决算减少0.58万元，下降2.30%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主要原因是：本年在职人员调入调出，人员职级不同，工资基数不同，导致人员经费较上年减少。</w:t>
      </w:r>
    </w:p>
    <w:p w14:paraId="0763730B">
      <w:pPr>
        <w:spacing w:line="580" w:lineRule="exact"/>
        <w:ind w:firstLine="640"/>
        <w:jc w:val="both"/>
      </w:pPr>
      <w:r>
        <w:rPr>
          <w:rFonts w:ascii="仿宋_GB2312" w:hAnsi="仿宋_GB2312" w:eastAsia="仿宋_GB2312"/>
          <w:b w:val="0"/>
          <w:sz w:val="32"/>
        </w:rPr>
        <w:t>4.农林水支出(类)巩固脱贫攻坚成果衔接乡村振兴(款)生产发展(项)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支出决算数为0.00万元，比上年决算减少27.48万元，下降100.00%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主要原因是：本年减少园艺场和林场农村卫生户厕建设项目、林场高质量经济发展建设项目。</w:t>
      </w:r>
    </w:p>
    <w:p w14:paraId="656EF6B0">
      <w:pPr>
        <w:spacing w:line="580" w:lineRule="exact"/>
        <w:ind w:firstLine="640"/>
        <w:jc w:val="both"/>
      </w:pPr>
      <w:r>
        <w:rPr>
          <w:rFonts w:ascii="仿宋_GB2312" w:hAnsi="仿宋_GB2312" w:eastAsia="仿宋_GB2312"/>
          <w:b w:val="0"/>
          <w:sz w:val="32"/>
        </w:rPr>
        <w:t>5.农林水支出(类)农村综合改革(款)其他农村综合改革支出(项)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支出决算数为16.53万元，比上年决算减少1.18万元，下降6.66%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主要原因是：本年农村综合改革支出项目减少，导致经费较上年减少。</w:t>
      </w:r>
    </w:p>
    <w:p w14:paraId="427CEC6A">
      <w:pPr>
        <w:spacing w:line="580" w:lineRule="exact"/>
        <w:ind w:firstLine="640"/>
        <w:jc w:val="both"/>
      </w:pPr>
      <w:r>
        <w:rPr>
          <w:rFonts w:ascii="仿宋_GB2312" w:hAnsi="仿宋_GB2312" w:eastAsia="仿宋_GB2312"/>
          <w:b w:val="0"/>
          <w:sz w:val="32"/>
        </w:rPr>
        <w:t>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支出决算数为2.48万元，比上年决算增加0.18万元，增长7.83%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4144DD21">
      <w:pPr>
        <w:spacing w:line="580" w:lineRule="exact"/>
        <w:ind w:firstLine="640"/>
        <w:jc w:val="both"/>
      </w:pPr>
      <w:r>
        <w:rPr>
          <w:rFonts w:ascii="仿宋_GB2312" w:hAnsi="仿宋_GB2312" w:eastAsia="仿宋_GB2312"/>
          <w:b w:val="0"/>
          <w:sz w:val="32"/>
        </w:rPr>
        <w:t>7.其他支出(类)其他支出(款)其他支出(项)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支出决算数为1.00万元，比上年决算增加1.00万元，增长100.00%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主要原因是：本年新增园艺场办公耗材费，相应支出增加。</w:t>
      </w:r>
    </w:p>
    <w:p w14:paraId="52CB983B">
      <w:pPr>
        <w:spacing w:line="640" w:lineRule="exact"/>
        <w:ind w:firstLine="640"/>
        <w:jc w:val="both"/>
        <w:outlineLvl w:val="2"/>
      </w:pPr>
      <w:r>
        <w:rPr>
          <w:rFonts w:ascii="黑体" w:hAnsi="黑体" w:eastAsia="黑体"/>
          <w:sz w:val="32"/>
        </w:rPr>
        <w:t>六、一般公共预算财政拨款基本支出决算情况说明</w:t>
      </w:r>
    </w:p>
    <w:p w14:paraId="0935E7AF">
      <w:pPr>
        <w:spacing w:line="580" w:lineRule="exact"/>
        <w:ind w:firstLine="640"/>
        <w:jc w:val="both"/>
      </w:pPr>
      <w:r>
        <w:rPr>
          <w:rFonts w:ascii="仿宋_GB2312" w:hAnsi="仿宋_GB2312" w:eastAsia="仿宋_GB2312"/>
          <w:b w:val="0"/>
          <w:sz w:val="32"/>
        </w:rPr>
        <w:t>2024年度一般公共预算财政拨款基本支出31.67万元，其中：</w:t>
      </w:r>
      <w:r>
        <w:rPr>
          <w:rFonts w:ascii="仿宋_GB2312" w:hAnsi="仿宋_GB2312" w:eastAsia="仿宋_GB2312"/>
          <w:b/>
          <w:sz w:val="32"/>
        </w:rPr>
        <w:t>人员经费31.67万元，</w:t>
      </w:r>
      <w:r>
        <w:rPr>
          <w:rFonts w:ascii="仿宋_GB2312" w:hAnsi="仿宋_GB2312" w:eastAsia="仿宋_GB2312"/>
          <w:b w:val="0"/>
          <w:sz w:val="32"/>
        </w:rPr>
        <w:t>包括：基本工资、津贴补贴、奖金、机关事业单位基本养老保险缴费、职工基本医疗保险缴费、其他社会保障缴费、住房公积金、生活补助。</w:t>
      </w:r>
    </w:p>
    <w:p w14:paraId="4C2CFDA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14998DC">
      <w:pPr>
        <w:spacing w:line="640" w:lineRule="exact"/>
        <w:ind w:firstLine="640"/>
        <w:jc w:val="both"/>
        <w:outlineLvl w:val="2"/>
      </w:pPr>
      <w:r>
        <w:rPr>
          <w:rFonts w:ascii="黑体" w:hAnsi="黑体" w:eastAsia="黑体"/>
          <w:sz w:val="32"/>
        </w:rPr>
        <w:t>七、政府性基金预算财政拨款收入支出决算情况说明</w:t>
      </w:r>
    </w:p>
    <w:p w14:paraId="679EEBD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C696630">
      <w:pPr>
        <w:spacing w:line="640" w:lineRule="exact"/>
        <w:ind w:firstLine="640"/>
        <w:jc w:val="both"/>
        <w:outlineLvl w:val="2"/>
      </w:pPr>
      <w:r>
        <w:rPr>
          <w:rFonts w:ascii="黑体" w:hAnsi="黑体" w:eastAsia="黑体"/>
          <w:sz w:val="32"/>
        </w:rPr>
        <w:t>八、国有资本经营预算财政拨款收入支出决算情况说明</w:t>
      </w:r>
    </w:p>
    <w:p w14:paraId="02F108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9BBE2F">
      <w:pPr>
        <w:spacing w:line="640" w:lineRule="exact"/>
        <w:ind w:firstLine="640"/>
        <w:jc w:val="both"/>
        <w:outlineLvl w:val="2"/>
      </w:pPr>
      <w:r>
        <w:rPr>
          <w:rFonts w:ascii="黑体" w:hAnsi="黑体" w:eastAsia="黑体"/>
          <w:sz w:val="32"/>
        </w:rPr>
        <w:t>九、财政拨款“三公”经费支出决算情况说明</w:t>
      </w:r>
    </w:p>
    <w:p w14:paraId="283A63EF">
      <w:pPr>
        <w:spacing w:line="580" w:lineRule="exact"/>
        <w:ind w:firstLine="640"/>
        <w:jc w:val="both"/>
      </w:pPr>
      <w:r>
        <w:rPr>
          <w:rFonts w:ascii="仿宋_GB2312" w:hAnsi="仿宋_GB2312" w:eastAsia="仿宋_GB2312"/>
          <w:b/>
          <w:sz w:val="32"/>
        </w:rPr>
        <w:t>2024年度财政拨款“三公”经费支出1.59万元，</w:t>
      </w:r>
      <w:r>
        <w:rPr>
          <w:rFonts w:ascii="仿宋_GB2312" w:hAnsi="仿宋_GB2312" w:eastAsia="仿宋_GB2312"/>
          <w:b w:val="0"/>
          <w:sz w:val="32"/>
        </w:rPr>
        <w:t>比上年增加1.59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1.59万元，占100.00%，比上年增加1.59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759839B1">
      <w:pPr>
        <w:spacing w:line="580" w:lineRule="exact"/>
        <w:ind w:firstLine="640"/>
        <w:jc w:val="both"/>
      </w:pPr>
      <w:r>
        <w:rPr>
          <w:rFonts w:ascii="仿宋_GB2312" w:hAnsi="仿宋_GB2312" w:eastAsia="仿宋_GB2312"/>
          <w:b/>
          <w:sz w:val="32"/>
        </w:rPr>
        <w:t>具体情况如下：</w:t>
      </w:r>
    </w:p>
    <w:p w14:paraId="4F197B9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FD88D5">
      <w:pPr>
        <w:spacing w:line="580" w:lineRule="exact"/>
        <w:ind w:firstLine="640"/>
        <w:jc w:val="both"/>
      </w:pPr>
      <w:r>
        <w:rPr>
          <w:rFonts w:ascii="仿宋_GB2312" w:hAnsi="仿宋_GB2312" w:eastAsia="仿宋_GB2312"/>
          <w:b w:val="0"/>
          <w:sz w:val="32"/>
        </w:rPr>
        <w:t>公务用车购置及运行维护费1.59万元，其中：公务用车购置费0.00万元，公务用车运行维护费1.59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098BA47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33AF6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1.59万元，决算数1.59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1.59万元，决算数1.59万元，预决算差异率0.00%，主要原因是：严格按照预算执行，预决算无差异。公务接待费全年预算数0.00万元，决算数0.00万元，预决算差异率0.00%，主要原因是：本单位无公务接待费。</w:t>
      </w:r>
    </w:p>
    <w:p w14:paraId="56EFA139">
      <w:pPr>
        <w:spacing w:line="640" w:lineRule="exact"/>
        <w:ind w:firstLine="640"/>
        <w:jc w:val="both"/>
        <w:outlineLvl w:val="2"/>
      </w:pPr>
      <w:r>
        <w:rPr>
          <w:rFonts w:ascii="黑体" w:hAnsi="黑体" w:eastAsia="黑体"/>
          <w:sz w:val="32"/>
        </w:rPr>
        <w:t>十、其他重要事项的情况说明</w:t>
      </w:r>
    </w:p>
    <w:p w14:paraId="7FDF2C5D">
      <w:pPr>
        <w:spacing w:line="640" w:lineRule="exact"/>
        <w:ind w:firstLine="640"/>
        <w:jc w:val="both"/>
        <w:outlineLvl w:val="3"/>
      </w:pPr>
      <w:r>
        <w:rPr>
          <w:rFonts w:ascii="楷体_GB2312" w:hAnsi="楷体_GB2312" w:eastAsia="楷体_GB2312"/>
          <w:b/>
          <w:sz w:val="32"/>
        </w:rPr>
        <w:t>（一）机关运行经费及公用经费支出情况</w:t>
      </w:r>
    </w:p>
    <w:p w14:paraId="26BF10EB">
      <w:pPr>
        <w:spacing w:line="580" w:lineRule="exact"/>
        <w:ind w:firstLine="640"/>
        <w:jc w:val="both"/>
      </w:pPr>
      <w:r>
        <w:rPr>
          <w:rFonts w:ascii="仿宋_GB2312" w:hAnsi="仿宋_GB2312" w:eastAsia="仿宋_GB2312"/>
          <w:b w:val="0"/>
          <w:sz w:val="32"/>
        </w:rPr>
        <w:t>2024年度疏附县第一园艺场（事业单位）公用经费支出0.00万元，比上年减少0.60万元，下降100.00%，主要原因是：本年本单位严格控制公用经费，合理节约办公用品，减少不必要开支。</w:t>
      </w:r>
    </w:p>
    <w:p w14:paraId="48967253">
      <w:pPr>
        <w:spacing w:line="640" w:lineRule="exact"/>
        <w:ind w:firstLine="640"/>
        <w:jc w:val="both"/>
        <w:outlineLvl w:val="3"/>
      </w:pPr>
      <w:r>
        <w:rPr>
          <w:rFonts w:ascii="楷体_GB2312" w:hAnsi="楷体_GB2312" w:eastAsia="楷体_GB2312"/>
          <w:b/>
          <w:sz w:val="32"/>
        </w:rPr>
        <w:t>（二）政府采购情况</w:t>
      </w:r>
    </w:p>
    <w:p w14:paraId="2E179E8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F6BB44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C39BEBA">
      <w:pPr>
        <w:spacing w:line="640" w:lineRule="exact"/>
        <w:ind w:firstLine="640"/>
        <w:jc w:val="both"/>
        <w:outlineLvl w:val="3"/>
      </w:pPr>
      <w:r>
        <w:rPr>
          <w:rFonts w:ascii="楷体_GB2312" w:hAnsi="楷体_GB2312" w:eastAsia="楷体_GB2312"/>
          <w:b/>
          <w:sz w:val="32"/>
        </w:rPr>
        <w:t>（三）国有资产占用情况说明</w:t>
      </w:r>
    </w:p>
    <w:p w14:paraId="4C96FBAC">
      <w:pPr>
        <w:spacing w:line="580" w:lineRule="exact"/>
        <w:ind w:firstLine="640"/>
        <w:jc w:val="both"/>
      </w:pPr>
      <w:r>
        <w:rPr>
          <w:rFonts w:ascii="仿宋_GB2312" w:hAnsi="仿宋_GB2312" w:eastAsia="仿宋_GB2312"/>
          <w:b w:val="0"/>
          <w:sz w:val="32"/>
        </w:rPr>
        <w:t>截至2024年12月31日，房屋236.00平方米，价值7.77万元。车辆1辆，价值9.93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0台（套）。</w:t>
      </w:r>
    </w:p>
    <w:p w14:paraId="4730FBD0">
      <w:pPr>
        <w:spacing w:line="640" w:lineRule="exact"/>
        <w:ind w:firstLine="640"/>
        <w:jc w:val="both"/>
        <w:outlineLvl w:val="2"/>
      </w:pPr>
      <w:r>
        <w:rPr>
          <w:rFonts w:ascii="黑体" w:hAnsi="黑体" w:eastAsia="黑体"/>
          <w:sz w:val="32"/>
        </w:rPr>
        <w:t>十一、预算绩效的情况说明</w:t>
      </w:r>
    </w:p>
    <w:p w14:paraId="79F4D89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根据预算绩效管理要求，本单位2024年度预算绩效管理形成整体支出绩效自评表1个，全年预算总额138.37万元，实际执行总额132.72万元；预算绩效评价项目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个，全年预算数10</w:t>
      </w:r>
      <w:r>
        <w:rPr>
          <w:rFonts w:hint="eastAsia" w:ascii="仿宋_GB2312" w:hAnsi="仿宋_GB2312" w:eastAsia="仿宋_GB2312"/>
          <w:b w:val="0"/>
          <w:sz w:val="32"/>
          <w:lang w:val="en-US" w:eastAsia="zh-CN"/>
        </w:rPr>
        <w:t>6</w:t>
      </w:r>
      <w:r>
        <w:rPr>
          <w:rFonts w:ascii="仿宋_GB2312" w:hAnsi="仿宋_GB2312" w:eastAsia="仿宋_GB2312"/>
          <w:b w:val="0"/>
          <w:sz w:val="32"/>
        </w:rPr>
        <w:t>.69万元，全年执行数104.69万元。预算绩效管理取得的成效：一是确保资金的高效使用，切实发挥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我单位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76F452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1304DC">
        <w:tblPrEx>
          <w:tblCellMar>
            <w:top w:w="0" w:type="dxa"/>
            <w:left w:w="108" w:type="dxa"/>
            <w:bottom w:w="0" w:type="dxa"/>
            <w:right w:w="108" w:type="dxa"/>
          </w:tblCellMar>
        </w:tblPrEx>
        <w:tc>
          <w:tcPr>
            <w:tcW w:w="8847" w:type="dxa"/>
            <w:gridSpan w:val="9"/>
            <w:vAlign w:val="center"/>
          </w:tcPr>
          <w:p w14:paraId="4A799CA5">
            <w:pPr>
              <w:jc w:val="center"/>
            </w:pPr>
            <w:r>
              <w:rPr>
                <w:rFonts w:ascii="宋体" w:hAnsi="宋体" w:eastAsia="宋体"/>
                <w:sz w:val="24"/>
              </w:rPr>
              <w:t>单位整体支出绩效自评表</w:t>
            </w:r>
          </w:p>
        </w:tc>
      </w:tr>
      <w:tr w14:paraId="0F11472C">
        <w:tblPrEx>
          <w:tblCellMar>
            <w:top w:w="0" w:type="dxa"/>
            <w:left w:w="108" w:type="dxa"/>
            <w:bottom w:w="0" w:type="dxa"/>
            <w:right w:w="108" w:type="dxa"/>
          </w:tblCellMar>
        </w:tblPrEx>
        <w:tc>
          <w:tcPr>
            <w:tcW w:w="8847" w:type="dxa"/>
            <w:gridSpan w:val="9"/>
            <w:vAlign w:val="center"/>
          </w:tcPr>
          <w:p w14:paraId="46057E40">
            <w:pPr>
              <w:jc w:val="center"/>
            </w:pPr>
            <w:r>
              <w:rPr>
                <w:rFonts w:ascii="宋体" w:hAnsi="宋体" w:eastAsia="宋体"/>
                <w:sz w:val="24"/>
              </w:rPr>
              <w:t>（2024年度）</w:t>
            </w:r>
          </w:p>
        </w:tc>
      </w:tr>
      <w:tr w14:paraId="2BF6EF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70B7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AC38FB">
            <w:pPr>
              <w:jc w:val="center"/>
            </w:pPr>
            <w:r>
              <w:rPr>
                <w:rFonts w:ascii="宋体" w:hAnsi="宋体" w:eastAsia="宋体"/>
                <w:sz w:val="16"/>
              </w:rPr>
              <w:t>疏附县第一园艺场</w:t>
            </w:r>
          </w:p>
        </w:tc>
      </w:tr>
      <w:tr w14:paraId="10FEEB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4DDE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66A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795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DCD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FD6D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8A3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D25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3955">
            <w:pPr>
              <w:jc w:val="center"/>
            </w:pPr>
            <w:r>
              <w:rPr>
                <w:rFonts w:ascii="宋体" w:hAnsi="宋体" w:eastAsia="宋体"/>
                <w:sz w:val="16"/>
              </w:rPr>
              <w:t>得分</w:t>
            </w:r>
          </w:p>
        </w:tc>
      </w:tr>
      <w:tr w14:paraId="249E2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970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B6B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D6732">
            <w:pPr>
              <w:jc w:val="center"/>
            </w:pPr>
            <w:r>
              <w:rPr>
                <w:rFonts w:ascii="宋体" w:hAnsi="宋体" w:eastAsia="宋体"/>
                <w:sz w:val="16"/>
              </w:rPr>
              <w:t>34.41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B0C86">
            <w:pPr>
              <w:jc w:val="center"/>
            </w:pPr>
            <w:r>
              <w:rPr>
                <w:rFonts w:ascii="宋体" w:hAnsi="宋体" w:eastAsia="宋体"/>
                <w:sz w:val="16"/>
              </w:rPr>
              <w:t>138.37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7544">
            <w:pPr>
              <w:jc w:val="center"/>
            </w:pPr>
            <w:r>
              <w:rPr>
                <w:rFonts w:ascii="宋体" w:hAnsi="宋体" w:eastAsia="宋体"/>
                <w:sz w:val="16"/>
              </w:rPr>
              <w:t>132.72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02A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63F8">
            <w:pPr>
              <w:jc w:val="center"/>
            </w:pPr>
            <w:r>
              <w:rPr>
                <w:rFonts w:ascii="宋体" w:hAnsi="宋体" w:eastAsia="宋体"/>
                <w:sz w:val="16"/>
              </w:rPr>
              <w:t>95.92%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0BDF5">
            <w:pPr>
              <w:jc w:val="center"/>
            </w:pPr>
            <w:r>
              <w:rPr>
                <w:rFonts w:ascii="宋体" w:hAnsi="宋体" w:eastAsia="宋体"/>
                <w:sz w:val="16"/>
              </w:rPr>
              <w:t>8.91</w:t>
            </w:r>
          </w:p>
        </w:tc>
      </w:tr>
      <w:tr w14:paraId="4F036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5D6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CBED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AF8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13B53">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36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F00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772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65B05">
            <w:pPr>
              <w:jc w:val="center"/>
            </w:pPr>
            <w:r>
              <w:rPr>
                <w:rFonts w:ascii="宋体" w:hAnsi="宋体" w:eastAsia="宋体"/>
                <w:sz w:val="16"/>
              </w:rPr>
              <w:t>—</w:t>
            </w:r>
          </w:p>
        </w:tc>
      </w:tr>
      <w:tr w14:paraId="468CE7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D10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FFE8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FD30A">
            <w:pPr>
              <w:jc w:val="center"/>
            </w:pPr>
            <w:r>
              <w:rPr>
                <w:rFonts w:ascii="宋体" w:hAnsi="宋体" w:eastAsia="宋体"/>
                <w:sz w:val="16"/>
              </w:rPr>
              <w:t>34.41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51FE">
            <w:pPr>
              <w:jc w:val="center"/>
            </w:pPr>
            <w:r>
              <w:rPr>
                <w:rFonts w:ascii="宋体" w:hAnsi="宋体" w:eastAsia="宋体"/>
                <w:sz w:val="16"/>
              </w:rPr>
              <w:t>65.25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0D56">
            <w:pPr>
              <w:jc w:val="center"/>
            </w:pPr>
            <w:r>
              <w:rPr>
                <w:rFonts w:ascii="宋体" w:hAnsi="宋体" w:eastAsia="宋体"/>
                <w:sz w:val="16"/>
              </w:rPr>
              <w:t>60.60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E61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517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080C">
            <w:pPr>
              <w:jc w:val="center"/>
            </w:pPr>
            <w:r>
              <w:rPr>
                <w:rFonts w:ascii="宋体" w:hAnsi="宋体" w:eastAsia="宋体"/>
                <w:sz w:val="16"/>
              </w:rPr>
              <w:t>—</w:t>
            </w:r>
          </w:p>
        </w:tc>
      </w:tr>
      <w:tr w14:paraId="3A676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F41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205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0A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7825E">
            <w:pPr>
              <w:jc w:val="center"/>
            </w:pPr>
            <w:r>
              <w:rPr>
                <w:rFonts w:ascii="宋体" w:hAnsi="宋体" w:eastAsia="宋体"/>
                <w:sz w:val="16"/>
              </w:rPr>
              <w:t>71.12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DB22">
            <w:pPr>
              <w:jc w:val="center"/>
            </w:pPr>
            <w:r>
              <w:rPr>
                <w:rFonts w:ascii="宋体" w:hAnsi="宋体" w:eastAsia="宋体"/>
                <w:sz w:val="16"/>
              </w:rPr>
              <w:t>71.12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04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FB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16129">
            <w:pPr>
              <w:jc w:val="center"/>
            </w:pPr>
            <w:r>
              <w:rPr>
                <w:rFonts w:ascii="宋体" w:hAnsi="宋体" w:eastAsia="宋体"/>
                <w:sz w:val="16"/>
              </w:rPr>
              <w:t>—</w:t>
            </w:r>
          </w:p>
        </w:tc>
      </w:tr>
      <w:tr w14:paraId="5773B6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734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D9F8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25ACB">
            <w:pPr>
              <w:jc w:val="center"/>
            </w:pPr>
            <w:r>
              <w:rPr>
                <w:rFonts w:ascii="宋体" w:hAnsi="宋体" w:eastAsia="宋体"/>
                <w:sz w:val="16"/>
              </w:rPr>
              <w:t>实际完成情况</w:t>
            </w:r>
          </w:p>
        </w:tc>
      </w:tr>
      <w:tr w14:paraId="23A09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CC4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03867">
            <w:pPr>
              <w:jc w:val="both"/>
            </w:pPr>
            <w:r>
              <w:rPr>
                <w:rFonts w:ascii="宋体" w:hAnsi="宋体" w:eastAsia="宋体"/>
                <w:sz w:val="16"/>
              </w:rPr>
              <w:t>以习近平新时代中国特色社会主义思想为指导，深入学习贯彻落实党的二十大和</w:t>
            </w:r>
            <w:r>
              <w:rPr>
                <w:rFonts w:hint="eastAsia" w:ascii="宋体" w:hAnsi="宋体"/>
                <w:sz w:val="16"/>
                <w:lang w:eastAsia="zh-CN"/>
              </w:rPr>
              <w:t>党的二十届一中全会精神</w:t>
            </w:r>
            <w:r>
              <w:rPr>
                <w:rFonts w:ascii="宋体" w:hAnsi="宋体" w:eastAsia="宋体"/>
                <w:sz w:val="16"/>
              </w:rPr>
              <w:t>，坚决贯彻落实第三次中央新疆工作座谈会精神和习近平总书记视察新疆重要讲话精神，贯彻落实地委和县委各项决策部署，坚持以总目标为引领，以稳定助推发展，以发展巩固脱贫成效，以美丽乡村建设促进乡村振兴，确保2024年园艺场各项工作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E7C4F">
            <w:pPr>
              <w:jc w:val="both"/>
            </w:pPr>
            <w:r>
              <w:rPr>
                <w:rFonts w:hint="eastAsia" w:ascii="宋体" w:hAnsi="宋体"/>
                <w:sz w:val="16"/>
                <w:lang w:eastAsia="zh-CN"/>
              </w:rPr>
              <w:t>截至2024</w:t>
            </w:r>
            <w:r>
              <w:rPr>
                <w:rFonts w:ascii="宋体" w:hAnsi="宋体" w:eastAsia="宋体"/>
                <w:sz w:val="16"/>
              </w:rPr>
              <w:t>年12月31日，2024</w:t>
            </w:r>
            <w:r>
              <w:rPr>
                <w:rFonts w:hint="eastAsia" w:ascii="宋体" w:hAnsi="宋体"/>
                <w:sz w:val="16"/>
                <w:lang w:eastAsia="zh-CN"/>
              </w:rPr>
              <w:t>年</w:t>
            </w:r>
            <w:r>
              <w:rPr>
                <w:rFonts w:ascii="宋体" w:hAnsi="宋体" w:eastAsia="宋体"/>
                <w:sz w:val="16"/>
              </w:rPr>
              <w:t>完成全场脱贫人口人均纯收入增长率17.1%，种植玉米面积270亩，育苗玫瑰花数量40000株，育苗红叶海棠数量3000株，开展规范生产培训次数12次，坚持以总目标为引领，以稳定助推发展，以发展巩固脱贫成效，以美丽乡村建设促进乡村振兴，确保2024年园艺场各项工作再上新台阶。</w:t>
            </w:r>
          </w:p>
        </w:tc>
      </w:tr>
      <w:tr w14:paraId="3D0C5C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D3B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962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58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81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9957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63D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B5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F90A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2F6AF">
            <w:pPr>
              <w:jc w:val="center"/>
            </w:pPr>
            <w:r>
              <w:rPr>
                <w:rFonts w:ascii="宋体" w:hAnsi="宋体" w:eastAsia="宋体"/>
                <w:sz w:val="16"/>
              </w:rPr>
              <w:t>得分</w:t>
            </w:r>
          </w:p>
        </w:tc>
      </w:tr>
      <w:tr w14:paraId="2A906A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11C2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B03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ACA13">
            <w:pPr>
              <w:jc w:val="center"/>
            </w:pPr>
            <w:r>
              <w:rPr>
                <w:rFonts w:ascii="宋体" w:hAnsi="宋体" w:eastAsia="宋体"/>
                <w:sz w:val="16"/>
              </w:rPr>
              <w:t>全场脱贫人口人均纯收入增长率（%））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EDF4B">
            <w:pPr>
              <w:jc w:val="center"/>
            </w:pPr>
            <w:r>
              <w:rPr>
                <w:rFonts w:ascii="宋体" w:hAnsi="宋体" w:eastAsia="宋体"/>
                <w:sz w:val="16"/>
              </w:rPr>
              <w:t>&gt;=17.10%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BF47">
            <w:pPr>
              <w:jc w:val="center"/>
            </w:pPr>
            <w:r>
              <w:rPr>
                <w:rFonts w:ascii="宋体" w:hAnsi="宋体" w:eastAsia="宋体"/>
                <w:sz w:val="16"/>
              </w:rPr>
              <w:t>疏附县园艺场2023年工作计划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01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55E9C">
            <w:pPr>
              <w:jc w:val="center"/>
            </w:pPr>
            <w:r>
              <w:rPr>
                <w:rFonts w:ascii="宋体" w:hAnsi="宋体" w:eastAsia="宋体"/>
                <w:sz w:val="16"/>
              </w:rPr>
              <w:t>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D7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09A5">
            <w:pPr>
              <w:jc w:val="center"/>
            </w:pPr>
            <w:r>
              <w:rPr>
                <w:rFonts w:ascii="宋体" w:hAnsi="宋体" w:eastAsia="宋体"/>
                <w:sz w:val="16"/>
              </w:rPr>
              <w:t>20</w:t>
            </w:r>
          </w:p>
        </w:tc>
      </w:tr>
      <w:tr w14:paraId="3F808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634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EC9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607F">
            <w:pPr>
              <w:jc w:val="center"/>
            </w:pPr>
            <w:r>
              <w:rPr>
                <w:rFonts w:ascii="宋体" w:hAnsi="宋体" w:eastAsia="宋体"/>
                <w:sz w:val="16"/>
              </w:rPr>
              <w:t>种植玉米面积(亩）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6E1D">
            <w:pPr>
              <w:jc w:val="center"/>
            </w:pPr>
            <w:r>
              <w:rPr>
                <w:rFonts w:ascii="宋体" w:hAnsi="宋体" w:eastAsia="宋体"/>
                <w:sz w:val="16"/>
              </w:rPr>
              <w:t>&gt;=270亩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1109">
            <w:pPr>
              <w:jc w:val="center"/>
            </w:pPr>
            <w:r>
              <w:rPr>
                <w:rFonts w:ascii="宋体" w:hAnsi="宋体" w:eastAsia="宋体"/>
                <w:sz w:val="16"/>
              </w:rPr>
              <w:t>疏附县园艺场2024年工作计划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44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98EC0">
            <w:pPr>
              <w:jc w:val="center"/>
            </w:pPr>
            <w:r>
              <w:rPr>
                <w:rFonts w:ascii="宋体" w:hAnsi="宋体" w:eastAsia="宋体"/>
                <w:sz w:val="16"/>
              </w:rPr>
              <w:t>270亩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9C3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07B3">
            <w:pPr>
              <w:jc w:val="center"/>
            </w:pPr>
            <w:r>
              <w:rPr>
                <w:rFonts w:ascii="宋体" w:hAnsi="宋体" w:eastAsia="宋体"/>
                <w:sz w:val="16"/>
              </w:rPr>
              <w:t>20</w:t>
            </w:r>
          </w:p>
        </w:tc>
      </w:tr>
      <w:tr w14:paraId="27B33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841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3F4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DCA3D">
            <w:pPr>
              <w:jc w:val="center"/>
            </w:pPr>
            <w:r>
              <w:rPr>
                <w:rFonts w:ascii="宋体" w:hAnsi="宋体" w:eastAsia="宋体"/>
                <w:sz w:val="16"/>
              </w:rPr>
              <w:t>育苗玫瑰花数量（株）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E68A">
            <w:pPr>
              <w:jc w:val="center"/>
            </w:pPr>
            <w:r>
              <w:rPr>
                <w:rFonts w:ascii="宋体" w:hAnsi="宋体" w:eastAsia="宋体"/>
                <w:sz w:val="16"/>
              </w:rPr>
              <w:t>&gt;=40000株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AA22F">
            <w:pPr>
              <w:jc w:val="center"/>
            </w:pPr>
            <w:r>
              <w:rPr>
                <w:rFonts w:ascii="宋体" w:hAnsi="宋体" w:eastAsia="宋体"/>
                <w:sz w:val="16"/>
              </w:rPr>
              <w:t>疏附县园艺场2024年工作计划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108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3D59">
            <w:pPr>
              <w:jc w:val="center"/>
            </w:pPr>
            <w:r>
              <w:rPr>
                <w:rFonts w:ascii="宋体" w:hAnsi="宋体" w:eastAsia="宋体"/>
                <w:sz w:val="16"/>
              </w:rPr>
              <w:t>40000株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A1F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B3CA">
            <w:pPr>
              <w:jc w:val="center"/>
            </w:pPr>
            <w:r>
              <w:rPr>
                <w:rFonts w:ascii="宋体" w:hAnsi="宋体" w:eastAsia="宋体"/>
                <w:sz w:val="16"/>
              </w:rPr>
              <w:t>20</w:t>
            </w:r>
          </w:p>
        </w:tc>
      </w:tr>
      <w:tr w14:paraId="0B1C1B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E6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A0F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82262">
            <w:pPr>
              <w:jc w:val="center"/>
            </w:pPr>
            <w:r>
              <w:rPr>
                <w:rFonts w:ascii="宋体" w:hAnsi="宋体" w:eastAsia="宋体"/>
                <w:sz w:val="16"/>
              </w:rPr>
              <w:t>育苗红叶海棠数量（株）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466AB">
            <w:pPr>
              <w:jc w:val="center"/>
            </w:pPr>
            <w:r>
              <w:rPr>
                <w:rFonts w:ascii="宋体" w:hAnsi="宋体" w:eastAsia="宋体"/>
                <w:sz w:val="16"/>
              </w:rPr>
              <w:t>&gt;=3000株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D6FBA">
            <w:pPr>
              <w:jc w:val="center"/>
            </w:pPr>
            <w:r>
              <w:rPr>
                <w:rFonts w:ascii="宋体" w:hAnsi="宋体" w:eastAsia="宋体"/>
                <w:sz w:val="16"/>
              </w:rPr>
              <w:t>疏附县园艺场2024年工作计划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631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26CBB">
            <w:pPr>
              <w:jc w:val="center"/>
            </w:pPr>
            <w:r>
              <w:rPr>
                <w:rFonts w:ascii="宋体" w:hAnsi="宋体" w:eastAsia="宋体"/>
                <w:sz w:val="16"/>
              </w:rPr>
              <w:t>3000株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1C5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FC6F">
            <w:pPr>
              <w:jc w:val="center"/>
            </w:pPr>
            <w:r>
              <w:rPr>
                <w:rFonts w:ascii="宋体" w:hAnsi="宋体" w:eastAsia="宋体"/>
                <w:sz w:val="16"/>
              </w:rPr>
              <w:t>15</w:t>
            </w:r>
          </w:p>
        </w:tc>
      </w:tr>
      <w:tr w14:paraId="64BE1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F3F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BAF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C1D52">
            <w:pPr>
              <w:jc w:val="center"/>
            </w:pPr>
            <w:r>
              <w:rPr>
                <w:rFonts w:ascii="宋体" w:hAnsi="宋体" w:eastAsia="宋体"/>
                <w:sz w:val="16"/>
              </w:rPr>
              <w:t>开展规范生产培训次数（次）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1CC71">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8311">
            <w:pPr>
              <w:jc w:val="center"/>
            </w:pPr>
            <w:r>
              <w:rPr>
                <w:rFonts w:ascii="宋体" w:hAnsi="宋体" w:eastAsia="宋体"/>
                <w:sz w:val="16"/>
              </w:rPr>
              <w:t>疏附县园艺场2024年工作计划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7AB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B7E42">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CFA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AB8B">
            <w:pPr>
              <w:jc w:val="center"/>
            </w:pPr>
            <w:r>
              <w:rPr>
                <w:rFonts w:ascii="宋体" w:hAnsi="宋体" w:eastAsia="宋体"/>
                <w:sz w:val="16"/>
              </w:rPr>
              <w:t>15</w:t>
            </w:r>
          </w:p>
        </w:tc>
      </w:tr>
    </w:tbl>
    <w:p w14:paraId="4DE218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254AB6">
        <w:tblPrEx>
          <w:tblCellMar>
            <w:top w:w="0" w:type="dxa"/>
            <w:left w:w="108" w:type="dxa"/>
            <w:bottom w:w="0" w:type="dxa"/>
            <w:right w:w="108" w:type="dxa"/>
          </w:tblCellMar>
        </w:tblPrEx>
        <w:tc>
          <w:tcPr>
            <w:tcW w:w="8848" w:type="dxa"/>
            <w:gridSpan w:val="14"/>
            <w:vAlign w:val="center"/>
          </w:tcPr>
          <w:p w14:paraId="1DECF249">
            <w:pPr>
              <w:jc w:val="center"/>
            </w:pPr>
            <w:r>
              <w:rPr>
                <w:rFonts w:ascii="宋体" w:hAnsi="宋体" w:eastAsia="宋体"/>
                <w:sz w:val="24"/>
              </w:rPr>
              <w:t>项目支出绩效自评表</w:t>
            </w:r>
          </w:p>
        </w:tc>
      </w:tr>
      <w:tr w14:paraId="03C7EDE0">
        <w:tblPrEx>
          <w:tblCellMar>
            <w:top w:w="0" w:type="dxa"/>
            <w:left w:w="108" w:type="dxa"/>
            <w:bottom w:w="0" w:type="dxa"/>
            <w:right w:w="108" w:type="dxa"/>
          </w:tblCellMar>
        </w:tblPrEx>
        <w:tc>
          <w:tcPr>
            <w:tcW w:w="8848" w:type="dxa"/>
            <w:gridSpan w:val="14"/>
            <w:vAlign w:val="center"/>
          </w:tcPr>
          <w:p w14:paraId="7E15C339">
            <w:pPr>
              <w:jc w:val="center"/>
            </w:pPr>
            <w:r>
              <w:rPr>
                <w:rFonts w:ascii="宋体" w:hAnsi="宋体" w:eastAsia="宋体"/>
                <w:sz w:val="24"/>
              </w:rPr>
              <w:t>(2024年度)</w:t>
            </w:r>
          </w:p>
        </w:tc>
      </w:tr>
      <w:tr w14:paraId="71C00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BF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6F36E">
            <w:pPr>
              <w:jc w:val="center"/>
            </w:pPr>
            <w:r>
              <w:rPr>
                <w:rFonts w:ascii="宋体" w:hAnsi="宋体" w:eastAsia="宋体"/>
                <w:sz w:val="16"/>
              </w:rPr>
              <w:t>2023年地方国有农牧场农村税费改革专业支付资金项目（园艺场、林场剩余部分）</w:t>
            </w:r>
          </w:p>
        </w:tc>
      </w:tr>
      <w:tr w14:paraId="5BD50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DA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8AAC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29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CD9D77">
            <w:pPr>
              <w:jc w:val="center"/>
            </w:pPr>
            <w:r>
              <w:rPr>
                <w:rFonts w:ascii="宋体" w:hAnsi="宋体" w:eastAsia="宋体"/>
                <w:sz w:val="16"/>
              </w:rPr>
              <w:t>疏附县第一园艺场</w:t>
            </w:r>
          </w:p>
        </w:tc>
      </w:tr>
      <w:tr w14:paraId="09426E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278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45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68B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848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BA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5A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E0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118B">
            <w:pPr>
              <w:jc w:val="center"/>
            </w:pPr>
            <w:r>
              <w:rPr>
                <w:rFonts w:ascii="宋体" w:hAnsi="宋体" w:eastAsia="宋体"/>
                <w:sz w:val="16"/>
              </w:rPr>
              <w:t>得分</w:t>
            </w:r>
          </w:p>
        </w:tc>
      </w:tr>
      <w:tr w14:paraId="27B1D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85A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B2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F0CE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EA4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871F">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DC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62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2B9A">
            <w:pPr>
              <w:jc w:val="center"/>
            </w:pPr>
            <w:r>
              <w:rPr>
                <w:rFonts w:ascii="宋体" w:hAnsi="宋体" w:eastAsia="宋体"/>
                <w:sz w:val="16"/>
              </w:rPr>
              <w:t>10.00分</w:t>
            </w:r>
          </w:p>
        </w:tc>
      </w:tr>
      <w:tr w14:paraId="204C9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9D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0E9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34D3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ECD1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B7FE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DE5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16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8789">
            <w:pPr>
              <w:jc w:val="center"/>
            </w:pPr>
            <w:r>
              <w:rPr>
                <w:rFonts w:ascii="宋体" w:hAnsi="宋体" w:eastAsia="宋体"/>
                <w:sz w:val="16"/>
              </w:rPr>
              <w:t>—</w:t>
            </w:r>
          </w:p>
        </w:tc>
      </w:tr>
      <w:tr w14:paraId="29980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DC0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4A2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4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FD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8C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059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CE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DEA2">
            <w:pPr>
              <w:jc w:val="center"/>
            </w:pPr>
            <w:r>
              <w:rPr>
                <w:rFonts w:ascii="宋体" w:hAnsi="宋体" w:eastAsia="宋体"/>
                <w:sz w:val="16"/>
              </w:rPr>
              <w:t>—</w:t>
            </w:r>
          </w:p>
        </w:tc>
      </w:tr>
      <w:tr w14:paraId="65C76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7B1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07F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59C989">
            <w:pPr>
              <w:jc w:val="center"/>
            </w:pPr>
            <w:r>
              <w:rPr>
                <w:rFonts w:ascii="宋体" w:hAnsi="宋体" w:eastAsia="宋体"/>
                <w:sz w:val="16"/>
              </w:rPr>
              <w:t>实际完成情况</w:t>
            </w:r>
          </w:p>
        </w:tc>
      </w:tr>
      <w:tr w14:paraId="51DA0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AC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D3918">
            <w:pPr>
              <w:jc w:val="both"/>
            </w:pPr>
            <w:r>
              <w:rPr>
                <w:rFonts w:ascii="宋体" w:hAnsi="宋体" w:eastAsia="宋体"/>
                <w:sz w:val="16"/>
              </w:rPr>
              <w:t>本项目预算数为22万元，主要用于提升疏附县第一园艺场地方国有农牧场农村税费改革转移支付资金目标任务的落实，项目保障园艺场、林场，项目完成时间2024年12月25日，资金拨付合规率100%，成本控制率100%，有效提高场内工作人员积极性，受益群众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34A1B7">
            <w:pPr>
              <w:jc w:val="both"/>
            </w:pPr>
            <w:r>
              <w:rPr>
                <w:rFonts w:hint="eastAsia" w:ascii="宋体" w:hAnsi="宋体"/>
                <w:sz w:val="16"/>
                <w:lang w:eastAsia="zh-CN"/>
              </w:rPr>
              <w:t>截至2024</w:t>
            </w:r>
            <w:r>
              <w:rPr>
                <w:rFonts w:ascii="宋体" w:hAnsi="宋体" w:eastAsia="宋体"/>
                <w:sz w:val="16"/>
              </w:rPr>
              <w:t>年12月31日，项目预算金额22万元，执行金额22万元，执行率100%，项目资金主要用于林场、园艺场的提升疏附县第一园艺场地方国有农牧场农村税费改革转移支付资金目标任务的落实，资金拨付合规率100%，成本控制率100%。通过实施该项目有效提高了场内工作人员积极性，受益群众满意度达到了100%。</w:t>
            </w:r>
          </w:p>
        </w:tc>
      </w:tr>
      <w:tr w14:paraId="5F4BB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C07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2B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E1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94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02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01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D3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EF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78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C8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30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F8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FAEDA">
            <w:pPr>
              <w:jc w:val="center"/>
            </w:pPr>
            <w:r>
              <w:rPr>
                <w:rFonts w:ascii="宋体" w:hAnsi="宋体" w:eastAsia="宋体"/>
                <w:sz w:val="16"/>
              </w:rPr>
              <w:t>偏差原因分析及改进措施</w:t>
            </w:r>
          </w:p>
        </w:tc>
      </w:tr>
      <w:tr w14:paraId="322ED9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5F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F12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60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D11A">
            <w:pPr>
              <w:jc w:val="center"/>
            </w:pPr>
            <w:r>
              <w:rPr>
                <w:rFonts w:ascii="宋体" w:hAnsi="宋体" w:eastAsia="宋体"/>
                <w:sz w:val="16"/>
              </w:rPr>
              <w:t>项目保障场数（个）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B86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9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0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9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A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5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B86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DB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4B17">
            <w:pPr>
              <w:jc w:val="center"/>
            </w:pPr>
          </w:p>
        </w:tc>
      </w:tr>
      <w:tr w14:paraId="631C3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F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B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63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6213">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7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B4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9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CA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7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F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D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16ADE">
            <w:pPr>
              <w:jc w:val="center"/>
            </w:pPr>
          </w:p>
        </w:tc>
      </w:tr>
      <w:tr w14:paraId="11D07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8B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F8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76F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F8E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927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2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2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E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5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4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36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6A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4E90">
            <w:pPr>
              <w:jc w:val="center"/>
            </w:pPr>
          </w:p>
        </w:tc>
      </w:tr>
      <w:tr w14:paraId="21EED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9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7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B9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DB8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3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E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B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2C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A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E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3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F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E8D0">
            <w:pPr>
              <w:jc w:val="center"/>
            </w:pPr>
          </w:p>
        </w:tc>
      </w:tr>
      <w:tr w14:paraId="2E31E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0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DF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89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9936">
            <w:pPr>
              <w:jc w:val="center"/>
            </w:pPr>
            <w:r>
              <w:rPr>
                <w:rFonts w:ascii="宋体" w:hAnsi="宋体" w:eastAsia="宋体"/>
                <w:sz w:val="16"/>
              </w:rPr>
              <w:t>项目金额为（万元）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8BE4">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A8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D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9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7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FE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37DA">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64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92AA">
            <w:pPr>
              <w:jc w:val="center"/>
            </w:pPr>
          </w:p>
        </w:tc>
      </w:tr>
      <w:tr w14:paraId="0B8F4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46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99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29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811A">
            <w:pPr>
              <w:jc w:val="center"/>
            </w:pPr>
            <w:r>
              <w:rPr>
                <w:rFonts w:ascii="宋体" w:hAnsi="宋体" w:eastAsia="宋体"/>
                <w:sz w:val="16"/>
              </w:rPr>
              <w:t>提高场内工作人员积极性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0F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2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A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1A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05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50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C7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E6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5162">
            <w:pPr>
              <w:jc w:val="center"/>
            </w:pPr>
          </w:p>
        </w:tc>
      </w:tr>
      <w:tr w14:paraId="44FC8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B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6B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D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308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31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A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A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8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2A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ED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5C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2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F76A">
            <w:pPr>
              <w:jc w:val="center"/>
            </w:pPr>
            <w:r>
              <w:rPr>
                <w:rFonts w:ascii="宋体" w:hAnsi="宋体" w:eastAsia="宋体"/>
                <w:sz w:val="16"/>
              </w:rPr>
              <w:t>项目初期，对受益对象满意度的理解存在偏差，导致预期值设置偏低。改进措施：深入分析，充分了解受益对象满意度的变化，更好地把握和预测。</w:t>
            </w:r>
          </w:p>
        </w:tc>
      </w:tr>
      <w:tr w14:paraId="2D3C24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A26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E6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131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26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7197AB"/>
        </w:tc>
      </w:tr>
    </w:tbl>
    <w:p w14:paraId="72C32B07">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00F68C84">
        <w:tblPrEx>
          <w:tblCellMar>
            <w:top w:w="0" w:type="dxa"/>
            <w:left w:w="108" w:type="dxa"/>
            <w:bottom w:w="0" w:type="dxa"/>
            <w:right w:w="108" w:type="dxa"/>
          </w:tblCellMar>
        </w:tblPrEx>
        <w:tc>
          <w:tcPr>
            <w:tcW w:w="8848" w:type="dxa"/>
            <w:gridSpan w:val="14"/>
            <w:vAlign w:val="center"/>
          </w:tcPr>
          <w:p w14:paraId="34B135E0">
            <w:pPr>
              <w:jc w:val="center"/>
            </w:pPr>
            <w:r>
              <w:rPr>
                <w:rFonts w:ascii="宋体" w:hAnsi="宋体" w:eastAsia="宋体"/>
                <w:sz w:val="24"/>
              </w:rPr>
              <w:t>项目支出绩效自评表</w:t>
            </w:r>
          </w:p>
        </w:tc>
      </w:tr>
      <w:tr w14:paraId="250A0DB1">
        <w:tblPrEx>
          <w:tblCellMar>
            <w:top w:w="0" w:type="dxa"/>
            <w:left w:w="108" w:type="dxa"/>
            <w:bottom w:w="0" w:type="dxa"/>
            <w:right w:w="108" w:type="dxa"/>
          </w:tblCellMar>
        </w:tblPrEx>
        <w:tc>
          <w:tcPr>
            <w:tcW w:w="8848" w:type="dxa"/>
            <w:gridSpan w:val="14"/>
            <w:vAlign w:val="center"/>
          </w:tcPr>
          <w:p w14:paraId="7AE6FDFD">
            <w:pPr>
              <w:jc w:val="center"/>
            </w:pPr>
            <w:r>
              <w:rPr>
                <w:rFonts w:ascii="宋体" w:hAnsi="宋体" w:eastAsia="宋体"/>
                <w:sz w:val="24"/>
              </w:rPr>
              <w:t>(2024年度)</w:t>
            </w:r>
          </w:p>
        </w:tc>
      </w:tr>
      <w:tr w14:paraId="5E17EA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B2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DDB49C">
            <w:pPr>
              <w:jc w:val="center"/>
            </w:pPr>
            <w:r>
              <w:rPr>
                <w:rFonts w:ascii="宋体" w:hAnsi="宋体" w:eastAsia="宋体"/>
                <w:sz w:val="16"/>
              </w:rPr>
              <w:t>2024年疏附县第一园艺场单位资金项目</w:t>
            </w:r>
          </w:p>
        </w:tc>
      </w:tr>
      <w:tr w14:paraId="64ECD6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F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ADDF8">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91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C89EA7">
            <w:pPr>
              <w:jc w:val="center"/>
            </w:pPr>
            <w:r>
              <w:rPr>
                <w:rFonts w:ascii="宋体" w:hAnsi="宋体" w:eastAsia="宋体"/>
                <w:sz w:val="16"/>
              </w:rPr>
              <w:t>疏附县第一园艺场</w:t>
            </w:r>
          </w:p>
        </w:tc>
      </w:tr>
      <w:tr w14:paraId="32281B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9FE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2F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F2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FB1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958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A3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F11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808A">
            <w:pPr>
              <w:jc w:val="center"/>
            </w:pPr>
            <w:r>
              <w:rPr>
                <w:rFonts w:ascii="宋体" w:hAnsi="宋体" w:eastAsia="宋体"/>
                <w:sz w:val="16"/>
              </w:rPr>
              <w:t>得分</w:t>
            </w:r>
          </w:p>
        </w:tc>
      </w:tr>
      <w:tr w14:paraId="61C82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B3A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46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64607">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30EE">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2117">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BA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D3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6466">
            <w:pPr>
              <w:jc w:val="center"/>
            </w:pPr>
            <w:r>
              <w:rPr>
                <w:rFonts w:ascii="宋体" w:hAnsi="宋体" w:eastAsia="宋体"/>
                <w:sz w:val="16"/>
              </w:rPr>
              <w:t>10.00分</w:t>
            </w:r>
          </w:p>
        </w:tc>
      </w:tr>
      <w:tr w14:paraId="41FF0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B4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74C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11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4E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1A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40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0B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DE23">
            <w:pPr>
              <w:jc w:val="center"/>
            </w:pPr>
            <w:r>
              <w:rPr>
                <w:rFonts w:ascii="宋体" w:hAnsi="宋体" w:eastAsia="宋体"/>
                <w:sz w:val="16"/>
              </w:rPr>
              <w:t>—</w:t>
            </w:r>
          </w:p>
        </w:tc>
      </w:tr>
      <w:tr w14:paraId="15647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72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19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6723E">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46DA">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5133B">
            <w:pPr>
              <w:jc w:val="center"/>
            </w:pPr>
            <w:r>
              <w:rPr>
                <w:rFonts w:ascii="宋体" w:hAnsi="宋体" w:eastAsia="宋体"/>
                <w:sz w:val="16"/>
              </w:rPr>
              <w:t>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496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6E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4582">
            <w:pPr>
              <w:jc w:val="center"/>
            </w:pPr>
            <w:r>
              <w:rPr>
                <w:rFonts w:ascii="宋体" w:hAnsi="宋体" w:eastAsia="宋体"/>
                <w:sz w:val="16"/>
              </w:rPr>
              <w:t>—</w:t>
            </w:r>
          </w:p>
        </w:tc>
      </w:tr>
      <w:tr w14:paraId="65937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10A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D92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7A151">
            <w:pPr>
              <w:jc w:val="center"/>
            </w:pPr>
            <w:r>
              <w:rPr>
                <w:rFonts w:ascii="宋体" w:hAnsi="宋体" w:eastAsia="宋体"/>
                <w:sz w:val="16"/>
              </w:rPr>
              <w:t>实际完成情况</w:t>
            </w:r>
          </w:p>
        </w:tc>
      </w:tr>
      <w:tr w14:paraId="07A63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6D7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BF333">
            <w:pPr>
              <w:jc w:val="both"/>
            </w:pPr>
            <w:r>
              <w:rPr>
                <w:rFonts w:ascii="宋体" w:hAnsi="宋体" w:eastAsia="宋体"/>
                <w:sz w:val="16"/>
              </w:rPr>
              <w:t>本项目预算为71.12万元，按照园艺场资金管理办法及资金支付审批 流程，依据项目计划和实施进度，提出支付申请并提供相关真实、合规的证明材料，制定资金使用计划，经审核后按照单 位资金支付和国库集中支付管理制度的规定和程序及时支付资金，保障园艺场日常运转，受益单位工作人员满意度预计达到95%。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4FD0D">
            <w:pPr>
              <w:jc w:val="both"/>
            </w:pPr>
            <w:r>
              <w:rPr>
                <w:rFonts w:hint="eastAsia" w:ascii="宋体" w:hAnsi="宋体"/>
                <w:sz w:val="16"/>
                <w:lang w:eastAsia="zh-CN"/>
              </w:rPr>
              <w:t>截至2024</w:t>
            </w:r>
            <w:r>
              <w:rPr>
                <w:rFonts w:ascii="宋体" w:hAnsi="宋体" w:eastAsia="宋体"/>
                <w:sz w:val="16"/>
              </w:rPr>
              <w:t>年12月31日，本项目预算数为71.12万元，执行数为71.12万元，执行率100%，完成支出事业运行费3.39万元，国有资本经营预算支出52.09万元，其他支出费用15.65万元，项目的实施保障园艺场日常运转，受益单位工作人员满意度预计达到100%。</w:t>
            </w:r>
          </w:p>
        </w:tc>
      </w:tr>
      <w:tr w14:paraId="76643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174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24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2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76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D8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E1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92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98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FB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45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F9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12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9434F">
            <w:pPr>
              <w:jc w:val="center"/>
            </w:pPr>
            <w:r>
              <w:rPr>
                <w:rFonts w:ascii="宋体" w:hAnsi="宋体" w:eastAsia="宋体"/>
                <w:sz w:val="16"/>
              </w:rPr>
              <w:t>偏差原因分析及改进措施</w:t>
            </w:r>
          </w:p>
        </w:tc>
      </w:tr>
      <w:tr w14:paraId="4977BD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E59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68A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E5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14EF">
            <w:pPr>
              <w:jc w:val="center"/>
            </w:pPr>
            <w:r>
              <w:rPr>
                <w:rFonts w:ascii="宋体" w:hAnsi="宋体" w:eastAsia="宋体"/>
                <w:sz w:val="16"/>
              </w:rPr>
              <w:t>涉及项目类数（类）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556A">
            <w:pPr>
              <w:jc w:val="center"/>
            </w:pPr>
            <w:r>
              <w:rPr>
                <w:rFonts w:ascii="宋体" w:hAnsi="宋体" w:eastAsia="宋体"/>
                <w:sz w:val="16"/>
              </w:rPr>
              <w:t>&gt;=3类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7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4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84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6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9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3037">
            <w:pPr>
              <w:jc w:val="center"/>
            </w:pPr>
            <w:r>
              <w:rPr>
                <w:rFonts w:ascii="宋体" w:hAnsi="宋体" w:eastAsia="宋体"/>
                <w:sz w:val="16"/>
              </w:rPr>
              <w:t>=3类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34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8AA6">
            <w:pPr>
              <w:jc w:val="center"/>
            </w:pPr>
          </w:p>
        </w:tc>
      </w:tr>
      <w:tr w14:paraId="2544E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B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5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FA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881A">
            <w:pPr>
              <w:jc w:val="center"/>
            </w:pPr>
            <w:r>
              <w:rPr>
                <w:rFonts w:ascii="宋体" w:hAnsi="宋体" w:eastAsia="宋体"/>
                <w:sz w:val="16"/>
              </w:rPr>
              <w:t>资金拨付准备率（%）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1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F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9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5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6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D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0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4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E015">
            <w:pPr>
              <w:jc w:val="center"/>
            </w:pPr>
          </w:p>
        </w:tc>
      </w:tr>
      <w:tr w14:paraId="79520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A3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42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1F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C64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3B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F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8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15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3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3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84D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9F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F0B6">
            <w:pPr>
              <w:jc w:val="center"/>
            </w:pPr>
          </w:p>
        </w:tc>
      </w:tr>
      <w:tr w14:paraId="37251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237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F1F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02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A67A">
            <w:pPr>
              <w:jc w:val="center"/>
            </w:pPr>
            <w:r>
              <w:rPr>
                <w:rFonts w:ascii="宋体" w:hAnsi="宋体" w:eastAsia="宋体"/>
                <w:sz w:val="16"/>
              </w:rPr>
              <w:t>事业运行费（万元）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CC6C">
            <w:pPr>
              <w:jc w:val="center"/>
            </w:pPr>
            <w:r>
              <w:rPr>
                <w:rFonts w:ascii="宋体" w:hAnsi="宋体" w:eastAsia="宋体"/>
                <w:sz w:val="16"/>
              </w:rPr>
              <w:t>&lt;=3.39万元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8F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F0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E4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D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3E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BFE">
            <w:pPr>
              <w:jc w:val="center"/>
            </w:pPr>
            <w:r>
              <w:rPr>
                <w:rFonts w:ascii="宋体" w:hAnsi="宋体" w:eastAsia="宋体"/>
                <w:sz w:val="16"/>
              </w:rPr>
              <w:t>=3.39万元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8EE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6D03">
            <w:pPr>
              <w:jc w:val="center"/>
            </w:pPr>
          </w:p>
        </w:tc>
      </w:tr>
      <w:tr w14:paraId="5E4B4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76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4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00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7F10">
            <w:pPr>
              <w:jc w:val="center"/>
            </w:pPr>
            <w:r>
              <w:rPr>
                <w:rFonts w:ascii="宋体" w:hAnsi="宋体" w:eastAsia="宋体"/>
                <w:sz w:val="16"/>
              </w:rPr>
              <w:t>国有资本经营预算支出（万元）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5C26">
            <w:pPr>
              <w:jc w:val="center"/>
            </w:pPr>
            <w:r>
              <w:rPr>
                <w:rFonts w:ascii="宋体" w:hAnsi="宋体" w:eastAsia="宋体"/>
                <w:sz w:val="16"/>
              </w:rPr>
              <w:t>&lt;=52.09万元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56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9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B1C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C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4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87F1">
            <w:pPr>
              <w:jc w:val="center"/>
            </w:pPr>
            <w:r>
              <w:rPr>
                <w:rFonts w:ascii="宋体" w:hAnsi="宋体" w:eastAsia="宋体"/>
                <w:sz w:val="16"/>
              </w:rPr>
              <w:t>=52.09万元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4CFD">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2650">
            <w:pPr>
              <w:jc w:val="center"/>
            </w:pPr>
          </w:p>
        </w:tc>
      </w:tr>
      <w:tr w14:paraId="03DCB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0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37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2C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3344">
            <w:pPr>
              <w:jc w:val="center"/>
            </w:pPr>
            <w:r>
              <w:rPr>
                <w:rFonts w:ascii="宋体" w:hAnsi="宋体" w:eastAsia="宋体"/>
                <w:sz w:val="16"/>
              </w:rPr>
              <w:t>其他支出费用（万元）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B239">
            <w:pPr>
              <w:jc w:val="center"/>
            </w:pPr>
            <w:r>
              <w:rPr>
                <w:rFonts w:ascii="宋体" w:hAnsi="宋体" w:eastAsia="宋体"/>
                <w:sz w:val="16"/>
              </w:rPr>
              <w:t>&lt;=15.65万元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21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7A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D4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4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D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54ED">
            <w:pPr>
              <w:jc w:val="center"/>
            </w:pPr>
            <w:r>
              <w:rPr>
                <w:rFonts w:ascii="宋体" w:hAnsi="宋体" w:eastAsia="宋体"/>
                <w:sz w:val="16"/>
              </w:rPr>
              <w:t>=15.65万元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CE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FA3C">
            <w:pPr>
              <w:jc w:val="center"/>
            </w:pPr>
          </w:p>
        </w:tc>
      </w:tr>
      <w:tr w14:paraId="183F4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E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48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13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366F">
            <w:pPr>
              <w:jc w:val="center"/>
            </w:pPr>
            <w:r>
              <w:rPr>
                <w:rFonts w:ascii="宋体" w:hAnsi="宋体" w:eastAsia="宋体"/>
                <w:sz w:val="16"/>
              </w:rPr>
              <w:t>保障单位正常运转提高服务能力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E3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2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5D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AE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A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F1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FB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8789">
            <w:pPr>
              <w:jc w:val="center"/>
            </w:pPr>
          </w:p>
        </w:tc>
      </w:tr>
      <w:tr w14:paraId="0F568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E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72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5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9965">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38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6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1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A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0D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9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D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5073C">
            <w:pPr>
              <w:jc w:val="center"/>
            </w:pPr>
            <w:r>
              <w:rPr>
                <w:rFonts w:ascii="宋体" w:hAnsi="宋体" w:eastAsia="宋体"/>
                <w:sz w:val="16"/>
              </w:rPr>
              <w:t>偏差原因：因项目资金执行完毕，单位工作人员满意度达到100%，出现正偏差。</w:t>
            </w:r>
          </w:p>
        </w:tc>
      </w:tr>
      <w:tr w14:paraId="7E527B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8CF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096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F29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7A6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1810CA"/>
        </w:tc>
      </w:tr>
    </w:tbl>
    <w:p w14:paraId="294D70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3AC64E">
        <w:tblPrEx>
          <w:tblCellMar>
            <w:top w:w="0" w:type="dxa"/>
            <w:left w:w="108" w:type="dxa"/>
            <w:bottom w:w="0" w:type="dxa"/>
            <w:right w:w="108" w:type="dxa"/>
          </w:tblCellMar>
        </w:tblPrEx>
        <w:tc>
          <w:tcPr>
            <w:tcW w:w="8848" w:type="dxa"/>
            <w:gridSpan w:val="14"/>
            <w:vAlign w:val="center"/>
          </w:tcPr>
          <w:p w14:paraId="40C046BF">
            <w:pPr>
              <w:jc w:val="center"/>
            </w:pPr>
            <w:r>
              <w:rPr>
                <w:rFonts w:ascii="宋体" w:hAnsi="宋体" w:eastAsia="宋体"/>
                <w:sz w:val="24"/>
              </w:rPr>
              <w:t>项目支出绩效自评表</w:t>
            </w:r>
          </w:p>
        </w:tc>
      </w:tr>
      <w:tr w14:paraId="23D5C9E6">
        <w:tblPrEx>
          <w:tblCellMar>
            <w:top w:w="0" w:type="dxa"/>
            <w:left w:w="108" w:type="dxa"/>
            <w:bottom w:w="0" w:type="dxa"/>
            <w:right w:w="108" w:type="dxa"/>
          </w:tblCellMar>
        </w:tblPrEx>
        <w:tc>
          <w:tcPr>
            <w:tcW w:w="8848" w:type="dxa"/>
            <w:gridSpan w:val="14"/>
            <w:vAlign w:val="center"/>
          </w:tcPr>
          <w:p w14:paraId="17B233DC">
            <w:pPr>
              <w:jc w:val="center"/>
            </w:pPr>
            <w:r>
              <w:rPr>
                <w:rFonts w:ascii="宋体" w:hAnsi="宋体" w:eastAsia="宋体"/>
                <w:sz w:val="24"/>
              </w:rPr>
              <w:t>(2024年度)</w:t>
            </w:r>
          </w:p>
        </w:tc>
      </w:tr>
      <w:tr w14:paraId="481B5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2C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2E467A">
            <w:pPr>
              <w:jc w:val="center"/>
            </w:pPr>
            <w:r>
              <w:rPr>
                <w:rFonts w:ascii="宋体" w:hAnsi="宋体" w:eastAsia="宋体"/>
                <w:sz w:val="16"/>
              </w:rPr>
              <w:t>疏附县“千万工程”农村户厕改造建设项目（园艺场）</w:t>
            </w:r>
          </w:p>
        </w:tc>
      </w:tr>
      <w:tr w14:paraId="538690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BE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C471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FF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369C49">
            <w:pPr>
              <w:jc w:val="center"/>
            </w:pPr>
            <w:r>
              <w:rPr>
                <w:rFonts w:ascii="宋体" w:hAnsi="宋体" w:eastAsia="宋体"/>
                <w:sz w:val="16"/>
              </w:rPr>
              <w:t>疏附县第一园艺场</w:t>
            </w:r>
          </w:p>
        </w:tc>
      </w:tr>
      <w:tr w14:paraId="46619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DF1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D58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42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2B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84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894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D5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3581">
            <w:pPr>
              <w:jc w:val="center"/>
            </w:pPr>
            <w:r>
              <w:rPr>
                <w:rFonts w:ascii="宋体" w:hAnsi="宋体" w:eastAsia="宋体"/>
                <w:sz w:val="16"/>
              </w:rPr>
              <w:t>得分</w:t>
            </w:r>
          </w:p>
        </w:tc>
      </w:tr>
      <w:tr w14:paraId="1F9C0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2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DB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4EAF">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E3A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8FED">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3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22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D3A9">
            <w:pPr>
              <w:jc w:val="center"/>
            </w:pPr>
            <w:r>
              <w:rPr>
                <w:rFonts w:ascii="宋体" w:hAnsi="宋体" w:eastAsia="宋体"/>
                <w:sz w:val="16"/>
              </w:rPr>
              <w:t>10.00分</w:t>
            </w:r>
          </w:p>
        </w:tc>
      </w:tr>
      <w:tr w14:paraId="2EE95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FE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87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2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84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37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ACB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DE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9C75">
            <w:pPr>
              <w:jc w:val="center"/>
            </w:pPr>
            <w:r>
              <w:rPr>
                <w:rFonts w:ascii="宋体" w:hAnsi="宋体" w:eastAsia="宋体"/>
                <w:sz w:val="16"/>
              </w:rPr>
              <w:t>—</w:t>
            </w:r>
          </w:p>
        </w:tc>
      </w:tr>
      <w:tr w14:paraId="37853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08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28D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722E">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490AC">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0B00">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470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DB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7A08">
            <w:pPr>
              <w:jc w:val="center"/>
            </w:pPr>
            <w:r>
              <w:rPr>
                <w:rFonts w:ascii="宋体" w:hAnsi="宋体" w:eastAsia="宋体"/>
                <w:sz w:val="16"/>
              </w:rPr>
              <w:t>—</w:t>
            </w:r>
          </w:p>
        </w:tc>
      </w:tr>
      <w:tr w14:paraId="549247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33D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D5B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0224A">
            <w:pPr>
              <w:jc w:val="center"/>
            </w:pPr>
            <w:r>
              <w:rPr>
                <w:rFonts w:ascii="宋体" w:hAnsi="宋体" w:eastAsia="宋体"/>
                <w:sz w:val="16"/>
              </w:rPr>
              <w:t>实际完成情况</w:t>
            </w:r>
          </w:p>
        </w:tc>
      </w:tr>
      <w:tr w14:paraId="7964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CCC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6390A">
            <w:pPr>
              <w:jc w:val="both"/>
            </w:pPr>
            <w:r>
              <w:rPr>
                <w:rFonts w:ascii="宋体" w:hAnsi="宋体" w:eastAsia="宋体"/>
                <w:sz w:val="16"/>
              </w:rPr>
              <w:t>为认真贯彻落实习近平总书记关</w:t>
            </w:r>
            <w:r>
              <w:rPr>
                <w:rFonts w:hint="eastAsia" w:ascii="宋体" w:hAnsi="宋体"/>
                <w:sz w:val="16"/>
                <w:lang w:eastAsia="zh-CN"/>
              </w:rPr>
              <w:t>于</w:t>
            </w:r>
            <w:r>
              <w:rPr>
                <w:rFonts w:ascii="宋体" w:hAnsi="宋体" w:eastAsia="宋体"/>
                <w:sz w:val="16"/>
              </w:rPr>
              <w:t>“厕所革命”的重要指示精神，切实提高思想认识，从小厕所大民生的高度认识“厕所革命”重要意义，全面落实县委关于加快推进“厕所革命”的安排部署，进一步推进“千万工程”项目建设，提升农村人居环境，预防疾病传染，提高宜居水平，拟对2024年整改户厕30户，经验收合格后，按照每户不少于600元进行补助，共补助1.8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3CDDE">
            <w:pPr>
              <w:jc w:val="both"/>
            </w:pPr>
            <w:r>
              <w:rPr>
                <w:rFonts w:hint="eastAsia" w:ascii="宋体" w:hAnsi="宋体"/>
                <w:sz w:val="16"/>
                <w:lang w:eastAsia="zh-CN"/>
              </w:rPr>
              <w:t>截至2024</w:t>
            </w:r>
            <w:r>
              <w:rPr>
                <w:rFonts w:ascii="宋体" w:hAnsi="宋体" w:eastAsia="宋体"/>
                <w:sz w:val="16"/>
              </w:rPr>
              <w:t>年12月31日，本项目预算金额1.80万元，执行数为1.8万元，执行率100%，本项目预算资金主要用于给园艺场的30户农户以600元/户的标准发放户厕改造补助，项目支出及时率100%。通过实施该项目推进了“千万工程”项目建设，提升了农村人居环境，预防了疾病传染，提高了宜居水平，使用人员满意度达到了100%。</w:t>
            </w:r>
          </w:p>
        </w:tc>
      </w:tr>
      <w:tr w14:paraId="4759FB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86B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AA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80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67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DD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63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65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C7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A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20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1E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24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82CA">
            <w:pPr>
              <w:jc w:val="center"/>
            </w:pPr>
            <w:r>
              <w:rPr>
                <w:rFonts w:ascii="宋体" w:hAnsi="宋体" w:eastAsia="宋体"/>
                <w:sz w:val="16"/>
              </w:rPr>
              <w:t>偏差原因分析及改进措施</w:t>
            </w:r>
          </w:p>
        </w:tc>
      </w:tr>
      <w:tr w14:paraId="46854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BA5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0E19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92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F288">
            <w:pPr>
              <w:jc w:val="center"/>
            </w:pPr>
            <w:r>
              <w:rPr>
                <w:rFonts w:ascii="宋体" w:hAnsi="宋体" w:eastAsia="宋体"/>
                <w:sz w:val="16"/>
              </w:rPr>
              <w:t>项目涉及户数（户）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6450">
            <w:pPr>
              <w:jc w:val="center"/>
            </w:pPr>
            <w:r>
              <w:rPr>
                <w:rFonts w:ascii="宋体" w:hAnsi="宋体" w:eastAsia="宋体"/>
                <w:sz w:val="16"/>
              </w:rPr>
              <w:t>&gt;=30户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A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7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5C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6A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F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E3DC">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B5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FC89">
            <w:pPr>
              <w:jc w:val="center"/>
            </w:pPr>
          </w:p>
        </w:tc>
      </w:tr>
      <w:tr w14:paraId="510F9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FF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0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8A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9B7D">
            <w:pPr>
              <w:jc w:val="center"/>
            </w:pPr>
            <w:r>
              <w:rPr>
                <w:rFonts w:ascii="宋体" w:hAnsi="宋体" w:eastAsia="宋体"/>
                <w:sz w:val="16"/>
              </w:rPr>
              <w:t>项目支出及时率（%）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5E2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6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E4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1B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0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0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9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18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1845">
            <w:pPr>
              <w:jc w:val="center"/>
            </w:pPr>
          </w:p>
        </w:tc>
      </w:tr>
      <w:tr w14:paraId="47C91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24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D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B4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C45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A0B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E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C2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1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6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4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9E8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6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7486F">
            <w:pPr>
              <w:jc w:val="center"/>
            </w:pPr>
          </w:p>
        </w:tc>
      </w:tr>
      <w:tr w14:paraId="1204D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B3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3D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E38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618E">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9E15">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2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EA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6C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3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11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8B28">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18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BC5F">
            <w:pPr>
              <w:jc w:val="center"/>
            </w:pPr>
          </w:p>
        </w:tc>
      </w:tr>
      <w:tr w14:paraId="23DBD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83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3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B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B36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A62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1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F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E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7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6A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4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95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0121">
            <w:pPr>
              <w:jc w:val="center"/>
            </w:pPr>
          </w:p>
        </w:tc>
      </w:tr>
      <w:tr w14:paraId="71308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5C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EA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11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2D7B">
            <w:pPr>
              <w:jc w:val="center"/>
            </w:pPr>
            <w:r>
              <w:rPr>
                <w:rFonts w:ascii="宋体" w:hAnsi="宋体" w:eastAsia="宋体"/>
                <w:sz w:val="16"/>
              </w:rPr>
              <w:t>提升农村人居环境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F2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A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27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7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1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3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89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5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C346">
            <w:pPr>
              <w:jc w:val="center"/>
            </w:pPr>
          </w:p>
        </w:tc>
      </w:tr>
      <w:tr w14:paraId="34AC4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5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29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71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BEAC">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C4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1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A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3F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1B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A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9A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BD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E9FB">
            <w:pPr>
              <w:jc w:val="center"/>
            </w:pPr>
            <w:r>
              <w:rPr>
                <w:rFonts w:ascii="宋体" w:hAnsi="宋体" w:eastAsia="宋体"/>
                <w:sz w:val="16"/>
              </w:rPr>
              <w:t>项目初期，对使用人员满意度的理解存在偏差，导致预期值设置偏低。改进措施：深入分析，充分了解使用人员满意度的变化，更好地把握和预测。</w:t>
            </w:r>
          </w:p>
        </w:tc>
      </w:tr>
      <w:tr w14:paraId="6DFA8D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97B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4D5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94B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9E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391325"/>
        </w:tc>
      </w:tr>
    </w:tbl>
    <w:p w14:paraId="55B6DD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2E0D6C">
        <w:tblPrEx>
          <w:tblCellMar>
            <w:top w:w="0" w:type="dxa"/>
            <w:left w:w="108" w:type="dxa"/>
            <w:bottom w:w="0" w:type="dxa"/>
            <w:right w:w="108" w:type="dxa"/>
          </w:tblCellMar>
        </w:tblPrEx>
        <w:tc>
          <w:tcPr>
            <w:tcW w:w="8848" w:type="dxa"/>
            <w:gridSpan w:val="14"/>
            <w:vAlign w:val="center"/>
          </w:tcPr>
          <w:p w14:paraId="1F4E1ECB">
            <w:pPr>
              <w:jc w:val="center"/>
            </w:pPr>
            <w:r>
              <w:rPr>
                <w:rFonts w:ascii="宋体" w:hAnsi="宋体" w:eastAsia="宋体"/>
                <w:sz w:val="24"/>
              </w:rPr>
              <w:t>项目支出绩效自评表</w:t>
            </w:r>
          </w:p>
        </w:tc>
      </w:tr>
      <w:tr w14:paraId="02C7821E">
        <w:tblPrEx>
          <w:tblCellMar>
            <w:top w:w="0" w:type="dxa"/>
            <w:left w:w="108" w:type="dxa"/>
            <w:bottom w:w="0" w:type="dxa"/>
            <w:right w:w="108" w:type="dxa"/>
          </w:tblCellMar>
        </w:tblPrEx>
        <w:tc>
          <w:tcPr>
            <w:tcW w:w="8848" w:type="dxa"/>
            <w:gridSpan w:val="14"/>
            <w:vAlign w:val="center"/>
          </w:tcPr>
          <w:p w14:paraId="35226E70">
            <w:pPr>
              <w:jc w:val="center"/>
            </w:pPr>
            <w:r>
              <w:rPr>
                <w:rFonts w:ascii="宋体" w:hAnsi="宋体" w:eastAsia="宋体"/>
                <w:sz w:val="24"/>
              </w:rPr>
              <w:t>(2024年度)</w:t>
            </w:r>
          </w:p>
        </w:tc>
      </w:tr>
      <w:tr w14:paraId="71B750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5F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08473">
            <w:pPr>
              <w:jc w:val="center"/>
            </w:pPr>
            <w:r>
              <w:rPr>
                <w:rFonts w:ascii="宋体" w:hAnsi="宋体" w:eastAsia="宋体"/>
                <w:sz w:val="16"/>
              </w:rPr>
              <w:t>疏附县“千万工程”农村户厕改造项目（林场）</w:t>
            </w:r>
          </w:p>
        </w:tc>
      </w:tr>
      <w:tr w14:paraId="1836A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5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D0A7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2F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C3B6C">
            <w:pPr>
              <w:jc w:val="center"/>
            </w:pPr>
            <w:r>
              <w:rPr>
                <w:rFonts w:ascii="宋体" w:hAnsi="宋体" w:eastAsia="宋体"/>
                <w:sz w:val="16"/>
              </w:rPr>
              <w:t>疏附县第一园艺场</w:t>
            </w:r>
          </w:p>
        </w:tc>
      </w:tr>
      <w:tr w14:paraId="2EF6DA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774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D4D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24C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29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B4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18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9B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5DBF">
            <w:pPr>
              <w:jc w:val="center"/>
            </w:pPr>
            <w:r>
              <w:rPr>
                <w:rFonts w:ascii="宋体" w:hAnsi="宋体" w:eastAsia="宋体"/>
                <w:sz w:val="16"/>
              </w:rPr>
              <w:t>得分</w:t>
            </w:r>
          </w:p>
        </w:tc>
      </w:tr>
      <w:tr w14:paraId="45175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A5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14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A3BD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82B6">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C90FC">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B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4A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5072">
            <w:pPr>
              <w:jc w:val="center"/>
            </w:pPr>
            <w:r>
              <w:rPr>
                <w:rFonts w:ascii="宋体" w:hAnsi="宋体" w:eastAsia="宋体"/>
                <w:sz w:val="16"/>
              </w:rPr>
              <w:t>10.00分</w:t>
            </w:r>
          </w:p>
        </w:tc>
      </w:tr>
      <w:tr w14:paraId="6BC4D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8E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DC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C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2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CA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99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D9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0F9C">
            <w:pPr>
              <w:jc w:val="center"/>
            </w:pPr>
            <w:r>
              <w:rPr>
                <w:rFonts w:ascii="宋体" w:hAnsi="宋体" w:eastAsia="宋体"/>
                <w:sz w:val="16"/>
              </w:rPr>
              <w:t>—</w:t>
            </w:r>
          </w:p>
        </w:tc>
      </w:tr>
      <w:tr w14:paraId="4F6AC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D6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AC5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80891">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42E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195B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7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16D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52D6">
            <w:pPr>
              <w:jc w:val="center"/>
            </w:pPr>
            <w:r>
              <w:rPr>
                <w:rFonts w:ascii="宋体" w:hAnsi="宋体" w:eastAsia="宋体"/>
                <w:sz w:val="16"/>
              </w:rPr>
              <w:t>—</w:t>
            </w:r>
          </w:p>
        </w:tc>
      </w:tr>
      <w:tr w14:paraId="12697A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C76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9F4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B9B1C">
            <w:pPr>
              <w:jc w:val="center"/>
            </w:pPr>
            <w:r>
              <w:rPr>
                <w:rFonts w:ascii="宋体" w:hAnsi="宋体" w:eastAsia="宋体"/>
                <w:sz w:val="16"/>
              </w:rPr>
              <w:t>实际完成情况</w:t>
            </w:r>
          </w:p>
        </w:tc>
      </w:tr>
      <w:tr w14:paraId="291CB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B2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A6685">
            <w:pPr>
              <w:jc w:val="both"/>
            </w:pPr>
            <w:r>
              <w:rPr>
                <w:rFonts w:ascii="宋体" w:hAnsi="宋体" w:eastAsia="宋体"/>
                <w:sz w:val="16"/>
              </w:rPr>
              <w:t>为认真贯彻落实习近平总书记关</w:t>
            </w:r>
            <w:r>
              <w:rPr>
                <w:rFonts w:hint="eastAsia" w:ascii="宋体" w:hAnsi="宋体"/>
                <w:sz w:val="16"/>
                <w:lang w:eastAsia="zh-CN"/>
              </w:rPr>
              <w:t>于</w:t>
            </w:r>
            <w:r>
              <w:rPr>
                <w:rFonts w:ascii="宋体" w:hAnsi="宋体" w:eastAsia="宋体"/>
                <w:sz w:val="16"/>
              </w:rPr>
              <w:t>“厕所革命”的重要指示精神，切实提高思想认识，从小厕所大民生的高度认识“厕所革命”重要意义，全面落实县委关于加快推进“厕所革命”的安排部署，进一步推进“千万工程”项目建设，提升农村人居环境，预防疾病传染，提高宜居水平，拟对2024年整改户厕20户，经验收合格后，按照每户不少于600元进行补助，共补助1.2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DF748">
            <w:pPr>
              <w:jc w:val="both"/>
            </w:pPr>
            <w:r>
              <w:rPr>
                <w:rFonts w:hint="eastAsia" w:ascii="宋体" w:hAnsi="宋体"/>
                <w:sz w:val="16"/>
                <w:lang w:eastAsia="zh-CN"/>
              </w:rPr>
              <w:t>截至2024</w:t>
            </w:r>
            <w:r>
              <w:rPr>
                <w:rFonts w:ascii="宋体" w:hAnsi="宋体" w:eastAsia="宋体"/>
                <w:sz w:val="16"/>
              </w:rPr>
              <w:t>年12月31日，本项目预算金额1.20万元，执行数为1.2万元，执行率100%，本项目预算资金主要用于给林场的20户农户以600元/户的标准发放户厕改造补助，项目支出及时率100%。通过实施该项目推进了“千万工程”项目建设，提升了农村人居环境，预防了疾病传染，提高了宜居水平，使用人员满意度达到了100%。</w:t>
            </w:r>
          </w:p>
        </w:tc>
      </w:tr>
      <w:tr w14:paraId="5D414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B72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32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18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D6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CC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03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50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C9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30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AF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65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69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623C">
            <w:pPr>
              <w:jc w:val="center"/>
            </w:pPr>
            <w:r>
              <w:rPr>
                <w:rFonts w:ascii="宋体" w:hAnsi="宋体" w:eastAsia="宋体"/>
                <w:sz w:val="16"/>
              </w:rPr>
              <w:t>偏差原因分析及改进措施</w:t>
            </w:r>
          </w:p>
        </w:tc>
      </w:tr>
      <w:tr w14:paraId="5E9AA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F79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F74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36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6310">
            <w:pPr>
              <w:jc w:val="center"/>
            </w:pPr>
            <w:r>
              <w:rPr>
                <w:rFonts w:ascii="宋体" w:hAnsi="宋体" w:eastAsia="宋体"/>
                <w:sz w:val="16"/>
              </w:rPr>
              <w:t>项目涉及户数（户）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5812">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D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1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B0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39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476E">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92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74FEA">
            <w:pPr>
              <w:jc w:val="center"/>
            </w:pPr>
          </w:p>
        </w:tc>
      </w:tr>
      <w:tr w14:paraId="6D088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F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1E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2B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B383">
            <w:pPr>
              <w:jc w:val="center"/>
            </w:pPr>
            <w:r>
              <w:rPr>
                <w:rFonts w:ascii="宋体" w:hAnsi="宋体" w:eastAsia="宋体"/>
                <w:sz w:val="16"/>
              </w:rPr>
              <w:t>项目支出及时率（%）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E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3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E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E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D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0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B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8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58BB">
            <w:pPr>
              <w:jc w:val="center"/>
            </w:pPr>
          </w:p>
        </w:tc>
      </w:tr>
      <w:tr w14:paraId="10B05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E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2D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53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7E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0EB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2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6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2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5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8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FE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85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0DC1">
            <w:pPr>
              <w:jc w:val="center"/>
            </w:pPr>
          </w:p>
        </w:tc>
      </w:tr>
      <w:tr w14:paraId="770AB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C7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2D0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70C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ABBA">
            <w:pPr>
              <w:jc w:val="center"/>
            </w:pPr>
            <w:r>
              <w:rPr>
                <w:rFonts w:ascii="宋体" w:hAnsi="宋体" w:eastAsia="宋体"/>
                <w:sz w:val="16"/>
              </w:rPr>
              <w:t>每户补助标准（元）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945A">
            <w:pPr>
              <w:jc w:val="center"/>
            </w:pPr>
            <w:r>
              <w:rPr>
                <w:rFonts w:ascii="宋体" w:hAnsi="宋体" w:eastAsia="宋体"/>
                <w:sz w:val="16"/>
              </w:rPr>
              <w:t>&lt;=600元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A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9C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E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6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93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41AC">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05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BD4F9">
            <w:pPr>
              <w:jc w:val="center"/>
            </w:pPr>
          </w:p>
        </w:tc>
      </w:tr>
      <w:tr w14:paraId="3E903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B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5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DE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C55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1F0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7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A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4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E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D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2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8E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D5711">
            <w:pPr>
              <w:jc w:val="center"/>
            </w:pPr>
          </w:p>
        </w:tc>
      </w:tr>
      <w:tr w14:paraId="28C3C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D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13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57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376A">
            <w:pPr>
              <w:jc w:val="center"/>
            </w:pPr>
            <w:r>
              <w:rPr>
                <w:rFonts w:ascii="宋体" w:hAnsi="宋体" w:eastAsia="宋体"/>
                <w:sz w:val="16"/>
              </w:rPr>
              <w:t>提升农村人居环境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2A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6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B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F1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30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4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333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27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9658">
            <w:pPr>
              <w:jc w:val="center"/>
            </w:pPr>
          </w:p>
        </w:tc>
      </w:tr>
      <w:tr w14:paraId="5C562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8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1A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98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FA00">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0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C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6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A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05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46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2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E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818DC">
            <w:pPr>
              <w:jc w:val="center"/>
            </w:pPr>
            <w:r>
              <w:rPr>
                <w:rFonts w:ascii="宋体" w:hAnsi="宋体" w:eastAsia="宋体"/>
                <w:sz w:val="16"/>
              </w:rPr>
              <w:t>项目初期，对服务对象满意度的理解存在偏差，导致预期值设置偏低。改进措施：深入分析，充分了解服务对象满意度的变化，更好地把握和预测。</w:t>
            </w:r>
          </w:p>
        </w:tc>
      </w:tr>
      <w:tr w14:paraId="21237F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AC4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60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3E2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EF8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7A0027"/>
        </w:tc>
      </w:tr>
    </w:tbl>
    <w:p w14:paraId="66D10BEB">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630"/>
        <w:gridCol w:w="936"/>
        <w:gridCol w:w="597"/>
        <w:gridCol w:w="597"/>
        <w:gridCol w:w="608"/>
        <w:gridCol w:w="597"/>
        <w:gridCol w:w="597"/>
        <w:gridCol w:w="856"/>
        <w:gridCol w:w="632"/>
        <w:gridCol w:w="566"/>
        <w:gridCol w:w="631"/>
      </w:tblGrid>
      <w:tr w14:paraId="14FEF810">
        <w:tblPrEx>
          <w:tblCellMar>
            <w:top w:w="0" w:type="dxa"/>
            <w:left w:w="108" w:type="dxa"/>
            <w:bottom w:w="0" w:type="dxa"/>
            <w:right w:w="108" w:type="dxa"/>
          </w:tblCellMar>
        </w:tblPrEx>
        <w:tc>
          <w:tcPr>
            <w:tcW w:w="8848" w:type="dxa"/>
            <w:gridSpan w:val="14"/>
            <w:vAlign w:val="center"/>
          </w:tcPr>
          <w:p w14:paraId="4CAE1FC2">
            <w:pPr>
              <w:jc w:val="center"/>
            </w:pPr>
            <w:r>
              <w:rPr>
                <w:rFonts w:ascii="宋体" w:hAnsi="宋体" w:eastAsia="宋体"/>
                <w:sz w:val="24"/>
              </w:rPr>
              <w:t>项目支出绩效自评表</w:t>
            </w:r>
          </w:p>
        </w:tc>
      </w:tr>
      <w:tr w14:paraId="16F77CF5">
        <w:tblPrEx>
          <w:tblCellMar>
            <w:top w:w="0" w:type="dxa"/>
            <w:left w:w="108" w:type="dxa"/>
            <w:bottom w:w="0" w:type="dxa"/>
            <w:right w:w="108" w:type="dxa"/>
          </w:tblCellMar>
        </w:tblPrEx>
        <w:tc>
          <w:tcPr>
            <w:tcW w:w="8848" w:type="dxa"/>
            <w:gridSpan w:val="14"/>
            <w:vAlign w:val="center"/>
          </w:tcPr>
          <w:p w14:paraId="7C6AA975">
            <w:pPr>
              <w:jc w:val="center"/>
            </w:pPr>
            <w:r>
              <w:rPr>
                <w:rFonts w:ascii="宋体" w:hAnsi="宋体" w:eastAsia="宋体"/>
                <w:sz w:val="24"/>
              </w:rPr>
              <w:t>(2024年度)</w:t>
            </w:r>
          </w:p>
        </w:tc>
      </w:tr>
      <w:tr w14:paraId="5A4CB1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37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C54E7C">
            <w:pPr>
              <w:jc w:val="center"/>
            </w:pPr>
            <w:r>
              <w:rPr>
                <w:rFonts w:ascii="宋体" w:hAnsi="宋体" w:eastAsia="宋体"/>
                <w:sz w:val="16"/>
              </w:rPr>
              <w:t>疏附县林场2019年农村环境卫生综合整治项目</w:t>
            </w:r>
          </w:p>
        </w:tc>
      </w:tr>
      <w:tr w14:paraId="555C31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2F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C2B1F">
            <w:pPr>
              <w:jc w:val="center"/>
            </w:pPr>
            <w:r>
              <w:rPr>
                <w:rFonts w:ascii="宋体" w:hAnsi="宋体" w:eastAsia="宋体"/>
                <w:sz w:val="16"/>
              </w:rPr>
              <w:t>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76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ECFB0">
            <w:pPr>
              <w:jc w:val="center"/>
            </w:pPr>
            <w:r>
              <w:rPr>
                <w:rFonts w:ascii="宋体" w:hAnsi="宋体" w:eastAsia="宋体"/>
                <w:sz w:val="16"/>
              </w:rPr>
              <w:t>疏附县第一园艺场</w:t>
            </w:r>
          </w:p>
        </w:tc>
      </w:tr>
      <w:tr w14:paraId="56FA7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B92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7C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985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E2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11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A4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09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715D">
            <w:pPr>
              <w:jc w:val="center"/>
            </w:pPr>
            <w:r>
              <w:rPr>
                <w:rFonts w:ascii="宋体" w:hAnsi="宋体" w:eastAsia="宋体"/>
                <w:sz w:val="16"/>
              </w:rPr>
              <w:t>得分</w:t>
            </w:r>
          </w:p>
        </w:tc>
      </w:tr>
      <w:tr w14:paraId="29425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7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20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B605">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ACB8">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4FE9">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4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2C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85B2">
            <w:pPr>
              <w:jc w:val="center"/>
            </w:pPr>
            <w:r>
              <w:rPr>
                <w:rFonts w:ascii="宋体" w:hAnsi="宋体" w:eastAsia="宋体"/>
                <w:sz w:val="16"/>
              </w:rPr>
              <w:t>10.00分</w:t>
            </w:r>
          </w:p>
        </w:tc>
      </w:tr>
      <w:tr w14:paraId="7DF83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E9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440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4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0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24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39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D9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970E">
            <w:pPr>
              <w:jc w:val="center"/>
            </w:pPr>
            <w:r>
              <w:rPr>
                <w:rFonts w:ascii="宋体" w:hAnsi="宋体" w:eastAsia="宋体"/>
                <w:sz w:val="16"/>
              </w:rPr>
              <w:t>—</w:t>
            </w:r>
          </w:p>
        </w:tc>
      </w:tr>
      <w:tr w14:paraId="04005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780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1E4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1B64">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2B51">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B9AD">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42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47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BEFF">
            <w:pPr>
              <w:jc w:val="center"/>
            </w:pPr>
            <w:r>
              <w:rPr>
                <w:rFonts w:ascii="宋体" w:hAnsi="宋体" w:eastAsia="宋体"/>
                <w:sz w:val="16"/>
              </w:rPr>
              <w:t>—</w:t>
            </w:r>
          </w:p>
        </w:tc>
      </w:tr>
      <w:tr w14:paraId="4D2834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3F1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2AC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B062B4">
            <w:pPr>
              <w:jc w:val="center"/>
            </w:pPr>
            <w:r>
              <w:rPr>
                <w:rFonts w:ascii="宋体" w:hAnsi="宋体" w:eastAsia="宋体"/>
                <w:sz w:val="16"/>
              </w:rPr>
              <w:t>实际完成情况</w:t>
            </w:r>
          </w:p>
        </w:tc>
      </w:tr>
      <w:tr w14:paraId="6E4B3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57C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ED9CE">
            <w:pPr>
              <w:jc w:val="both"/>
            </w:pPr>
            <w:r>
              <w:rPr>
                <w:rFonts w:ascii="宋体" w:hAnsi="宋体" w:eastAsia="宋体"/>
                <w:sz w:val="16"/>
              </w:rPr>
              <w:t>本项目实际支付资金8.57万元，预算执行率100%。项目资金主要用于解决林场农村环境综合卫生整治及完善基础设施建设该项目主要进一步解决农村环境脏、乱、差的问题，进一步完善公共基础设施，提高农民生活质量和农村经济社会全面协调发展。为群众提供并有效改善政府性公共服务，使服务对象满意度达到95%以上。阶段性目标：优化居住环境，建设美丽新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DA255F">
            <w:pPr>
              <w:jc w:val="both"/>
            </w:pPr>
            <w:r>
              <w:rPr>
                <w:rFonts w:ascii="宋体" w:hAnsi="宋体" w:eastAsia="宋体"/>
                <w:sz w:val="16"/>
              </w:rPr>
              <w:t>本项目实际支付资金8.57万元，预算执行率100%。项目资金主要用于解决林场农村环境综合卫生整治及完善基础设施建设该项目主要进一步解决农村环境脏、乱、差的问题，进一步完善公共基础设施，提高农民生活质量和农村经济社会全面协调发展，优化居住环境，建设美丽新乡村。为群众提供并有效改善政府性公共服务，使服务对象满意度达到95%以上。</w:t>
            </w:r>
          </w:p>
        </w:tc>
      </w:tr>
      <w:tr w14:paraId="10272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A1A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28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4E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AF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5D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74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82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C0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49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6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12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58E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E7DE">
            <w:pPr>
              <w:jc w:val="center"/>
            </w:pPr>
            <w:r>
              <w:rPr>
                <w:rFonts w:ascii="宋体" w:hAnsi="宋体" w:eastAsia="宋体"/>
                <w:sz w:val="16"/>
              </w:rPr>
              <w:t>偏差原因分析及改进措施</w:t>
            </w:r>
          </w:p>
        </w:tc>
      </w:tr>
      <w:tr w14:paraId="71983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36E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4D5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77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F778">
            <w:pPr>
              <w:jc w:val="center"/>
            </w:pPr>
            <w:r>
              <w:rPr>
                <w:rFonts w:ascii="宋体" w:hAnsi="宋体" w:eastAsia="宋体"/>
                <w:sz w:val="16"/>
              </w:rPr>
              <w:t>散水坡道修建面积（平方米）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D5C7">
            <w:pPr>
              <w:jc w:val="center"/>
            </w:pPr>
            <w:r>
              <w:rPr>
                <w:rFonts w:ascii="宋体" w:hAnsi="宋体" w:eastAsia="宋体"/>
                <w:sz w:val="16"/>
              </w:rPr>
              <w:t>&gt;=1553.96平方米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3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8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C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B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C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C14F">
            <w:pPr>
              <w:jc w:val="center"/>
            </w:pPr>
            <w:r>
              <w:rPr>
                <w:rFonts w:ascii="宋体" w:hAnsi="宋体" w:eastAsia="宋体"/>
                <w:sz w:val="16"/>
              </w:rPr>
              <w:t>=1553.96平方米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5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3751">
            <w:pPr>
              <w:jc w:val="center"/>
            </w:pPr>
          </w:p>
        </w:tc>
      </w:tr>
      <w:tr w14:paraId="5034B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6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84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D3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13A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F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B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9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5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F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5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F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87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7A48">
            <w:pPr>
              <w:jc w:val="center"/>
            </w:pPr>
          </w:p>
        </w:tc>
      </w:tr>
      <w:tr w14:paraId="27C19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0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F06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04D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4536">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012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9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3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E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F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B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B9C0">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E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8D6B">
            <w:pPr>
              <w:jc w:val="center"/>
            </w:pPr>
          </w:p>
        </w:tc>
      </w:tr>
      <w:tr w14:paraId="0377E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56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B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A1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D7B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D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4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7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D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3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B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FB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ABC1">
            <w:pPr>
              <w:jc w:val="center"/>
            </w:pPr>
          </w:p>
        </w:tc>
      </w:tr>
      <w:tr w14:paraId="5FA42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99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791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89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5411">
            <w:pPr>
              <w:jc w:val="center"/>
            </w:pPr>
            <w:r>
              <w:rPr>
                <w:rFonts w:ascii="宋体" w:hAnsi="宋体" w:eastAsia="宋体"/>
                <w:sz w:val="16"/>
              </w:rPr>
              <w:t>项目监理费用(万元）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F994">
            <w:pPr>
              <w:jc w:val="center"/>
            </w:pPr>
            <w:r>
              <w:rPr>
                <w:rFonts w:ascii="宋体" w:hAnsi="宋体" w:eastAsia="宋体"/>
                <w:sz w:val="16"/>
              </w:rPr>
              <w: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4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4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C8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E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4B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8AA">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CD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961A1">
            <w:pPr>
              <w:jc w:val="center"/>
            </w:pPr>
          </w:p>
        </w:tc>
      </w:tr>
      <w:tr w14:paraId="5FBE7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B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C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7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4971">
            <w:pPr>
              <w:jc w:val="center"/>
            </w:pPr>
            <w:r>
              <w:rPr>
                <w:rFonts w:ascii="宋体" w:hAnsi="宋体" w:eastAsia="宋体"/>
                <w:sz w:val="16"/>
              </w:rPr>
              <w:t>项目施工费用（万元）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EDAB">
            <w:pPr>
              <w:jc w:val="center"/>
            </w:pPr>
            <w:r>
              <w:rPr>
                <w:rFonts w:ascii="宋体" w:hAnsi="宋体" w:eastAsia="宋体"/>
                <w:sz w:val="16"/>
              </w:rPr>
              <w:t>=8.07万元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E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3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5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7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0A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72FE">
            <w:pPr>
              <w:jc w:val="center"/>
            </w:pPr>
            <w:r>
              <w:rPr>
                <w:rFonts w:ascii="宋体" w:hAnsi="宋体" w:eastAsia="宋体"/>
                <w:sz w:val="16"/>
              </w:rPr>
              <w:t>=8.07万元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17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61D5">
            <w:pPr>
              <w:jc w:val="center"/>
            </w:pPr>
          </w:p>
        </w:tc>
      </w:tr>
      <w:tr w14:paraId="6D458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9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20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F1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E340">
            <w:pPr>
              <w:jc w:val="center"/>
            </w:pPr>
            <w:r>
              <w:rPr>
                <w:rFonts w:ascii="宋体" w:hAnsi="宋体" w:eastAsia="宋体"/>
                <w:sz w:val="16"/>
              </w:rPr>
              <w:t>持续提升生态质量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FAE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7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7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AB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32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7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D5A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FF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9480">
            <w:pPr>
              <w:jc w:val="center"/>
            </w:pPr>
          </w:p>
        </w:tc>
      </w:tr>
      <w:tr w14:paraId="2ACEE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23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09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CC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55A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4E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5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9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F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95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F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46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EF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1026">
            <w:pPr>
              <w:jc w:val="center"/>
            </w:pPr>
          </w:p>
        </w:tc>
      </w:tr>
      <w:tr w14:paraId="6A5F1CE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ED0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B7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221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8E6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1AEF23"/>
        </w:tc>
      </w:tr>
    </w:tbl>
    <w:p w14:paraId="7CBC545A">
      <w:r>
        <w:br w:type="page"/>
      </w:r>
    </w:p>
    <w:p w14:paraId="61EC6954">
      <w:pPr>
        <w:spacing w:line="640" w:lineRule="exact"/>
        <w:ind w:firstLine="640"/>
        <w:jc w:val="both"/>
        <w:outlineLvl w:val="2"/>
      </w:pPr>
      <w:r>
        <w:rPr>
          <w:rFonts w:ascii="黑体" w:hAnsi="黑体" w:eastAsia="黑体"/>
          <w:sz w:val="32"/>
        </w:rPr>
        <w:t>十二、其他需说明的事项</w:t>
      </w:r>
    </w:p>
    <w:p w14:paraId="6A92A83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E3A007E">
      <w:pPr>
        <w:spacing w:line="580" w:lineRule="exact"/>
        <w:ind w:firstLine="640"/>
        <w:jc w:val="both"/>
      </w:pPr>
      <w:r>
        <w:rPr>
          <w:rFonts w:ascii="仿宋_GB2312" w:hAnsi="仿宋_GB2312" w:eastAsia="仿宋_GB2312"/>
          <w:b w:val="0"/>
          <w:sz w:val="32"/>
        </w:rPr>
        <w:t>本年本单位SM项目1个，全年预算数2.00万元，全年执行数0.00万元。</w:t>
      </w:r>
    </w:p>
    <w:p w14:paraId="6A5A1D24">
      <w:r>
        <w:br w:type="page"/>
      </w:r>
    </w:p>
    <w:p w14:paraId="1F070223">
      <w:pPr>
        <w:spacing w:line="240" w:lineRule="auto"/>
        <w:jc w:val="center"/>
        <w:outlineLvl w:val="1"/>
      </w:pPr>
      <w:r>
        <w:rPr>
          <w:rFonts w:ascii="黑体" w:hAnsi="黑体" w:eastAsia="黑体"/>
          <w:sz w:val="32"/>
        </w:rPr>
        <w:t>第三部分 专业名词解释</w:t>
      </w:r>
    </w:p>
    <w:p w14:paraId="5BB851D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A26D0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35D1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B009B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E6570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0C9031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175B8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C020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4D74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13D22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600A2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8D74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89F2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36E3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BBDDAC">
      <w:r>
        <w:br w:type="page"/>
      </w:r>
    </w:p>
    <w:p w14:paraId="18103560">
      <w:pPr>
        <w:spacing w:line="240" w:lineRule="auto"/>
        <w:jc w:val="center"/>
        <w:outlineLvl w:val="1"/>
      </w:pPr>
      <w:r>
        <w:rPr>
          <w:rFonts w:ascii="黑体" w:hAnsi="黑体" w:eastAsia="黑体"/>
          <w:sz w:val="32"/>
        </w:rPr>
        <w:t>第四部分 部门决算报表（见附表）</w:t>
      </w:r>
    </w:p>
    <w:p w14:paraId="18A05EEE">
      <w:pPr>
        <w:spacing w:line="240" w:lineRule="auto"/>
        <w:ind w:firstLine="640"/>
        <w:jc w:val="both"/>
      </w:pPr>
      <w:r>
        <w:rPr>
          <w:rFonts w:ascii="仿宋_GB2312" w:hAnsi="仿宋_GB2312" w:eastAsia="仿宋_GB2312"/>
          <w:b w:val="0"/>
          <w:sz w:val="32"/>
        </w:rPr>
        <w:t>一、《收入支出决算总表》</w:t>
      </w:r>
    </w:p>
    <w:p w14:paraId="15FB9A65">
      <w:pPr>
        <w:spacing w:line="240" w:lineRule="auto"/>
        <w:ind w:firstLine="640"/>
        <w:jc w:val="both"/>
      </w:pPr>
      <w:r>
        <w:rPr>
          <w:rFonts w:ascii="仿宋_GB2312" w:hAnsi="仿宋_GB2312" w:eastAsia="仿宋_GB2312"/>
          <w:b w:val="0"/>
          <w:sz w:val="32"/>
        </w:rPr>
        <w:t>二、《收入决算表》</w:t>
      </w:r>
    </w:p>
    <w:p w14:paraId="6C287D63">
      <w:pPr>
        <w:spacing w:line="240" w:lineRule="auto"/>
        <w:ind w:firstLine="640"/>
        <w:jc w:val="both"/>
      </w:pPr>
      <w:r>
        <w:rPr>
          <w:rFonts w:ascii="仿宋_GB2312" w:hAnsi="仿宋_GB2312" w:eastAsia="仿宋_GB2312"/>
          <w:b w:val="0"/>
          <w:sz w:val="32"/>
        </w:rPr>
        <w:t>三、《支出决算表》</w:t>
      </w:r>
    </w:p>
    <w:p w14:paraId="19773985">
      <w:pPr>
        <w:spacing w:line="240" w:lineRule="auto"/>
        <w:ind w:firstLine="640"/>
        <w:jc w:val="both"/>
      </w:pPr>
      <w:r>
        <w:rPr>
          <w:rFonts w:ascii="仿宋_GB2312" w:hAnsi="仿宋_GB2312" w:eastAsia="仿宋_GB2312"/>
          <w:b w:val="0"/>
          <w:sz w:val="32"/>
        </w:rPr>
        <w:t>四、《财政拨款收入支出决算总表》</w:t>
      </w:r>
    </w:p>
    <w:p w14:paraId="17C573A8">
      <w:pPr>
        <w:spacing w:line="240" w:lineRule="auto"/>
        <w:ind w:firstLine="640"/>
        <w:jc w:val="both"/>
      </w:pPr>
      <w:r>
        <w:rPr>
          <w:rFonts w:ascii="仿宋_GB2312" w:hAnsi="仿宋_GB2312" w:eastAsia="仿宋_GB2312"/>
          <w:b w:val="0"/>
          <w:sz w:val="32"/>
        </w:rPr>
        <w:t>五、《一般公共预算财政拨款支出决算表》</w:t>
      </w:r>
    </w:p>
    <w:p w14:paraId="17C05753">
      <w:pPr>
        <w:spacing w:line="240" w:lineRule="auto"/>
        <w:ind w:firstLine="640"/>
        <w:jc w:val="both"/>
      </w:pPr>
      <w:r>
        <w:rPr>
          <w:rFonts w:ascii="仿宋_GB2312" w:hAnsi="仿宋_GB2312" w:eastAsia="仿宋_GB2312"/>
          <w:b w:val="0"/>
          <w:sz w:val="32"/>
        </w:rPr>
        <w:t>六、《一般公共预算财政拨款基本支出决算表》</w:t>
      </w:r>
    </w:p>
    <w:p w14:paraId="6D60231D">
      <w:pPr>
        <w:spacing w:line="240" w:lineRule="auto"/>
        <w:ind w:firstLine="640"/>
        <w:jc w:val="both"/>
      </w:pPr>
      <w:r>
        <w:rPr>
          <w:rFonts w:ascii="仿宋_GB2312" w:hAnsi="仿宋_GB2312" w:eastAsia="仿宋_GB2312"/>
          <w:b w:val="0"/>
          <w:sz w:val="32"/>
        </w:rPr>
        <w:t>七、《政府性基金预算财政拨款收入支出决算表》</w:t>
      </w:r>
    </w:p>
    <w:p w14:paraId="5C221293">
      <w:pPr>
        <w:spacing w:line="240" w:lineRule="auto"/>
        <w:ind w:firstLine="640"/>
        <w:jc w:val="both"/>
      </w:pPr>
      <w:r>
        <w:rPr>
          <w:rFonts w:ascii="仿宋_GB2312" w:hAnsi="仿宋_GB2312" w:eastAsia="仿宋_GB2312"/>
          <w:b w:val="0"/>
          <w:sz w:val="32"/>
        </w:rPr>
        <w:t>八、《国有资本经营预算财政拨款收入支出决算表》</w:t>
      </w:r>
    </w:p>
    <w:p w14:paraId="705B421C">
      <w:pPr>
        <w:spacing w:line="240" w:lineRule="auto"/>
        <w:ind w:firstLine="640"/>
        <w:jc w:val="both"/>
      </w:pPr>
      <w:r>
        <w:rPr>
          <w:rFonts w:ascii="仿宋_GB2312" w:hAnsi="仿宋_GB2312" w:eastAsia="仿宋_GB2312"/>
          <w:b w:val="0"/>
          <w:sz w:val="32"/>
        </w:rPr>
        <w:t>九、《财政拨款“三公”经费支出决算表》</w:t>
      </w:r>
    </w:p>
    <w:p w14:paraId="37E8F641">
      <w:pPr>
        <w:spacing w:line="240" w:lineRule="auto"/>
        <w:ind w:firstLine="640"/>
        <w:jc w:val="both"/>
      </w:pPr>
    </w:p>
    <w:p w14:paraId="48E2E981">
      <w:pPr>
        <w:spacing w:line="240" w:lineRule="auto"/>
        <w:ind w:firstLine="640"/>
        <w:jc w:val="both"/>
      </w:pPr>
    </w:p>
    <w:p w14:paraId="2586B4B1">
      <w:pPr>
        <w:spacing w:line="240" w:lineRule="auto"/>
        <w:ind w:firstLine="640"/>
        <w:jc w:val="both"/>
      </w:pPr>
    </w:p>
    <w:p w14:paraId="4946A265">
      <w:pPr>
        <w:spacing w:line="240" w:lineRule="auto"/>
        <w:ind w:firstLine="640"/>
        <w:jc w:val="both"/>
      </w:pPr>
    </w:p>
    <w:p w14:paraId="013E4A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815C7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04199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5036</Words>
  <Characters>5799</Characters>
  <Lines>0</Lines>
  <Paragraphs>0</Paragraphs>
  <TotalTime>6</TotalTime>
  <ScaleCrop>false</ScaleCrop>
  <LinksUpToDate>false</LinksUpToDate>
  <CharactersWithSpaces>5807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2025-09-16T10:31:16Z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