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新疆喀什地区疏附县托克扎克镇小学</w:t>
      </w:r>
    </w:p>
    <w:p>
      <w:pPr>
        <w:jc w:val="center"/>
        <w:rPr>
          <w:rFonts w:ascii="方正小标宋_GBK" w:hAnsi="宋体" w:eastAsia="方正小标宋_GBK"/>
          <w:sz w:val="44"/>
          <w:szCs w:val="44"/>
        </w:rPr>
      </w:pPr>
      <w:r>
        <w:rPr>
          <w:rFonts w:hint="eastAsia" w:ascii="方正小标宋_GBK" w:hAnsi="宋体" w:eastAsia="方正小标宋_GBK"/>
          <w:sz w:val="44"/>
          <w:szCs w:val="44"/>
        </w:rPr>
        <w:t>2022年度部门决算公开说明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（一）为促进基础教育的发展，实施小学教育。</w:t>
      </w:r>
      <w:r>
        <w:rPr>
          <w:rFonts w:ascii="仿宋_GB2312" w:eastAsia="仿宋_GB2312"/>
          <w:sz w:val="32"/>
          <w:szCs w:val="32"/>
        </w:rPr>
        <w:br w:type="textWrapping"/>
      </w:r>
      <w:r>
        <w:rPr>
          <w:rFonts w:ascii="仿宋_GB2312" w:eastAsia="仿宋_GB2312"/>
          <w:sz w:val="32"/>
          <w:szCs w:val="32"/>
        </w:rPr>
        <w:t>　　（二）贯彻执行党的教育方针、政策、法规和规章制度，制定并组织实施学校中长期规划。</w:t>
      </w:r>
      <w:r>
        <w:rPr>
          <w:rFonts w:ascii="仿宋_GB2312" w:eastAsia="仿宋_GB2312"/>
          <w:sz w:val="32"/>
          <w:szCs w:val="32"/>
        </w:rPr>
        <w:br w:type="textWrapping"/>
      </w:r>
      <w:r>
        <w:rPr>
          <w:rFonts w:ascii="仿宋_GB2312" w:eastAsia="仿宋_GB2312"/>
          <w:sz w:val="32"/>
          <w:szCs w:val="32"/>
        </w:rPr>
        <w:t>　　（三）有计划、有组织地培养、提高教师的业务和教学能力。</w:t>
      </w:r>
      <w:r>
        <w:rPr>
          <w:rFonts w:ascii="仿宋_GB2312" w:eastAsia="仿宋_GB2312"/>
          <w:sz w:val="32"/>
          <w:szCs w:val="32"/>
        </w:rPr>
        <w:br w:type="textWrapping"/>
      </w:r>
      <w:r>
        <w:rPr>
          <w:rFonts w:ascii="仿宋_GB2312" w:eastAsia="仿宋_GB2312"/>
          <w:sz w:val="32"/>
          <w:szCs w:val="32"/>
        </w:rPr>
        <w:t>　　（四）深化教学改革，创新教学模式，提高教育质量。</w:t>
      </w:r>
      <w:r>
        <w:rPr>
          <w:rFonts w:ascii="仿宋_GB2312" w:eastAsia="仿宋_GB2312"/>
          <w:sz w:val="32"/>
          <w:szCs w:val="32"/>
        </w:rPr>
        <w:br w:type="textWrapping"/>
      </w:r>
      <w:r>
        <w:rPr>
          <w:rFonts w:ascii="仿宋_GB2312" w:eastAsia="仿宋_GB2312"/>
          <w:sz w:val="32"/>
          <w:szCs w:val="32"/>
        </w:rPr>
        <w:t>　　（五）做好学生思想教育工作，认真实施小学生守则、行为规范及有关条例，实施素质教育，锻炼学生的实践能力，为社会主义现代建设培养德、智、体、能全面发展的人才。</w:t>
      </w:r>
      <w:r>
        <w:rPr>
          <w:rFonts w:ascii="仿宋_GB2312" w:eastAsia="仿宋_GB2312"/>
          <w:sz w:val="32"/>
          <w:szCs w:val="32"/>
        </w:rPr>
        <w:br w:type="textWrapping"/>
      </w:r>
      <w:r>
        <w:rPr>
          <w:rFonts w:ascii="仿宋_GB2312" w:eastAsia="仿宋_GB2312"/>
          <w:sz w:val="32"/>
          <w:szCs w:val="32"/>
        </w:rPr>
        <w:t>　　（六）做好学校的信息，统计工作，为上级提供决策依据。</w:t>
      </w:r>
      <w:r>
        <w:rPr>
          <w:rFonts w:ascii="仿宋_GB2312" w:eastAsia="仿宋_GB2312"/>
          <w:sz w:val="32"/>
          <w:szCs w:val="32"/>
        </w:rPr>
        <w:br w:type="textWrapping"/>
      </w:r>
      <w:r>
        <w:rPr>
          <w:rFonts w:ascii="仿宋_GB2312" w:eastAsia="仿宋_GB2312"/>
          <w:sz w:val="32"/>
          <w:szCs w:val="32"/>
        </w:rPr>
        <w:t>　　（七）合理使用教育经费，严格执行增收节支有关规定。有计划地搞好校舍建设，教学设备设施建设。</w:t>
      </w:r>
      <w:r>
        <w:rPr>
          <w:rFonts w:ascii="仿宋_GB2312" w:eastAsia="仿宋_GB2312"/>
          <w:sz w:val="32"/>
          <w:szCs w:val="32"/>
        </w:rPr>
        <w:br w:type="textWrapping"/>
      </w:r>
      <w:r>
        <w:rPr>
          <w:rFonts w:ascii="仿宋_GB2312" w:eastAsia="仿宋_GB2312"/>
          <w:sz w:val="32"/>
          <w:szCs w:val="32"/>
        </w:rPr>
        <w:t>　　（八）制定并组织实施共青团员的管理、发展计划。</w:t>
      </w:r>
      <w:r>
        <w:rPr>
          <w:rFonts w:ascii="仿宋_GB2312" w:eastAsia="仿宋_GB2312"/>
          <w:sz w:val="32"/>
          <w:szCs w:val="32"/>
        </w:rPr>
        <w:br w:type="textWrapping"/>
      </w:r>
      <w:r>
        <w:rPr>
          <w:rFonts w:ascii="仿宋_GB2312" w:eastAsia="仿宋_GB2312"/>
          <w:sz w:val="32"/>
          <w:szCs w:val="32"/>
        </w:rPr>
        <w:t>　　（九）承办</w:t>
      </w:r>
      <w:r>
        <w:rPr>
          <w:rFonts w:hint="eastAsia" w:ascii="仿宋_GB2312" w:eastAsia="仿宋_GB2312"/>
          <w:sz w:val="32"/>
          <w:szCs w:val="32"/>
          <w:lang w:eastAsia="zh-CN"/>
        </w:rPr>
        <w:t>县委、县政府</w:t>
      </w:r>
      <w:r>
        <w:rPr>
          <w:rFonts w:ascii="仿宋_GB2312" w:eastAsia="仿宋_GB2312"/>
          <w:sz w:val="32"/>
          <w:szCs w:val="32"/>
        </w:rPr>
        <w:t>及行政主管部门交办的其他工作</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新疆喀什地区疏附县托克扎克镇小学</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184</w:t>
      </w:r>
      <w:r>
        <w:rPr>
          <w:rFonts w:hint="eastAsia" w:ascii="仿宋_GB2312" w:eastAsia="仿宋_GB2312"/>
          <w:sz w:val="32"/>
          <w:szCs w:val="32"/>
        </w:rPr>
        <w:t>人，其中：在职人员</w:t>
      </w:r>
      <w:r>
        <w:rPr>
          <w:rFonts w:ascii="仿宋_GB2312" w:eastAsia="仿宋_GB2312"/>
          <w:sz w:val="32"/>
          <w:szCs w:val="32"/>
        </w:rPr>
        <w:t>131</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53</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从部门决算单位构成看，新疆喀什地区疏附县托克扎克镇小学部门决算包括：新疆喀什地区疏附县托克扎克镇小学决算。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7</w:t>
      </w:r>
      <w:r>
        <w:rPr>
          <w:rFonts w:hint="eastAsia" w:ascii="仿宋_GB2312" w:hAnsi="黑体" w:eastAsia="仿宋_GB2312" w:cs="宋体"/>
          <w:bCs/>
          <w:kern w:val="0"/>
          <w:sz w:val="32"/>
          <w:szCs w:val="32"/>
        </w:rPr>
        <w:t>个处室，分别是：书记办公室、校长办公室、行政办公室、党建办公室、教务办公室、德育办公室、财务室</w:t>
      </w:r>
      <w:r>
        <w:rPr>
          <w:rFonts w:hint="eastAsia" w:ascii="仿宋_GB2312" w:hAnsi="宋体" w:eastAsia="仿宋_GB2312" w:cs="宋体"/>
          <w:kern w:val="0"/>
          <w:sz w:val="32"/>
          <w:szCs w:val="32"/>
        </w:rPr>
        <w:t>。</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年度收入总计2,668.70万元，其中：本年收入合计</w:t>
      </w:r>
      <w:r>
        <w:rPr>
          <w:rFonts w:ascii="仿宋_GB2312" w:eastAsia="仿宋_GB2312"/>
          <w:sz w:val="32"/>
          <w:szCs w:val="32"/>
        </w:rPr>
        <w:t>2,443.88</w:t>
      </w:r>
      <w:r>
        <w:rPr>
          <w:rFonts w:hint="eastAsia" w:ascii="仿宋_GB2312" w:eastAsia="仿宋_GB2312"/>
          <w:sz w:val="32"/>
          <w:szCs w:val="32"/>
        </w:rPr>
        <w:t>万元，使用非财政拨款结余0.00万元，年初结转和结余224.82万元。收入总计与上年相比，减少269.58万元，</w:t>
      </w:r>
      <w:r>
        <w:rPr>
          <w:rFonts w:ascii="仿宋_GB2312" w:eastAsia="仿宋_GB2312"/>
          <w:sz w:val="32"/>
          <w:szCs w:val="32"/>
        </w:rPr>
        <w:t>下降9.17</w:t>
      </w:r>
      <w:r>
        <w:rPr>
          <w:rFonts w:hint="eastAsia" w:ascii="仿宋_GB2312" w:eastAsia="仿宋_GB2312"/>
          <w:sz w:val="32"/>
          <w:szCs w:val="32"/>
        </w:rPr>
        <w:t>%，主要原因是：一是本年度教职工人员减少，人员工资及社保减少，人员经费减少；二是本年学生人数减少，营养餐补助、生活补助、公用经费减少。</w:t>
      </w:r>
    </w:p>
    <w:p>
      <w:pPr>
        <w:ind w:firstLine="640" w:firstLineChars="200"/>
        <w:rPr>
          <w:rFonts w:ascii="仿宋_GB2312" w:eastAsia="仿宋_GB2312"/>
          <w:sz w:val="32"/>
          <w:szCs w:val="32"/>
        </w:rPr>
      </w:pPr>
      <w:r>
        <w:rPr>
          <w:rFonts w:hint="eastAsia" w:ascii="仿宋_GB2312" w:eastAsia="仿宋_GB2312"/>
          <w:sz w:val="32"/>
          <w:szCs w:val="32"/>
        </w:rPr>
        <w:t>本年支出总计2,668.70万元，其中：本年支出合计</w:t>
      </w:r>
      <w:r>
        <w:rPr>
          <w:rFonts w:ascii="仿宋_GB2312" w:eastAsia="仿宋_GB2312"/>
          <w:sz w:val="32"/>
          <w:szCs w:val="32"/>
        </w:rPr>
        <w:t>2,668.70</w:t>
      </w:r>
      <w:r>
        <w:rPr>
          <w:rFonts w:hint="eastAsia" w:ascii="仿宋_GB2312" w:eastAsia="仿宋_GB2312"/>
          <w:sz w:val="32"/>
          <w:szCs w:val="32"/>
        </w:rPr>
        <w:t>万元，结余分配0.00万元，年末结转和结余0.00万元。支出总计与上年相比，</w:t>
      </w:r>
      <w:r>
        <w:rPr>
          <w:rFonts w:ascii="仿宋_GB2312" w:eastAsia="仿宋_GB2312"/>
          <w:sz w:val="32"/>
          <w:szCs w:val="32"/>
        </w:rPr>
        <w:t>减少269.58</w:t>
      </w:r>
      <w:r>
        <w:rPr>
          <w:rFonts w:hint="eastAsia" w:ascii="仿宋_GB2312" w:eastAsia="仿宋_GB2312"/>
          <w:sz w:val="32"/>
          <w:szCs w:val="32"/>
        </w:rPr>
        <w:t>万元，</w:t>
      </w:r>
      <w:r>
        <w:rPr>
          <w:rFonts w:ascii="仿宋_GB2312" w:eastAsia="仿宋_GB2312"/>
          <w:sz w:val="32"/>
          <w:szCs w:val="32"/>
        </w:rPr>
        <w:t>下降9.17</w:t>
      </w:r>
      <w:r>
        <w:rPr>
          <w:rFonts w:hint="eastAsia" w:ascii="仿宋_GB2312" w:eastAsia="仿宋_GB2312"/>
          <w:sz w:val="32"/>
          <w:szCs w:val="32"/>
        </w:rPr>
        <w:t>%，主要原因是：一是本年度教职工人员减少，人员工资及社保减少，人员经费减少；二是本年学生人数减少，营养餐补助、生活补助、公用经费减少。</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2,443.88</w:t>
      </w:r>
      <w:r>
        <w:rPr>
          <w:rFonts w:hint="eastAsia" w:ascii="仿宋_GB2312" w:eastAsia="仿宋_GB2312"/>
          <w:sz w:val="32"/>
          <w:szCs w:val="32"/>
        </w:rPr>
        <w:t>万元，其中：财政拨款收入</w:t>
      </w:r>
      <w:r>
        <w:rPr>
          <w:rFonts w:ascii="仿宋_GB2312" w:eastAsia="仿宋_GB2312"/>
          <w:sz w:val="32"/>
          <w:szCs w:val="32"/>
        </w:rPr>
        <w:t>2,428.38</w:t>
      </w:r>
      <w:r>
        <w:rPr>
          <w:rFonts w:hint="eastAsia" w:ascii="仿宋_GB2312" w:eastAsia="仿宋_GB2312"/>
          <w:sz w:val="32"/>
          <w:szCs w:val="32"/>
        </w:rPr>
        <w:t>万元，占99.37%；上级补助收入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15.50</w:t>
      </w:r>
      <w:r>
        <w:rPr>
          <w:rFonts w:hint="eastAsia" w:ascii="仿宋_GB2312" w:eastAsia="仿宋_GB2312"/>
          <w:sz w:val="32"/>
          <w:szCs w:val="32"/>
        </w:rPr>
        <w:t>万元，占0.63%。</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年度本年支出2,668.70万元，其中：基本支出</w:t>
      </w:r>
      <w:r>
        <w:rPr>
          <w:rFonts w:ascii="仿宋_GB2312" w:eastAsia="仿宋_GB2312"/>
          <w:sz w:val="32"/>
          <w:szCs w:val="32"/>
        </w:rPr>
        <w:t>2,019.96</w:t>
      </w:r>
      <w:r>
        <w:rPr>
          <w:rFonts w:hint="eastAsia" w:ascii="仿宋_GB2312" w:eastAsia="仿宋_GB2312"/>
          <w:sz w:val="32"/>
          <w:szCs w:val="32"/>
        </w:rPr>
        <w:t>万元，占75.69%；项目支出</w:t>
      </w:r>
      <w:r>
        <w:rPr>
          <w:rFonts w:ascii="仿宋_GB2312" w:eastAsia="仿宋_GB2312"/>
          <w:sz w:val="32"/>
          <w:szCs w:val="32"/>
        </w:rPr>
        <w:t>648.73</w:t>
      </w:r>
      <w:r>
        <w:rPr>
          <w:rFonts w:hint="eastAsia" w:ascii="仿宋_GB2312" w:eastAsia="仿宋_GB2312"/>
          <w:sz w:val="32"/>
          <w:szCs w:val="32"/>
        </w:rPr>
        <w:t>万元，占24.31%；上缴上级支出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收入总计2,428.38万元，其中：年初财政拨款结转和结余0.00万元，财政拨款本年收入2,428.38万元。财政拨款收入总计与上年相比，增加343.68万元，增长16.49%，主要原因是：本年教职工工资增加，社保公积金等调整增加。</w:t>
      </w:r>
    </w:p>
    <w:p>
      <w:pPr>
        <w:ind w:firstLine="640" w:firstLineChars="200"/>
        <w:rPr>
          <w:rFonts w:ascii="仿宋_GB2312" w:eastAsia="仿宋_GB2312"/>
          <w:sz w:val="32"/>
          <w:szCs w:val="32"/>
        </w:rPr>
      </w:pPr>
      <w:r>
        <w:rPr>
          <w:rFonts w:hint="eastAsia" w:ascii="仿宋_GB2312" w:eastAsia="仿宋_GB2312"/>
          <w:sz w:val="32"/>
          <w:szCs w:val="32"/>
        </w:rPr>
        <w:t>财政拨款支出总计2,428.38万元，其中：年末财政拨款结转和结余0.00万元，财政拨款本年支出2,428.38万元。财政拨款支出总计与上年相比，增加343.68万元，增长16.49%，主要原因是：本年教职工工资增加，社保公积金等调整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w:t>
      </w:r>
      <w:r>
        <w:rPr>
          <w:rFonts w:ascii="仿宋_GB2312" w:eastAsia="仿宋_GB2312"/>
          <w:sz w:val="32"/>
          <w:szCs w:val="32"/>
        </w:rPr>
        <w:t>2,110.93</w:t>
      </w:r>
      <w:r>
        <w:rPr>
          <w:rFonts w:hint="eastAsia" w:ascii="仿宋_GB2312" w:eastAsia="仿宋_GB2312"/>
          <w:sz w:val="32"/>
          <w:szCs w:val="32"/>
        </w:rPr>
        <w:t>万元，决算数</w:t>
      </w:r>
      <w:r>
        <w:rPr>
          <w:rFonts w:ascii="仿宋_GB2312" w:eastAsia="仿宋_GB2312"/>
          <w:sz w:val="32"/>
          <w:szCs w:val="32"/>
        </w:rPr>
        <w:t>2,428.38</w:t>
      </w:r>
      <w:r>
        <w:rPr>
          <w:rFonts w:hint="eastAsia" w:ascii="仿宋_GB2312" w:eastAsia="仿宋_GB2312"/>
          <w:sz w:val="32"/>
          <w:szCs w:val="32"/>
        </w:rPr>
        <w:t>万元，预决算差异率</w:t>
      </w:r>
      <w:r>
        <w:rPr>
          <w:rFonts w:ascii="仿宋_GB2312" w:eastAsia="仿宋_GB2312"/>
          <w:sz w:val="32"/>
          <w:szCs w:val="32"/>
        </w:rPr>
        <w:t>15.04</w:t>
      </w:r>
      <w:r>
        <w:rPr>
          <w:rFonts w:hint="eastAsia" w:ascii="仿宋_GB2312" w:eastAsia="仿宋_GB2312"/>
          <w:sz w:val="32"/>
          <w:szCs w:val="32"/>
        </w:rPr>
        <w:t>%，主要原因是：年中人员工资调整增加，追加人员经费。财政拨款支出总计年初预算数</w:t>
      </w:r>
      <w:r>
        <w:rPr>
          <w:rFonts w:ascii="仿宋_GB2312" w:eastAsia="仿宋_GB2312"/>
          <w:sz w:val="32"/>
          <w:szCs w:val="32"/>
        </w:rPr>
        <w:t>2,110.93</w:t>
      </w:r>
      <w:r>
        <w:rPr>
          <w:rFonts w:hint="eastAsia" w:ascii="仿宋_GB2312" w:eastAsia="仿宋_GB2312"/>
          <w:sz w:val="32"/>
          <w:szCs w:val="32"/>
        </w:rPr>
        <w:t>万元，决算数</w:t>
      </w:r>
      <w:r>
        <w:rPr>
          <w:rFonts w:ascii="仿宋_GB2312" w:eastAsia="仿宋_GB2312"/>
          <w:sz w:val="32"/>
          <w:szCs w:val="32"/>
        </w:rPr>
        <w:t>2,428.38</w:t>
      </w:r>
      <w:r>
        <w:rPr>
          <w:rFonts w:hint="eastAsia" w:ascii="仿宋_GB2312" w:eastAsia="仿宋_GB2312"/>
          <w:sz w:val="32"/>
          <w:szCs w:val="32"/>
        </w:rPr>
        <w:t>万元，预决算差异率15.04%，主要原因是：年中人员工资调整增加，追加人员经费。</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年度一般公共预算财政拨款支出2,428.38万元，占本年支出合计的</w:t>
      </w:r>
      <w:r>
        <w:rPr>
          <w:rFonts w:ascii="仿宋_GB2312" w:eastAsia="仿宋_GB2312"/>
          <w:sz w:val="32"/>
          <w:szCs w:val="32"/>
        </w:rPr>
        <w:t>90.99</w:t>
      </w:r>
      <w:r>
        <w:rPr>
          <w:rFonts w:hint="eastAsia" w:ascii="仿宋_GB2312" w:eastAsia="仿宋_GB2312"/>
          <w:sz w:val="32"/>
          <w:szCs w:val="32"/>
        </w:rPr>
        <w:t>%，与上年相比，</w:t>
      </w:r>
      <w:r>
        <w:rPr>
          <w:rFonts w:ascii="仿宋_GB2312" w:eastAsia="仿宋_GB2312"/>
          <w:sz w:val="32"/>
          <w:szCs w:val="32"/>
        </w:rPr>
        <w:t>增加381.44</w:t>
      </w:r>
      <w:r>
        <w:rPr>
          <w:rFonts w:hint="eastAsia" w:ascii="仿宋_GB2312" w:eastAsia="仿宋_GB2312"/>
          <w:sz w:val="32"/>
          <w:szCs w:val="32"/>
        </w:rPr>
        <w:t>万元，</w:t>
      </w:r>
      <w:r>
        <w:rPr>
          <w:rFonts w:ascii="仿宋_GB2312" w:eastAsia="仿宋_GB2312"/>
          <w:sz w:val="32"/>
          <w:szCs w:val="32"/>
        </w:rPr>
        <w:t>增长18.63</w:t>
      </w:r>
      <w:r>
        <w:rPr>
          <w:rFonts w:hint="eastAsia" w:ascii="仿宋_GB2312" w:eastAsia="仿宋_GB2312"/>
          <w:sz w:val="32"/>
          <w:szCs w:val="32"/>
        </w:rPr>
        <w:t>%，主要原因是：本年教职工工资增加，社保公积金等调整增加。</w:t>
      </w:r>
    </w:p>
    <w:p>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pPr>
        <w:ind w:firstLine="640" w:firstLineChars="200"/>
        <w:rPr>
          <w:rFonts w:ascii="黑体" w:hAnsi="黑体" w:eastAsia="黑体"/>
          <w:sz w:val="32"/>
          <w:szCs w:val="32"/>
        </w:rPr>
      </w:pPr>
      <w:r>
        <w:rPr>
          <w:rFonts w:hint="eastAsia" w:ascii="仿宋_GB2312" w:eastAsia="仿宋_GB2312"/>
          <w:sz w:val="32"/>
          <w:szCs w:val="32"/>
        </w:rPr>
        <w:t>1.教育支出(类)2,428.38万元,占100.00%。</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sz w:val="32"/>
          <w:szCs w:val="32"/>
          <w:highlight w:val="yellow"/>
        </w:rPr>
      </w:pPr>
      <w:r>
        <w:rPr>
          <w:rFonts w:hint="eastAsia" w:ascii="仿宋_GB2312" w:eastAsia="仿宋_GB2312"/>
          <w:sz w:val="32"/>
          <w:szCs w:val="32"/>
        </w:rPr>
        <w:t>1.教育支出(类)普通教育(款)小学教育(项):支出决算数为2,019.96万元，比上年决算增加472.65万元，增长30.55%</w:t>
      </w:r>
      <w:r>
        <w:rPr>
          <w:rFonts w:ascii="仿宋_GB2312" w:eastAsia="仿宋_GB2312"/>
          <w:sz w:val="32"/>
          <w:szCs w:val="32"/>
        </w:rPr>
        <w:t>,</w:t>
      </w:r>
      <w:r>
        <w:rPr>
          <w:rFonts w:hint="eastAsia" w:ascii="仿宋_GB2312" w:eastAsia="仿宋_GB2312"/>
          <w:sz w:val="32"/>
          <w:szCs w:val="32"/>
        </w:rPr>
        <w:t>主要原因是:本年教职工工资增加，社保公积金等调整增加。</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仿宋_GB2312" w:eastAsia="仿宋_GB2312"/>
          <w:sz w:val="32"/>
          <w:szCs w:val="32"/>
        </w:rPr>
        <w:t>2.教育支出(类)普通教育(款)其他普通教育支出(项):支出决算数为408.42万元，比上年决算减少78.30万元，下降16.09%</w:t>
      </w:r>
      <w:r>
        <w:rPr>
          <w:rFonts w:ascii="仿宋_GB2312" w:eastAsia="仿宋_GB2312"/>
          <w:sz w:val="32"/>
          <w:szCs w:val="32"/>
        </w:rPr>
        <w:t>,</w:t>
      </w:r>
      <w:r>
        <w:rPr>
          <w:rFonts w:hint="eastAsia" w:ascii="仿宋_GB2312" w:eastAsia="仿宋_GB2312"/>
          <w:sz w:val="32"/>
          <w:szCs w:val="32"/>
        </w:rPr>
        <w:t>主要原因是:本年学生人数减少，营养餐补助、生活补助、公用经费减少。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3.社会保障和就业支出(类)行政事业单位养老支出(款)机关事业单位职业年金缴费支出(项):支出决算数为0.00万元，比上年决算减少12.91万元，下降100%</w:t>
      </w:r>
      <w:r>
        <w:rPr>
          <w:rFonts w:ascii="仿宋_GB2312" w:eastAsia="仿宋_GB2312"/>
          <w:sz w:val="32"/>
          <w:szCs w:val="32"/>
        </w:rPr>
        <w:t>,</w:t>
      </w:r>
      <w:r>
        <w:rPr>
          <w:rFonts w:hint="eastAsia" w:ascii="仿宋_GB2312" w:eastAsia="仿宋_GB2312"/>
          <w:sz w:val="32"/>
          <w:szCs w:val="32"/>
        </w:rPr>
        <w:t>主要原因是:本年度没有退休人员，职业年金缴费支出减少。</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年度一般公共预算财政拨款基本支出</w:t>
      </w:r>
      <w:r>
        <w:rPr>
          <w:rFonts w:ascii="仿宋_GB2312" w:eastAsia="仿宋_GB2312"/>
          <w:sz w:val="32"/>
          <w:szCs w:val="32"/>
        </w:rPr>
        <w:t>2,019.96</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2,019.96</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万元，包括：基本工资、津贴补贴、奖金、绩效工资、机关事业单位基本养老保险缴费、职工基本医疗保险缴费、其他社会保障缴费、住房公积金、退休费、抚恤金、生活补助、其他对个人和家庭的补助。</w:t>
      </w:r>
    </w:p>
    <w:p>
      <w:pPr>
        <w:ind w:firstLine="640" w:firstLineChars="200"/>
        <w:rPr>
          <w:rFonts w:ascii="仿宋_GB2312" w:hAnsi="宋体" w:eastAsia="仿宋_GB2312" w:cs="宋体"/>
          <w:kern w:val="0"/>
          <w:sz w:val="32"/>
          <w:szCs w:val="32"/>
        </w:rPr>
      </w:pPr>
      <w:r>
        <w:rPr>
          <w:rFonts w:hint="eastAsia" w:ascii="仿宋_GB2312" w:eastAsia="仿宋_GB2312"/>
          <w:sz w:val="32"/>
          <w:szCs w:val="32"/>
        </w:rPr>
        <w:t>公用经费0.00万元，包括：无公用经费。</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年度财政拨款“三公”经费支出决算</w:t>
      </w:r>
      <w:r>
        <w:rPr>
          <w:rFonts w:ascii="仿宋_GB2312" w:eastAsia="仿宋_GB2312"/>
          <w:sz w:val="32"/>
          <w:szCs w:val="32"/>
        </w:rPr>
        <w:t>0.00</w:t>
      </w:r>
      <w:r>
        <w:rPr>
          <w:rFonts w:hint="eastAsia" w:ascii="仿宋_GB2312" w:eastAsia="仿宋_GB2312"/>
          <w:sz w:val="32"/>
          <w:szCs w:val="32"/>
        </w:rPr>
        <w:t>万元，比上年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我单位无财政拨款“三公”经费支出</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我单位无公务用车购置及运行维护费</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我单位无公务接待费</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万元，预决算差异率0.00%，主要原因是：我单位无财政拨款“三公”经费支出。</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rPr>
          <w:rFonts w:ascii="Arial" w:hAnsi="Arial" w:cs="Arial"/>
          <w:color w:val="4D4D4D"/>
          <w:shd w:val="clear" w:color="auto" w:fill="FFFFFF"/>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outlineLvl w:val="2"/>
        <w:rPr>
          <w:rFonts w:ascii="黑体" w:hAnsi="黑体" w:eastAsia="黑体"/>
          <w:sz w:val="32"/>
          <w:szCs w:val="32"/>
        </w:rPr>
      </w:pPr>
      <w:r>
        <w:rPr>
          <w:rFonts w:hint="eastAsia" w:ascii="仿宋_GB2312" w:eastAsia="仿宋_GB2312"/>
          <w:sz w:val="32"/>
          <w:szCs w:val="32"/>
        </w:rPr>
        <w:t>2022年度新疆喀什地区疏附县托克扎克镇小学（事业单位）公用经费0.00万元，比上年增加0.00万元，增长0.00%，主要原因是：我单位无公用经费。</w:t>
      </w:r>
    </w:p>
    <w:p>
      <w:pPr>
        <w:ind w:firstLine="800" w:firstLineChars="250"/>
        <w:outlineLvl w:val="2"/>
        <w:rPr>
          <w:rFonts w:ascii="黑体" w:hAnsi="黑体" w:eastAsia="黑体"/>
          <w:sz w:val="32"/>
          <w:szCs w:val="32"/>
        </w:rPr>
      </w:pPr>
      <w:bookmarkStart w:id="24" w:name="_Toc227"/>
      <w:bookmarkStart w:id="25" w:name="_Toc26704"/>
      <w:r>
        <w:rPr>
          <w:rFonts w:hint="eastAsia" w:ascii="黑体" w:hAnsi="黑体" w:eastAsia="黑体"/>
          <w:sz w:val="32"/>
          <w:szCs w:val="32"/>
        </w:rPr>
        <w:t>（二）政府采购情况</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2022年度政府采购支出总额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6" w:name="_Toc4591"/>
      <w:bookmarkStart w:id="27" w:name="_Toc8391"/>
      <w:r>
        <w:rPr>
          <w:rFonts w:hint="eastAsia" w:ascii="黑体" w:hAnsi="黑体" w:eastAsia="黑体"/>
          <w:sz w:val="32"/>
          <w:szCs w:val="32"/>
        </w:rPr>
        <w:t>（三）国有资产占用情况说明</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截止2022年12月31日，固定资产原值3,507.96万元，房屋</w:t>
      </w:r>
      <w:r>
        <w:rPr>
          <w:rFonts w:ascii="仿宋_GB2312" w:eastAsia="仿宋_GB2312"/>
          <w:sz w:val="32"/>
          <w:szCs w:val="32"/>
        </w:rPr>
        <w:t>25,437.46</w:t>
      </w:r>
      <w:r>
        <w:rPr>
          <w:rFonts w:hint="eastAsia" w:ascii="仿宋_GB2312" w:eastAsia="仿宋_GB2312"/>
          <w:sz w:val="32"/>
          <w:szCs w:val="32"/>
        </w:rPr>
        <w:t>平方米，价值</w:t>
      </w:r>
      <w:r>
        <w:rPr>
          <w:rFonts w:ascii="仿宋_GB2312" w:eastAsia="仿宋_GB2312"/>
          <w:sz w:val="32"/>
          <w:szCs w:val="32"/>
        </w:rPr>
        <w:t>2,811.46</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辆，其他用车主要是：我单位无其他用车；单价100万元（含）以上设备（不含车辆）</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2022</w:t>
      </w:r>
      <w:r>
        <w:rPr>
          <w:rFonts w:hint="eastAsia" w:ascii="仿宋_GB2312" w:eastAsia="仿宋_GB2312"/>
          <w:sz w:val="32"/>
          <w:szCs w:val="32"/>
        </w:rPr>
        <w:t>年度开展预算绩效评价项目</w:t>
      </w:r>
      <w:r>
        <w:rPr>
          <w:rFonts w:ascii="仿宋_GB2312" w:eastAsia="仿宋_GB2312"/>
          <w:sz w:val="32"/>
          <w:szCs w:val="32"/>
        </w:rPr>
        <w:t>8</w:t>
      </w:r>
      <w:r>
        <w:rPr>
          <w:rFonts w:hint="eastAsia" w:ascii="仿宋_GB2312" w:eastAsia="仿宋_GB2312"/>
          <w:sz w:val="32"/>
          <w:szCs w:val="32"/>
        </w:rPr>
        <w:t>个，全年预算数584.45万元，全年执行数584.45万元。预算绩效管理取得的成效：</w:t>
      </w:r>
      <w:r>
        <w:rPr>
          <w:rFonts w:ascii="仿宋_GB2312" w:eastAsia="仿宋_GB2312"/>
          <w:sz w:val="32"/>
          <w:szCs w:val="32"/>
        </w:rPr>
        <w:t>一是绩效管理</w:t>
      </w:r>
      <w:r>
        <w:rPr>
          <w:rFonts w:hint="eastAsia" w:ascii="仿宋_GB2312" w:eastAsia="仿宋_GB2312"/>
          <w:sz w:val="32"/>
          <w:szCs w:val="32"/>
          <w:lang w:eastAsia="zh-CN"/>
        </w:rPr>
        <w:t>融入</w:t>
      </w:r>
      <w:r>
        <w:rPr>
          <w:rFonts w:ascii="仿宋_GB2312" w:eastAsia="仿宋_GB2312"/>
          <w:sz w:val="32"/>
          <w:szCs w:val="32"/>
        </w:rPr>
        <w:t>预算编制、执行、监督全过程中后，更有利于强化绩效目标的管理，加强结果的应用，对本单位对财务工作的进一步监督提供有效数据支撑；二是绩效结果的运用较大程度</w:t>
      </w:r>
      <w:r>
        <w:rPr>
          <w:rFonts w:hint="eastAsia" w:ascii="仿宋_GB2312" w:eastAsia="仿宋_GB2312"/>
          <w:sz w:val="32"/>
          <w:szCs w:val="32"/>
          <w:lang w:eastAsia="zh-CN"/>
        </w:rPr>
        <w:t>地</w:t>
      </w:r>
      <w:r>
        <w:rPr>
          <w:rFonts w:ascii="仿宋_GB2312" w:eastAsia="仿宋_GB2312"/>
          <w:sz w:val="32"/>
          <w:szCs w:val="32"/>
        </w:rPr>
        <w:t>推进完善政策制度、加强资金利用、增强各环节工作透明度等方面的工作，对本单位财务工作的管控提供</w:t>
      </w:r>
      <w:r>
        <w:rPr>
          <w:rFonts w:hint="eastAsia" w:ascii="仿宋_GB2312" w:eastAsia="仿宋_GB2312"/>
          <w:sz w:val="32"/>
          <w:szCs w:val="32"/>
          <w:lang w:eastAsia="zh-CN"/>
        </w:rPr>
        <w:t>有力</w:t>
      </w:r>
      <w:r>
        <w:rPr>
          <w:rFonts w:ascii="仿宋_GB2312" w:eastAsia="仿宋_GB2312"/>
          <w:sz w:val="32"/>
          <w:szCs w:val="32"/>
        </w:rPr>
        <w:t>抓手</w:t>
      </w:r>
      <w:r>
        <w:rPr>
          <w:rFonts w:hint="eastAsia" w:ascii="仿宋_GB2312" w:eastAsia="仿宋_GB2312"/>
          <w:sz w:val="32"/>
          <w:szCs w:val="32"/>
        </w:rPr>
        <w:t>。发现的问题及原因：</w:t>
      </w:r>
      <w:r>
        <w:rPr>
          <w:rFonts w:ascii="仿宋_GB2312" w:eastAsia="仿宋_GB2312"/>
          <w:sz w:val="32"/>
          <w:szCs w:val="32"/>
        </w:rPr>
        <w:t>绩效管理专业人员匮乏，规范管理有盲点。预算绩效管理工作的覆盖面广、专业性强，预算单位在开展日常管理，需要具备一定专业素养和实战经验的人</w:t>
      </w:r>
      <w:r>
        <w:rPr>
          <w:rFonts w:hint="eastAsia" w:ascii="仿宋_GB2312" w:eastAsia="仿宋_GB2312"/>
          <w:sz w:val="32"/>
          <w:szCs w:val="32"/>
        </w:rPr>
        <w:t>。下一步改进措施：</w:t>
      </w:r>
      <w:r>
        <w:rPr>
          <w:rFonts w:ascii="仿宋_GB2312" w:eastAsia="仿宋_GB2312"/>
          <w:sz w:val="32"/>
          <w:szCs w:val="32"/>
        </w:rPr>
        <w:t>加强学习。进一步明确如何参照考核体系，科学合理设定绩效目标，充分发挥预算绩效管理工作效用。同时财务上，会计核算要更加详细，为本单位各项工作的开展、总结、评估提供有效数据资料支撑,为各项业务工作更好</w:t>
      </w:r>
      <w:r>
        <w:rPr>
          <w:rFonts w:hint="eastAsia" w:ascii="仿宋_GB2312" w:eastAsia="仿宋_GB2312"/>
          <w:sz w:val="32"/>
          <w:szCs w:val="32"/>
          <w:lang w:eastAsia="zh-CN"/>
        </w:rPr>
        <w:t>地</w:t>
      </w:r>
      <w:r>
        <w:rPr>
          <w:rFonts w:ascii="仿宋_GB2312" w:eastAsia="仿宋_GB2312"/>
          <w:sz w:val="32"/>
          <w:szCs w:val="32"/>
        </w:rPr>
        <w:t>开展提供帮助</w:t>
      </w:r>
      <w:r>
        <w:rPr>
          <w:rFonts w:hint="eastAsia" w:ascii="仿宋_GB2312" w:eastAsia="仿宋_GB2312"/>
          <w:sz w:val="32"/>
          <w:szCs w:val="32"/>
        </w:rPr>
        <w:t>。具体项目自评情况附项目支出绩效自评表。</w:t>
      </w:r>
    </w:p>
    <w:p>
      <w:pPr>
        <w:widowControl/>
        <w:jc w:val="left"/>
        <w:rPr>
          <w:rFonts w:ascii="黑体" w:hAnsi="黑体" w:eastAsia="黑体"/>
          <w:sz w:val="32"/>
          <w:szCs w:val="32"/>
        </w:rPr>
      </w:pPr>
      <w:bookmarkStart w:id="30" w:name="_Toc3250"/>
      <w:bookmarkStart w:id="31" w:name="_Toc24143"/>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2022年南疆四地州乡村教师生活补助资金</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新疆喀什地区疏附县托克扎克镇小学</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10.89</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10.89</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10.89</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10.89</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2022年度乡村教师生活补助资金全年下达资金10.89万元。享受南疆四地州乡村教师生活补助的人，通过实施该项目提高我县农村教师工作的积极性，从而更加教师职业的荣誉感，从而推动我县的经济发展。</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至绩效自评日,已保障我县享受南疆四地州乡村教师生活补助，共计支出10.89万元，通过实施该项目提高我县农村教师工作的积极性，从而更加教师职业的荣誉感，从而推动我县的经济发展，受益教师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享受南疆四地州乡村教师生活补助的人数（人）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乡村教师享受生活补助的比例（%）</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生活补助资金发放准确率（%）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乡村教师生活补助发放及时率（%）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项目开始时间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2022/2/1</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2022/2/1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2022/12/1</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2022/12/1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农村中小学教师生活补助享受标准（元/人/月）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元/人均/月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元/人均/月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南疆四地州乡村教师生活补助资金总额（万元）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&lt;=10.89万元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10.89万元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提高我县农村教师工作积极性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显著提高</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显著提高</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农村中小学教师生活补助期限（月）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&gt;=10个月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10个月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享受教师满意率（%）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r>
              <w:rPr>
                <w:rFonts w:ascii="宋体" w:hAnsi="宋体" w:cs="宋体"/>
                <w:color w:val="000000"/>
                <w:kern w:val="0"/>
                <w:sz w:val="20"/>
                <w:szCs w:val="20"/>
              </w:rPr>
              <w:tab/>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2022年城乡义务教育项目（营养餐）项目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新疆喀什地区疏附县托克扎克镇小学</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191.60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191.60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191.60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191.60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191.60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191.60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2022年度营养餐补助资金全年下达资金191.6万元。</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目标1、通过营养改善计划项目改善农村义务教育阶段小学生体质状况，有效减轻家庭经济困难女</w:t>
            </w:r>
            <w:r>
              <w:rPr>
                <w:rFonts w:hint="eastAsia" w:ascii="宋体" w:hAnsi="宋体" w:cs="宋体"/>
                <w:color w:val="000000"/>
                <w:kern w:val="0"/>
                <w:sz w:val="20"/>
                <w:szCs w:val="20"/>
                <w:lang w:eastAsia="zh-CN"/>
              </w:rPr>
              <w:t>的</w:t>
            </w:r>
            <w:r>
              <w:rPr>
                <w:rFonts w:hint="eastAsia" w:ascii="宋体" w:hAnsi="宋体" w:cs="宋体"/>
                <w:color w:val="000000"/>
                <w:kern w:val="0"/>
                <w:sz w:val="20"/>
                <w:szCs w:val="20"/>
              </w:rPr>
              <w:t>经济压力，有效借助巩固脱贫工作。</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目标2、要严格按照文件规定的资助范围，按照公开、公平、公正的原则，切实保证农村义务教育阶段学生吃上可口的中餐。</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目标3、要严格按照义务教育营养改善计划资金管理暂行办法的规定，足额落实中央、自治区资金，及时将营养改善计划资金下达到所属学校。</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截至绩效评价日,已保障农村义务教育阶段中小学生营养餐发放，共计支出191.6万元，项目实施后有效减轻家庭经济困难女</w:t>
            </w:r>
            <w:r>
              <w:rPr>
                <w:rFonts w:hint="eastAsia" w:ascii="宋体" w:hAnsi="宋体" w:cs="宋体"/>
                <w:color w:val="000000"/>
                <w:kern w:val="0"/>
                <w:sz w:val="20"/>
                <w:szCs w:val="20"/>
                <w:lang w:eastAsia="zh-CN"/>
              </w:rPr>
              <w:t>的</w:t>
            </w:r>
            <w:r>
              <w:rPr>
                <w:rFonts w:hint="eastAsia" w:ascii="宋体" w:hAnsi="宋体" w:cs="宋体"/>
                <w:color w:val="000000"/>
                <w:kern w:val="0"/>
                <w:sz w:val="20"/>
                <w:szCs w:val="20"/>
              </w:rPr>
              <w:t>经济压力，有效借助巩固脱贫工作，受益学生与受益学生家长满意度达到了95%。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★★★农村义务教育学生营养改善计划国家试点补助学生数（≥**人）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义务教育阶段学生数（≥**人）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★★★农村义务教育学生营养改善计划地方试点补助学生数（≥**人）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农村义务教育学生营养改善计划食品安全达标率（=**%）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项目开始时间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2022/1/1</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2022/1/1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2022/1</w:t>
            </w: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/1</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2022/1</w:t>
            </w: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城乡义务教育项目直达资金（营养餐）资金总额（万元）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&lt;=191.6万元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191.6万元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★农村义务教育学生营养膳食生均补助标准（=**元/天）</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&lt;=6元/天</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4元/天</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r>
              <w:rPr>
                <w:rFonts w:ascii="宋体" w:hAnsi="宋体" w:cs="宋体"/>
                <w:color w:val="000000"/>
                <w:kern w:val="0"/>
                <w:sz w:val="20"/>
                <w:szCs w:val="20"/>
              </w:rPr>
              <w:tab/>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营养改善计划资助年限（年）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★受益学生和学生家长满意度（≥**%）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2022年城乡义务教育项目（</w:t>
            </w:r>
            <w:r>
              <w:rPr>
                <w:rFonts w:hint="eastAsia" w:ascii="宋体" w:hAnsi="宋体" w:cs="宋体"/>
                <w:color w:val="000000"/>
                <w:kern w:val="0"/>
                <w:sz w:val="20"/>
                <w:szCs w:val="20"/>
                <w:lang w:eastAsia="zh-CN"/>
              </w:rPr>
              <w:t>学生生活补助</w:t>
            </w:r>
            <w:r>
              <w:rPr>
                <w:rFonts w:hint="eastAsia" w:ascii="宋体" w:hAnsi="宋体" w:cs="宋体"/>
                <w:color w:val="000000"/>
                <w:kern w:val="0"/>
                <w:sz w:val="20"/>
                <w:szCs w:val="20"/>
              </w:rPr>
              <w:t>费）项目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新疆喀什地区疏附县托克扎克镇小学</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86.33</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86.33</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86.33</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86.33</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86.33</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86.33</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2022年度</w:t>
            </w:r>
            <w:r>
              <w:rPr>
                <w:rFonts w:hint="eastAsia" w:ascii="宋体" w:hAnsi="宋体" w:cs="宋体"/>
                <w:color w:val="000000"/>
                <w:kern w:val="0"/>
                <w:sz w:val="20"/>
                <w:szCs w:val="20"/>
                <w:lang w:val="en-US" w:eastAsia="zh-CN"/>
              </w:rPr>
              <w:t>学生</w:t>
            </w:r>
            <w:r>
              <w:rPr>
                <w:rFonts w:hint="eastAsia" w:ascii="宋体" w:hAnsi="宋体" w:cs="宋体"/>
                <w:color w:val="000000"/>
                <w:kern w:val="0"/>
                <w:sz w:val="20"/>
                <w:szCs w:val="20"/>
              </w:rPr>
              <w:t>生活补助资金全年下达资金86.3314万元。</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1、通过伙食补助项目改善农村义务教育阶段中小学生体质状况，有效减轻家庭经济困难学生的经济压力，有效借助脱贫工作。</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2、加大宣传力度，落实好城乡义务教育阶段学生生活费补助资助政策；</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3、严肃财经纪律，落实好资助政策，保证资金安全，及时下达资金，督促学校按时落实资助资金，受益学生预计能夶。</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截至绩效自评日，已完成伙食补助，共计支出86.3314万元，项目实施后有效减轻家庭经济困难女</w:t>
            </w:r>
            <w:r>
              <w:rPr>
                <w:rFonts w:hint="eastAsia" w:ascii="宋体" w:hAnsi="宋体" w:cs="宋体"/>
                <w:color w:val="000000"/>
                <w:kern w:val="0"/>
                <w:sz w:val="20"/>
                <w:szCs w:val="20"/>
                <w:lang w:eastAsia="zh-CN"/>
              </w:rPr>
              <w:t>的</w:t>
            </w:r>
            <w:r>
              <w:rPr>
                <w:rFonts w:hint="eastAsia" w:ascii="宋体" w:hAnsi="宋体" w:cs="宋体"/>
                <w:color w:val="000000"/>
                <w:kern w:val="0"/>
                <w:sz w:val="20"/>
                <w:szCs w:val="20"/>
              </w:rPr>
              <w:t>经济压力，有效借助脱贫工作，受益学生与学生家长满意度达到了95%。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小学义务教育阶段学生人数（≥**人）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小学义务教育阶段享受补助学生人数（≥**人）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应补助学生覆盖率（=**%）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资助经费及时发放率 （=**%）</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2022/12/1</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2022/12/1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小学阶段资助学生补助标准（≤**元/人/年）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&lt;=元/人/年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城乡义务教育</w:t>
            </w:r>
            <w:r>
              <w:rPr>
                <w:rFonts w:hint="eastAsia" w:ascii="宋体" w:hAnsi="宋体" w:cs="宋体"/>
                <w:color w:val="000000"/>
                <w:kern w:val="0"/>
                <w:sz w:val="20"/>
                <w:szCs w:val="20"/>
                <w:lang w:eastAsia="zh-CN"/>
              </w:rPr>
              <w:t>学</w:t>
            </w:r>
            <w:r>
              <w:rPr>
                <w:rFonts w:hint="eastAsia" w:ascii="宋体" w:hAnsi="宋体" w:cs="宋体"/>
                <w:color w:val="000000"/>
                <w:kern w:val="0"/>
                <w:sz w:val="20"/>
                <w:szCs w:val="20"/>
              </w:rPr>
              <w:t>生伙食费（万元)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&lt;=86.3314万元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86.3314万元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受益学生人数（≥**人）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接受资助的比例（=**%）</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创设各族青少年学习在学校、生活在学校、成长在学校的良好条件</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长期</w:t>
            </w:r>
            <w:r>
              <w:rPr>
                <w:rFonts w:ascii="宋体" w:hAnsi="宋体" w:cs="宋体"/>
                <w:color w:val="000000"/>
                <w:kern w:val="0"/>
                <w:sz w:val="20"/>
                <w:szCs w:val="20"/>
              </w:rPr>
              <w:tab/>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★受助学生满意度（≥**%）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r>
              <w:rPr>
                <w:rFonts w:ascii="宋体" w:hAnsi="宋体" w:cs="宋体"/>
                <w:color w:val="000000"/>
                <w:kern w:val="0"/>
                <w:sz w:val="20"/>
                <w:szCs w:val="20"/>
              </w:rPr>
              <w:tab/>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★受助学生家满意度（≥**%）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r>
              <w:rPr>
                <w:rFonts w:ascii="宋体" w:hAnsi="宋体" w:cs="宋体"/>
                <w:color w:val="000000"/>
                <w:kern w:val="0"/>
                <w:sz w:val="20"/>
                <w:szCs w:val="20"/>
              </w:rPr>
              <w:tab/>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2022年自治区教育补助资金预算（南疆四地州中小学幼儿园</w:t>
            </w:r>
            <w:r>
              <w:rPr>
                <w:rFonts w:hint="eastAsia" w:ascii="宋体" w:hAnsi="宋体" w:cs="宋体"/>
                <w:color w:val="000000"/>
                <w:kern w:val="0"/>
                <w:sz w:val="20"/>
                <w:szCs w:val="20"/>
                <w:lang w:val="en-US" w:eastAsia="zh-CN"/>
              </w:rPr>
              <w:t>工作</w:t>
            </w:r>
            <w:r>
              <w:rPr>
                <w:rFonts w:hint="eastAsia" w:ascii="宋体" w:hAnsi="宋体" w:cs="宋体"/>
                <w:color w:val="000000"/>
                <w:kern w:val="0"/>
                <w:sz w:val="20"/>
                <w:szCs w:val="20"/>
              </w:rPr>
              <w:t>人员工资补助）</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新疆喀什地区疏附县托克扎克镇小学</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14.18</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14.18</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14.18</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14.18</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14.18</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14.18</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目标1.提高校园安全水平，保障学生、教师、工作人员及财产安全，营造安全舒适的校园环境。</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目标2.实施好学校安全教育计划，切实推进南疆教育事业发展。</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截至绩效自评日，已发放</w:t>
            </w:r>
            <w:r>
              <w:rPr>
                <w:rFonts w:hint="eastAsia" w:ascii="宋体" w:hAnsi="宋体" w:cs="宋体"/>
                <w:color w:val="000000"/>
                <w:kern w:val="0"/>
                <w:sz w:val="20"/>
                <w:szCs w:val="20"/>
                <w:lang w:val="en-US" w:eastAsia="zh-CN"/>
              </w:rPr>
              <w:t>工作</w:t>
            </w:r>
            <w:r>
              <w:rPr>
                <w:rFonts w:hint="eastAsia" w:ascii="宋体" w:hAnsi="宋体" w:cs="宋体"/>
                <w:color w:val="000000"/>
                <w:kern w:val="0"/>
                <w:sz w:val="20"/>
                <w:szCs w:val="20"/>
              </w:rPr>
              <w:t>人员生活补贴，共计支出14.175万元，项目实施后有效提高校园安全水平，保障学生、教师、工作人员及财产安全，营造安全舒适的校园环境，</w:t>
            </w:r>
            <w:r>
              <w:rPr>
                <w:rFonts w:hint="eastAsia" w:ascii="宋体" w:hAnsi="宋体" w:cs="宋体"/>
                <w:color w:val="000000"/>
                <w:kern w:val="0"/>
                <w:sz w:val="20"/>
                <w:szCs w:val="20"/>
                <w:lang w:val="en-US" w:eastAsia="zh-CN"/>
              </w:rPr>
              <w:t>工作</w:t>
            </w:r>
            <w:r>
              <w:rPr>
                <w:rFonts w:hint="eastAsia" w:ascii="宋体" w:hAnsi="宋体" w:cs="宋体"/>
                <w:color w:val="000000"/>
                <w:kern w:val="0"/>
                <w:sz w:val="20"/>
                <w:szCs w:val="20"/>
              </w:rPr>
              <w:t>人员满意度达到了95%。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lang w:eastAsia="zh-CN"/>
              </w:rPr>
              <w:t>工作</w:t>
            </w:r>
            <w:r>
              <w:rPr>
                <w:rFonts w:hint="eastAsia" w:ascii="宋体" w:hAnsi="宋体" w:cs="宋体"/>
                <w:color w:val="000000"/>
                <w:kern w:val="0"/>
                <w:sz w:val="20"/>
                <w:szCs w:val="20"/>
              </w:rPr>
              <w:t>人员工资享受人数（人）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资金使用完成率（%）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中小学幼儿园配备</w:t>
            </w:r>
            <w:r>
              <w:rPr>
                <w:rFonts w:hint="eastAsia" w:ascii="宋体" w:hAnsi="宋体" w:cs="宋体"/>
                <w:color w:val="000000"/>
                <w:kern w:val="0"/>
                <w:sz w:val="20"/>
                <w:szCs w:val="20"/>
                <w:lang w:eastAsia="zh-CN"/>
              </w:rPr>
              <w:t>工作</w:t>
            </w:r>
            <w:r>
              <w:rPr>
                <w:rFonts w:hint="eastAsia" w:ascii="宋体" w:hAnsi="宋体" w:cs="宋体"/>
                <w:color w:val="000000"/>
                <w:kern w:val="0"/>
                <w:sz w:val="20"/>
                <w:szCs w:val="20"/>
              </w:rPr>
              <w:t>人员工资补助项目经费发放准确率（%）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2022/12/1</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2022/12/1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中小学幼儿园配备长聘人员工资补助项目经费享受标准</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推进南疆教育事业发展</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有效推进</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有效推进</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中小学幼儿园配备</w:t>
            </w:r>
            <w:r>
              <w:rPr>
                <w:rFonts w:hint="eastAsia" w:ascii="宋体" w:hAnsi="宋体" w:cs="宋体"/>
                <w:color w:val="000000"/>
                <w:kern w:val="0"/>
                <w:sz w:val="20"/>
                <w:szCs w:val="20"/>
                <w:lang w:val="en-US" w:eastAsia="zh-CN"/>
              </w:rPr>
              <w:t>工作</w:t>
            </w:r>
            <w:r>
              <w:rPr>
                <w:rFonts w:hint="eastAsia" w:ascii="宋体" w:hAnsi="宋体" w:cs="宋体"/>
                <w:color w:val="000000"/>
                <w:kern w:val="0"/>
                <w:sz w:val="20"/>
                <w:szCs w:val="20"/>
              </w:rPr>
              <w:t>人员工资补助项目经费期限</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lang w:val="en-US" w:eastAsia="zh-CN"/>
              </w:rPr>
              <w:t>工作</w:t>
            </w:r>
            <w:r>
              <w:rPr>
                <w:rFonts w:hint="eastAsia" w:ascii="宋体" w:hAnsi="宋体" w:cs="宋体"/>
                <w:color w:val="000000"/>
                <w:kern w:val="0"/>
                <w:sz w:val="20"/>
                <w:szCs w:val="20"/>
              </w:rPr>
              <w:t>人员满意率（%）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2022年自治区教育补助资金（义务教育保障</w:t>
            </w:r>
            <w:r>
              <w:rPr>
                <w:rFonts w:hint="eastAsia" w:ascii="宋体" w:hAnsi="宋体" w:cs="宋体"/>
                <w:color w:val="000000"/>
                <w:kern w:val="0"/>
                <w:sz w:val="20"/>
                <w:szCs w:val="20"/>
                <w:lang w:eastAsia="zh-CN"/>
              </w:rPr>
              <w:t>及</w:t>
            </w:r>
            <w:r>
              <w:rPr>
                <w:rFonts w:hint="eastAsia" w:ascii="宋体" w:hAnsi="宋体" w:cs="宋体"/>
                <w:color w:val="000000"/>
                <w:kern w:val="0"/>
                <w:sz w:val="20"/>
                <w:szCs w:val="20"/>
              </w:rPr>
              <w:t>公用经费）项目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新疆喀什地区疏附县托克扎克镇小学</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189.34</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189.34</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189.34</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189.34</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189.34</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189.34</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2022年度义务教育保障</w:t>
            </w:r>
            <w:r>
              <w:rPr>
                <w:rFonts w:hint="eastAsia" w:ascii="宋体" w:hAnsi="宋体" w:cs="宋体"/>
                <w:color w:val="000000"/>
                <w:kern w:val="0"/>
                <w:sz w:val="20"/>
                <w:szCs w:val="20"/>
                <w:lang w:eastAsia="zh-CN"/>
              </w:rPr>
              <w:t>及</w:t>
            </w:r>
            <w:r>
              <w:rPr>
                <w:rFonts w:hint="eastAsia" w:ascii="宋体" w:hAnsi="宋体" w:cs="宋体"/>
                <w:color w:val="000000"/>
                <w:kern w:val="0"/>
                <w:sz w:val="20"/>
                <w:szCs w:val="20"/>
              </w:rPr>
              <w:t>公用经费资金全年下达资金189.3418万元。</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 xml:space="preserve">  用于保障义务教育阶段学校正常运转、义务教育阶段小学学生，该经费的具体开支范围是：教学业务与管理、教学竞赛、教学质量提升及第三方评价的政府购买服务、办公、会议、印刷、教师培训、实验实习、文体活动、水电、取暖、交通差旅、邮电、教育信息化网络费用、仪器设备及图书资料等购置、学生课桌凳、床铺、食堂设施设备的零星补充购置及维修维护，房屋、建筑物、校园内道路、围墙、大门、运动场地、教室内教师讲台及仪器设备的日常维修维护，校园绿化美化、校园文化建设、学生健康体检、校方责任保险等。</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截止绩效自评日,已保障义务教育阶段学校正常运转、义务教育阶段小学学生，完成了教育教学活动和其他日常工作正常运转，共计支出189.3418万元，项目的实施有效保障了南疆四地州的</w:t>
            </w:r>
            <w:r>
              <w:rPr>
                <w:rFonts w:hint="eastAsia" w:ascii="宋体" w:hAnsi="宋体" w:cs="宋体"/>
                <w:color w:val="000000"/>
                <w:kern w:val="0"/>
                <w:sz w:val="20"/>
                <w:szCs w:val="20"/>
                <w:lang w:val="en-US" w:eastAsia="zh-CN"/>
              </w:rPr>
              <w:t>国家通用语言</w:t>
            </w:r>
            <w:r>
              <w:rPr>
                <w:rFonts w:hint="eastAsia" w:ascii="宋体" w:hAnsi="宋体" w:cs="宋体"/>
                <w:color w:val="000000"/>
                <w:kern w:val="0"/>
                <w:sz w:val="20"/>
                <w:szCs w:val="20"/>
              </w:rPr>
              <w:t>普及工作，有效减轻了学生家庭经济压力，接受义务教育学生，家长，教师满意度达到了95%。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义务教育阶段小学学生人数（人)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义务教育阶段小学</w:t>
            </w:r>
            <w:r>
              <w:rPr>
                <w:rFonts w:hint="eastAsia" w:ascii="宋体" w:hAnsi="宋体" w:cs="宋体"/>
                <w:color w:val="000000"/>
                <w:kern w:val="0"/>
                <w:sz w:val="20"/>
                <w:szCs w:val="20"/>
                <w:lang w:val="en-US" w:eastAsia="zh-CN"/>
              </w:rPr>
              <w:t>伙食补助</w:t>
            </w:r>
            <w:r>
              <w:rPr>
                <w:rFonts w:hint="eastAsia" w:ascii="宋体" w:hAnsi="宋体" w:cs="宋体"/>
                <w:color w:val="000000"/>
                <w:kern w:val="0"/>
                <w:sz w:val="20"/>
                <w:szCs w:val="20"/>
              </w:rPr>
              <w:t>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小学入学率（%）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2022/12/1</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2022/12/1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公用经费拨付及时率（%）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义务教育阶段小学生均公用经费标准（元/人/年）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w:t>
            </w:r>
            <w:r>
              <w:rPr>
                <w:rFonts w:hint="eastAsia" w:ascii="宋体" w:hAnsi="宋体" w:cs="宋体"/>
                <w:color w:val="000000"/>
                <w:kern w:val="0"/>
                <w:sz w:val="20"/>
                <w:szCs w:val="20"/>
                <w:lang w:val="en-US" w:eastAsia="zh-CN"/>
              </w:rPr>
              <w:t>和伙食补助</w:t>
            </w:r>
            <w:r>
              <w:rPr>
                <w:rFonts w:hint="eastAsia" w:ascii="宋体" w:hAnsi="宋体" w:cs="宋体"/>
                <w:color w:val="000000"/>
                <w:kern w:val="0"/>
                <w:sz w:val="20"/>
                <w:szCs w:val="20"/>
              </w:rPr>
              <w:t>制学校公用经费补助标准（元/人/年）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义务教育阶段取暖费补助标准（元/人/年）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=元/生/年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元/生/年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减轻学生家庭经济压力</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r>
              <w:rPr>
                <w:rFonts w:ascii="宋体" w:hAnsi="宋体" w:cs="宋体"/>
                <w:color w:val="000000"/>
                <w:kern w:val="0"/>
                <w:sz w:val="20"/>
                <w:szCs w:val="20"/>
              </w:rPr>
              <w:tab/>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小学阶段公用经费可持续年限（年）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接受义务教育学生满意度（%）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接受义务教育学生家长满意度（%）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接受义务教育学校教师满意度（%）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疏附县托克扎克镇小学厨师劳务费</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新疆喀什地区疏附县托克扎克镇小学</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36.11</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36.11</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36.11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36.11</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36.11</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36.11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为保障食品安全，及时落实供餐，确保学校正常免费供应伙食，保障学校厨师人员工资，项目实施后加强运营监管，进一步改善义务教育学生营养状况，逐步提高学生健康水平，保障按时发放厨师人员劳务费，厨师人员满意度预计能达到95%。</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绩效自评日，本项目已完成保障学校厨师人员工资，项目的实施有效加强了运营监管，进一步改善了义务教育学生营养状况，逐步提高了学生健康水平，保障了按时发放厨师人员劳务费，厨师人员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全县营养膳食补助学生数（人）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全县中小学食堂厨师人数（人）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补助发放次数（次）</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10次</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10次</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每次发放补助资金数(元/人/月)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进一步改善义务教育学生营养状况，减轻学校这方面的经济压力</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效果显著</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效果显著</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保障按时发放厨师人员劳务费</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持续保障</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持续保障</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厨师人员满意率（%）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2022自治区教育补助资金（义务教育阶段学校班主任津贴补助资金）</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rPr>
              <w:t>疏附县</w:t>
            </w:r>
            <w:r>
              <w:rPr>
                <w:rFonts w:hint="eastAsia" w:ascii="宋体" w:hAnsi="宋体" w:cs="宋体"/>
                <w:color w:val="000000"/>
                <w:kern w:val="0"/>
                <w:sz w:val="20"/>
                <w:szCs w:val="20"/>
                <w:lang w:val="en-US" w:eastAsia="zh-CN"/>
              </w:rPr>
              <w:t>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新疆喀什地区疏附县托克扎克镇小学</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4.00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4.00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10</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4.00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4.00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 xml:space="preserve">目标1：切实做好班主任津贴发放工作，确保专款专用。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目标2：切实</w:t>
            </w:r>
            <w:r>
              <w:rPr>
                <w:rFonts w:hint="eastAsia" w:ascii="宋体" w:hAnsi="宋体" w:cs="宋体"/>
                <w:i w:val="0"/>
                <w:iCs w:val="0"/>
                <w:color w:val="000000"/>
                <w:kern w:val="0"/>
                <w:sz w:val="20"/>
                <w:szCs w:val="20"/>
                <w:u w:val="none"/>
                <w:lang w:val="en-US" w:eastAsia="zh-CN" w:bidi="ar"/>
              </w:rPr>
              <w:t>加大</w:t>
            </w:r>
            <w:r>
              <w:rPr>
                <w:rFonts w:hint="eastAsia" w:ascii="宋体" w:hAnsi="宋体" w:eastAsia="宋体" w:cs="宋体"/>
                <w:i w:val="0"/>
                <w:iCs w:val="0"/>
                <w:color w:val="000000"/>
                <w:kern w:val="0"/>
                <w:sz w:val="20"/>
                <w:szCs w:val="20"/>
                <w:u w:val="none"/>
                <w:lang w:val="en-US" w:eastAsia="zh-CN" w:bidi="ar"/>
              </w:rPr>
              <w:t>专项资金的监督检查力度。我县义务阶段班主任费总资金3.996万元。                                               目标3：严格执行国家相关财政法规和资金管理办法的规定，提高资金使用效益。</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截止自评日，本项目已完成为义务教育班</w:t>
            </w:r>
            <w:r>
              <w:rPr>
                <w:rFonts w:hint="eastAsia" w:ascii="宋体" w:hAnsi="宋体" w:cs="宋体"/>
                <w:i w:val="0"/>
                <w:iCs w:val="0"/>
                <w:color w:val="000000"/>
                <w:kern w:val="0"/>
                <w:sz w:val="20"/>
                <w:szCs w:val="20"/>
                <w:u w:val="none"/>
                <w:lang w:val="en-US" w:eastAsia="zh-CN" w:bidi="ar"/>
              </w:rPr>
              <w:t>的</w:t>
            </w:r>
            <w:r>
              <w:rPr>
                <w:rFonts w:hint="eastAsia" w:ascii="宋体" w:hAnsi="宋体" w:eastAsia="宋体" w:cs="宋体"/>
                <w:i w:val="0"/>
                <w:iCs w:val="0"/>
                <w:color w:val="000000"/>
                <w:kern w:val="0"/>
                <w:sz w:val="20"/>
                <w:szCs w:val="20"/>
                <w:u w:val="none"/>
                <w:lang w:val="en-US" w:eastAsia="zh-CN" w:bidi="ar"/>
              </w:rPr>
              <w:t>班主任教师发放班主任津贴补贴，班主任教师绩效工资经费享受比例、班主任教师绩效工资经费发放比例及班主任教师绩效工资经费发放准确率均达到了100%，对南疆地区国家通用语言推广有显著促进作用，进一步改善了中小学班主任教师工作生活条件。</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义务教育学校数量</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=所</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所</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义务教育班主任教师人数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义务教育班级数量</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个</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义务教育学生人数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班主任教师绩效工资经费享受比例</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班主任教师绩效工资经费发放比例</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班主任教师绩效工资经费发放准确率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班主任教师每月绩效工资发放及时率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班主任教师绩效工资发放及时率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义务教育班主任教师绩效工资标准</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经济效益指标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义务教育班主任教师经济收入增加额</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对当地经济发展的促进作用</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对南疆地区国家通用语言推广的促进作用</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良好</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良好</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对社会</w:t>
            </w:r>
            <w:r>
              <w:rPr>
                <w:rFonts w:hint="eastAsia" w:ascii="宋体" w:hAnsi="宋体" w:cs="宋体"/>
                <w:color w:val="000000"/>
                <w:kern w:val="0"/>
                <w:sz w:val="20"/>
                <w:szCs w:val="20"/>
                <w:lang w:val="en-US" w:eastAsia="zh-CN"/>
              </w:rPr>
              <w:t>发展</w:t>
            </w:r>
            <w:r>
              <w:rPr>
                <w:rFonts w:hint="eastAsia" w:ascii="宋体" w:hAnsi="宋体" w:cs="宋体"/>
                <w:color w:val="000000"/>
                <w:kern w:val="0"/>
                <w:sz w:val="20"/>
                <w:szCs w:val="20"/>
              </w:rPr>
              <w:t>的促进作用</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良好</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良好</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进一步改善中小学班主任教师工作生活条件</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生态效益指标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义务教育班主任教师绩效工资经费持续期限</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享受义务教育班主任教义务教育班主任教师绩效工资经费满意率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100</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城乡义务教育补助经费（教师工资性补助）项目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新疆喀什地区疏附县托克扎克镇小学</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本项目主要计划落实好全县教师每月发放工资性补助，确保资金按时发放，项目的实施切实推进南疆教育事业发展，对南疆地区国家通用语言推广的促进作用，特岗教师满意度预计能达到95%。</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截止绩效自评日，本项目已对全县教师每月发放了工资性补助；项目的实施有效推进了南疆教育事业发展，教师满意度达到了95%。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义务教育教师人数（人）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bookmarkStart w:id="50" w:name="_GoBack"/>
            <w:bookmarkEnd w:id="50"/>
            <w:r>
              <w:rPr>
                <w:rFonts w:hint="eastAsia" w:ascii="宋体" w:hAnsi="宋体" w:cs="宋体"/>
                <w:color w:val="000000"/>
                <w:kern w:val="0"/>
                <w:sz w:val="20"/>
                <w:szCs w:val="20"/>
              </w:rPr>
              <w:t>教师工资性补助发放准确率（%）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补助资金覆盖率（%）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补助对象认定准确率（%）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补助标准达标率（%）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2022/12/</w:t>
            </w: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1</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2022年12月31日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补助资金发放及时率（%）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城乡义务教育补助经费（教师工资性补助）总金额（万元）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&lt;=52万元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义务教育教师工资标准（元/人/月）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元/人/月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对南疆地区国家通用语言推广的促进作用</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有效促进</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有效促进</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推进南疆教育事业发展</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持续推进</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持续推进</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教师满意度（%）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0"/>
      <w:bookmarkEnd w:id="31"/>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bookmarkStart w:id="32" w:name="_Toc28903"/>
      <w:bookmarkStart w:id="33" w:name="_Toc22784"/>
      <w:r>
        <w:rPr>
          <w:rFonts w:hint="eastAsia" w:ascii="黑体" w:hAnsi="黑体" w:eastAsia="黑体"/>
          <w:sz w:val="32"/>
          <w:szCs w:val="32"/>
        </w:rPr>
        <w:br w:type="page"/>
      </w:r>
      <w:r>
        <w:rPr>
          <w:rFonts w:hint="eastAsia" w:ascii="黑体" w:hAnsi="黑体" w:eastAsia="黑体"/>
          <w:sz w:val="32"/>
          <w:szCs w:val="32"/>
        </w:rPr>
        <w:t>第四部分 部门决算报表（见附表）</w:t>
      </w:r>
      <w:bookmarkEnd w:id="32"/>
      <w:bookmarkEnd w:id="33"/>
    </w:p>
    <w:p>
      <w:pPr>
        <w:ind w:firstLine="640" w:firstLineChars="200"/>
        <w:outlineLvl w:val="1"/>
        <w:rPr>
          <w:rFonts w:ascii="黑体" w:hAnsi="黑体" w:eastAsia="黑体" w:cs="宋体"/>
          <w:bCs/>
          <w:kern w:val="0"/>
          <w:sz w:val="32"/>
          <w:szCs w:val="32"/>
        </w:rPr>
      </w:pPr>
      <w:bookmarkStart w:id="34" w:name="_Toc2183"/>
      <w:bookmarkStart w:id="35" w:name="_Toc6062"/>
      <w:r>
        <w:rPr>
          <w:rFonts w:hint="eastAsia" w:ascii="黑体" w:hAnsi="黑体" w:eastAsia="黑体" w:cs="宋体"/>
          <w:bCs/>
          <w:kern w:val="0"/>
          <w:sz w:val="32"/>
          <w:szCs w:val="32"/>
        </w:rPr>
        <w:t>一、《收入支出决算总表》</w:t>
      </w:r>
      <w:bookmarkEnd w:id="34"/>
      <w:bookmarkEnd w:id="35"/>
    </w:p>
    <w:p>
      <w:pPr>
        <w:ind w:firstLine="640" w:firstLineChars="200"/>
        <w:outlineLvl w:val="1"/>
        <w:rPr>
          <w:rFonts w:ascii="黑体" w:hAnsi="黑体" w:eastAsia="黑体" w:cs="宋体"/>
          <w:bCs/>
          <w:kern w:val="0"/>
          <w:sz w:val="32"/>
          <w:szCs w:val="32"/>
        </w:rPr>
      </w:pPr>
      <w:bookmarkStart w:id="36" w:name="_Toc24532"/>
      <w:bookmarkStart w:id="37" w:name="_Toc30364"/>
      <w:r>
        <w:rPr>
          <w:rFonts w:hint="eastAsia" w:ascii="黑体" w:hAnsi="黑体" w:eastAsia="黑体" w:cs="宋体"/>
          <w:bCs/>
          <w:kern w:val="0"/>
          <w:sz w:val="32"/>
          <w:szCs w:val="32"/>
        </w:rPr>
        <w:t>二、《收入决算表》</w:t>
      </w:r>
      <w:bookmarkEnd w:id="36"/>
      <w:bookmarkEnd w:id="37"/>
    </w:p>
    <w:p>
      <w:pPr>
        <w:ind w:firstLine="640" w:firstLineChars="200"/>
        <w:outlineLvl w:val="1"/>
        <w:rPr>
          <w:rFonts w:ascii="黑体" w:hAnsi="黑体" w:eastAsia="黑体" w:cs="宋体"/>
          <w:bCs/>
          <w:kern w:val="0"/>
          <w:sz w:val="32"/>
          <w:szCs w:val="32"/>
        </w:rPr>
      </w:pPr>
      <w:bookmarkStart w:id="38" w:name="_Toc21304"/>
      <w:bookmarkStart w:id="39" w:name="_Toc32434"/>
      <w:r>
        <w:rPr>
          <w:rFonts w:hint="eastAsia" w:ascii="黑体" w:hAnsi="黑体" w:eastAsia="黑体" w:cs="宋体"/>
          <w:bCs/>
          <w:kern w:val="0"/>
          <w:sz w:val="32"/>
          <w:szCs w:val="32"/>
        </w:rPr>
        <w:t>三、《支出决算表》</w:t>
      </w:r>
      <w:bookmarkEnd w:id="38"/>
      <w:bookmarkEnd w:id="39"/>
    </w:p>
    <w:p>
      <w:pPr>
        <w:ind w:firstLine="640" w:firstLineChars="200"/>
        <w:outlineLvl w:val="1"/>
        <w:rPr>
          <w:rFonts w:ascii="黑体" w:hAnsi="黑体" w:eastAsia="黑体" w:cs="宋体"/>
          <w:bCs/>
          <w:kern w:val="0"/>
          <w:sz w:val="32"/>
          <w:szCs w:val="32"/>
        </w:rPr>
      </w:pPr>
      <w:bookmarkStart w:id="40" w:name="_Toc14238"/>
      <w:bookmarkStart w:id="41" w:name="_Toc28786"/>
      <w:r>
        <w:rPr>
          <w:rFonts w:hint="eastAsia" w:ascii="黑体" w:hAnsi="黑体" w:eastAsia="黑体" w:cs="宋体"/>
          <w:bCs/>
          <w:kern w:val="0"/>
          <w:sz w:val="32"/>
          <w:szCs w:val="32"/>
        </w:rPr>
        <w:t>四、《财政拨款收入支出决算总表》</w:t>
      </w:r>
      <w:bookmarkEnd w:id="40"/>
      <w:bookmarkEnd w:id="41"/>
    </w:p>
    <w:p>
      <w:pPr>
        <w:ind w:firstLine="640" w:firstLineChars="200"/>
        <w:outlineLvl w:val="1"/>
        <w:rPr>
          <w:rFonts w:ascii="黑体" w:hAnsi="黑体" w:eastAsia="黑体" w:cs="宋体"/>
          <w:bCs/>
          <w:kern w:val="0"/>
          <w:sz w:val="32"/>
          <w:szCs w:val="32"/>
        </w:rPr>
      </w:pPr>
      <w:bookmarkStart w:id="42" w:name="_Toc10347"/>
      <w:bookmarkStart w:id="43" w:name="_Toc14869"/>
      <w:r>
        <w:rPr>
          <w:rFonts w:hint="eastAsia" w:ascii="黑体" w:hAnsi="黑体" w:eastAsia="黑体" w:cs="宋体"/>
          <w:bCs/>
          <w:kern w:val="0"/>
          <w:sz w:val="32"/>
          <w:szCs w:val="32"/>
        </w:rPr>
        <w:t>五、《一般公共预算财政拨款支出决算表》</w:t>
      </w:r>
      <w:bookmarkEnd w:id="42"/>
      <w:bookmarkEnd w:id="43"/>
    </w:p>
    <w:p>
      <w:pPr>
        <w:ind w:firstLine="640" w:firstLineChars="200"/>
        <w:outlineLvl w:val="1"/>
        <w:rPr>
          <w:rFonts w:ascii="黑体" w:hAnsi="黑体" w:eastAsia="黑体" w:cs="宋体"/>
          <w:bCs/>
          <w:kern w:val="0"/>
          <w:sz w:val="32"/>
          <w:szCs w:val="32"/>
        </w:rPr>
      </w:pPr>
      <w:bookmarkStart w:id="44" w:name="_Toc5626"/>
      <w:bookmarkStart w:id="45" w:name="_Toc8884"/>
      <w:r>
        <w:rPr>
          <w:rFonts w:hint="eastAsia" w:ascii="黑体" w:hAnsi="黑体" w:eastAsia="黑体" w:cs="宋体"/>
          <w:bCs/>
          <w:kern w:val="0"/>
          <w:sz w:val="32"/>
          <w:szCs w:val="32"/>
        </w:rPr>
        <w:t>六、《一般公共预算财政拨款基本支出决算表》</w:t>
      </w:r>
      <w:bookmarkEnd w:id="44"/>
      <w:bookmarkEnd w:id="45"/>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6" w:name="_Toc29106"/>
      <w:bookmarkStart w:id="47" w:name="_Toc32663"/>
      <w:r>
        <w:rPr>
          <w:rFonts w:hint="eastAsia" w:ascii="黑体" w:hAnsi="黑体" w:eastAsia="黑体" w:cs="宋体"/>
          <w:bCs/>
          <w:kern w:val="0"/>
          <w:sz w:val="32"/>
          <w:szCs w:val="32"/>
        </w:rPr>
        <w:t>《财政拨款“三公”经费支出决算表》</w:t>
      </w:r>
      <w:bookmarkEnd w:id="46"/>
      <w:bookmarkEnd w:id="47"/>
    </w:p>
    <w:p>
      <w:pPr>
        <w:ind w:firstLine="640" w:firstLineChars="200"/>
        <w:outlineLvl w:val="1"/>
        <w:rPr>
          <w:rFonts w:ascii="黑体" w:hAnsi="黑体" w:eastAsia="黑体" w:cs="宋体"/>
          <w:bCs/>
          <w:kern w:val="0"/>
          <w:sz w:val="32"/>
          <w:szCs w:val="32"/>
        </w:rPr>
      </w:pPr>
      <w:bookmarkStart w:id="48" w:name="_Toc7643"/>
      <w:bookmarkStart w:id="49" w:name="_Toc5453"/>
      <w:r>
        <w:rPr>
          <w:rFonts w:hint="eastAsia" w:ascii="黑体" w:hAnsi="黑体" w:eastAsia="黑体" w:cs="宋体"/>
          <w:bCs/>
          <w:kern w:val="0"/>
          <w:sz w:val="32"/>
          <w:szCs w:val="32"/>
        </w:rPr>
        <w:t>八、《政府性基金预算财政拨款收入支出决算表》</w:t>
      </w:r>
      <w:bookmarkEnd w:id="48"/>
      <w:bookmarkEnd w:id="49"/>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jNjkxMjk5N2JjMzdmMmE1YzQ3YTEwM2ExNDQ1N2UifQ=="/>
  </w:docVars>
  <w:rsids>
    <w:rsidRoot w:val="00312C27"/>
    <w:rsid w:val="00012F23"/>
    <w:rsid w:val="00021E76"/>
    <w:rsid w:val="000229DC"/>
    <w:rsid w:val="0002765D"/>
    <w:rsid w:val="0003297B"/>
    <w:rsid w:val="000379B3"/>
    <w:rsid w:val="0005626F"/>
    <w:rsid w:val="000724E7"/>
    <w:rsid w:val="00073996"/>
    <w:rsid w:val="0008509D"/>
    <w:rsid w:val="00090520"/>
    <w:rsid w:val="000A0B31"/>
    <w:rsid w:val="000D2344"/>
    <w:rsid w:val="000D267C"/>
    <w:rsid w:val="000E75B2"/>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B179F"/>
    <w:rsid w:val="002B6C9C"/>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1E0D"/>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86787"/>
    <w:rsid w:val="009C08BE"/>
    <w:rsid w:val="00A22AE4"/>
    <w:rsid w:val="00A347A6"/>
    <w:rsid w:val="00A3556A"/>
    <w:rsid w:val="00A636E4"/>
    <w:rsid w:val="00A87103"/>
    <w:rsid w:val="00AB776D"/>
    <w:rsid w:val="00AC1E96"/>
    <w:rsid w:val="00AE1570"/>
    <w:rsid w:val="00B03B50"/>
    <w:rsid w:val="00B33BF0"/>
    <w:rsid w:val="00B35A42"/>
    <w:rsid w:val="00B4517D"/>
    <w:rsid w:val="00B53821"/>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153E"/>
    <w:rsid w:val="00C72285"/>
    <w:rsid w:val="00C77B7E"/>
    <w:rsid w:val="00C90C12"/>
    <w:rsid w:val="00CA6634"/>
    <w:rsid w:val="00CB036E"/>
    <w:rsid w:val="00CD3225"/>
    <w:rsid w:val="00CF5B51"/>
    <w:rsid w:val="00CF7E34"/>
    <w:rsid w:val="00D020FB"/>
    <w:rsid w:val="00D25150"/>
    <w:rsid w:val="00D41FF8"/>
    <w:rsid w:val="00D45561"/>
    <w:rsid w:val="00D6005A"/>
    <w:rsid w:val="00D6267B"/>
    <w:rsid w:val="00D64C5E"/>
    <w:rsid w:val="00D66A40"/>
    <w:rsid w:val="00D76208"/>
    <w:rsid w:val="00D8609B"/>
    <w:rsid w:val="00DA3B1B"/>
    <w:rsid w:val="00DF2FD8"/>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876D7"/>
    <w:rsid w:val="00F91E81"/>
    <w:rsid w:val="00F95054"/>
    <w:rsid w:val="00FF6A37"/>
    <w:rsid w:val="034D4FEF"/>
    <w:rsid w:val="043E5B56"/>
    <w:rsid w:val="05893284"/>
    <w:rsid w:val="06792773"/>
    <w:rsid w:val="0A7B4867"/>
    <w:rsid w:val="0AE83DE6"/>
    <w:rsid w:val="0B8C3ECC"/>
    <w:rsid w:val="0BBA0A81"/>
    <w:rsid w:val="0C7227A7"/>
    <w:rsid w:val="0DA014E7"/>
    <w:rsid w:val="0E7C6BA2"/>
    <w:rsid w:val="0F3317C1"/>
    <w:rsid w:val="11BC713D"/>
    <w:rsid w:val="12386E6F"/>
    <w:rsid w:val="140C1863"/>
    <w:rsid w:val="14155180"/>
    <w:rsid w:val="15F06E99"/>
    <w:rsid w:val="1B682381"/>
    <w:rsid w:val="1C7A04C1"/>
    <w:rsid w:val="1DAF458D"/>
    <w:rsid w:val="20DD6197"/>
    <w:rsid w:val="21A91B81"/>
    <w:rsid w:val="222A65E3"/>
    <w:rsid w:val="23BC04D2"/>
    <w:rsid w:val="23E6046B"/>
    <w:rsid w:val="23FB0802"/>
    <w:rsid w:val="252B4B95"/>
    <w:rsid w:val="26072058"/>
    <w:rsid w:val="26797F2D"/>
    <w:rsid w:val="277F0ACA"/>
    <w:rsid w:val="27CF2642"/>
    <w:rsid w:val="2A053397"/>
    <w:rsid w:val="2C9415A1"/>
    <w:rsid w:val="2D1136DF"/>
    <w:rsid w:val="2DD47676"/>
    <w:rsid w:val="2E743C6A"/>
    <w:rsid w:val="2F916B46"/>
    <w:rsid w:val="2FD27414"/>
    <w:rsid w:val="2FD45ADE"/>
    <w:rsid w:val="30090D14"/>
    <w:rsid w:val="31C63837"/>
    <w:rsid w:val="35FB19DD"/>
    <w:rsid w:val="37492C0F"/>
    <w:rsid w:val="37AA3FBB"/>
    <w:rsid w:val="37B3277F"/>
    <w:rsid w:val="3914510A"/>
    <w:rsid w:val="3B12207E"/>
    <w:rsid w:val="3B3C07D5"/>
    <w:rsid w:val="3D2A665C"/>
    <w:rsid w:val="3D5275AC"/>
    <w:rsid w:val="40834692"/>
    <w:rsid w:val="40C22759"/>
    <w:rsid w:val="41A84A67"/>
    <w:rsid w:val="448437A4"/>
    <w:rsid w:val="44F4368F"/>
    <w:rsid w:val="454126C2"/>
    <w:rsid w:val="45E16709"/>
    <w:rsid w:val="46901EEE"/>
    <w:rsid w:val="469C74D2"/>
    <w:rsid w:val="46AD6368"/>
    <w:rsid w:val="47A53BB1"/>
    <w:rsid w:val="49B933AA"/>
    <w:rsid w:val="4A6B0F8B"/>
    <w:rsid w:val="4AB4036B"/>
    <w:rsid w:val="4B4C0111"/>
    <w:rsid w:val="50DB5F45"/>
    <w:rsid w:val="52F92565"/>
    <w:rsid w:val="55CE6BE9"/>
    <w:rsid w:val="57214971"/>
    <w:rsid w:val="57E43B01"/>
    <w:rsid w:val="583059FA"/>
    <w:rsid w:val="5ABB586A"/>
    <w:rsid w:val="5FA17648"/>
    <w:rsid w:val="61A46A97"/>
    <w:rsid w:val="62DD7D21"/>
    <w:rsid w:val="65D97752"/>
    <w:rsid w:val="68DB0208"/>
    <w:rsid w:val="69AD798C"/>
    <w:rsid w:val="6A5F3F1C"/>
    <w:rsid w:val="6B68175F"/>
    <w:rsid w:val="6E0F7A08"/>
    <w:rsid w:val="70BE27EE"/>
    <w:rsid w:val="70D70CB1"/>
    <w:rsid w:val="71473612"/>
    <w:rsid w:val="718F7F65"/>
    <w:rsid w:val="71BF5925"/>
    <w:rsid w:val="73B9644B"/>
    <w:rsid w:val="73F7554E"/>
    <w:rsid w:val="73FB6630"/>
    <w:rsid w:val="74E76DCD"/>
    <w:rsid w:val="76070CE6"/>
    <w:rsid w:val="77ED6F44"/>
    <w:rsid w:val="7C9C606E"/>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toc 3"/>
    <w:basedOn w:val="1"/>
    <w:next w:val="1"/>
    <w:autoRedefine/>
    <w:qFormat/>
    <w:uiPriority w:val="0"/>
    <w:pPr>
      <w:ind w:left="840" w:leftChars="400"/>
    </w:pPr>
  </w:style>
  <w:style w:type="paragraph" w:styleId="4">
    <w:name w:val="Balloon Text"/>
    <w:basedOn w:val="1"/>
    <w:link w:val="15"/>
    <w:autoRedefine/>
    <w:qFormat/>
    <w:uiPriority w:val="0"/>
    <w:rPr>
      <w:sz w:val="18"/>
      <w:szCs w:val="18"/>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autoRedefine/>
    <w:qFormat/>
    <w:uiPriority w:val="0"/>
  </w:style>
  <w:style w:type="paragraph" w:styleId="8">
    <w:name w:val="toc 2"/>
    <w:basedOn w:val="1"/>
    <w:next w:val="1"/>
    <w:autoRedefine/>
    <w:qFormat/>
    <w:uiPriority w:val="0"/>
    <w:pPr>
      <w:ind w:left="420" w:leftChars="200"/>
    </w:pPr>
  </w:style>
  <w:style w:type="character" w:styleId="11">
    <w:name w:val="annotation reference"/>
    <w:basedOn w:val="10"/>
    <w:autoRedefine/>
    <w:qFormat/>
    <w:uiPriority w:val="0"/>
    <w:rPr>
      <w:sz w:val="21"/>
      <w:szCs w:val="21"/>
    </w:rPr>
  </w:style>
  <w:style w:type="paragraph" w:customStyle="1" w:styleId="12">
    <w:name w:val="WPSOffice手动目录 3"/>
    <w:autoRedefine/>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autoRedefine/>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autoRedefine/>
    <w:qFormat/>
    <w:uiPriority w:val="0"/>
    <w:rPr>
      <w:rFonts w:ascii="Times New Roman" w:hAnsi="Times New Roman" w:eastAsia="宋体" w:cs="Times New Roman"/>
      <w:lang w:val="en-US" w:eastAsia="zh-CN" w:bidi="ug-CN"/>
    </w:rPr>
  </w:style>
  <w:style w:type="character" w:customStyle="1" w:styleId="15">
    <w:name w:val="批注框文本 字符"/>
    <w:basedOn w:val="10"/>
    <w:link w:val="4"/>
    <w:autoRedefine/>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386D7B-2C19-4270-9E89-7B35BDE3D0FD}">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33</Pages>
  <Words>11023</Words>
  <Characters>12739</Characters>
  <Lines>79</Lines>
  <Paragraphs>22</Paragraphs>
  <TotalTime>6</TotalTime>
  <ScaleCrop>false</ScaleCrop>
  <LinksUpToDate>false</LinksUpToDate>
  <CharactersWithSpaces>13100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86180</cp:lastModifiedBy>
  <cp:lastPrinted>2023-11-03T08:28:00Z</cp:lastPrinted>
  <dcterms:modified xsi:type="dcterms:W3CDTF">2024-05-16T15:39:46Z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2D947ED4207047E08D5250DDD3B3950E_13</vt:lpwstr>
  </property>
</Properties>
</file>