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Theme="majorEastAsia" w:hAnsiTheme="majorEastAsia" w:eastAsiaTheme="majorEastAsia"/>
          <w:sz w:val="32"/>
          <w:szCs w:val="32"/>
        </w:rPr>
      </w:pPr>
    </w:p>
    <w:p>
      <w:pPr>
        <w:jc w:val="center"/>
        <w:rPr>
          <w:rFonts w:asciiTheme="majorEastAsia" w:hAnsiTheme="majorEastAsia" w:eastAsiaTheme="majorEastAsia"/>
          <w:sz w:val="44"/>
          <w:szCs w:val="44"/>
        </w:rPr>
      </w:pPr>
    </w:p>
    <w:p>
      <w:pPr>
        <w:jc w:val="center"/>
        <w:rPr>
          <w:rFonts w:asciiTheme="majorEastAsia" w:hAnsiTheme="majorEastAsia" w:eastAsiaTheme="majorEastAsia"/>
          <w:sz w:val="44"/>
          <w:szCs w:val="44"/>
        </w:rPr>
      </w:pPr>
    </w:p>
    <w:p>
      <w:pPr>
        <w:jc w:val="center"/>
        <w:rPr>
          <w:rFonts w:asciiTheme="majorEastAsia" w:hAnsiTheme="majorEastAsia" w:eastAsiaTheme="majorEastAsia"/>
          <w:b/>
          <w:bCs/>
          <w:sz w:val="44"/>
          <w:szCs w:val="44"/>
        </w:rPr>
      </w:pPr>
      <w:bookmarkStart w:id="50" w:name="_GoBack"/>
    </w:p>
    <w:p>
      <w:pPr>
        <w:jc w:val="center"/>
        <w:rPr>
          <w:rFonts w:asciiTheme="majorEastAsia" w:hAnsiTheme="majorEastAsia" w:eastAsiaTheme="majorEastAsia"/>
          <w:b/>
          <w:bCs/>
          <w:sz w:val="44"/>
          <w:szCs w:val="44"/>
        </w:rPr>
      </w:pPr>
    </w:p>
    <w:p>
      <w:pPr>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新疆喀什地区疏附县</w:t>
      </w:r>
    </w:p>
    <w:p>
      <w:pPr>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乌帕尔镇中心幼儿园</w:t>
      </w:r>
    </w:p>
    <w:p>
      <w:pPr>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2022年度部门决算公开说明</w:t>
      </w:r>
    </w:p>
    <w:bookmarkEnd w:id="50"/>
    <w:p>
      <w:pPr>
        <w:jc w:val="center"/>
        <w:rPr>
          <w:rFonts w:cs="仿宋_GB2312" w:asciiTheme="majorEastAsia" w:hAnsiTheme="majorEastAsia" w:eastAsiaTheme="majorEastAsia"/>
          <w:bCs/>
          <w:kern w:val="0"/>
          <w:sz w:val="32"/>
          <w:szCs w:val="32"/>
        </w:rPr>
      </w:pPr>
      <w:r>
        <w:rPr>
          <w:rFonts w:hint="eastAsia" w:asciiTheme="majorEastAsia" w:hAnsiTheme="majorEastAsia" w:eastAsiaTheme="majorEastAsia"/>
          <w:sz w:val="44"/>
          <w:szCs w:val="44"/>
        </w:rPr>
        <w:br w:type="page"/>
      </w:r>
      <w:r>
        <w:rPr>
          <w:rFonts w:hint="eastAsia" w:cs="仿宋_GB2312" w:asciiTheme="majorEastAsia" w:hAnsiTheme="majorEastAsia" w:eastAsiaTheme="majorEastAsia"/>
          <w:b/>
          <w:kern w:val="0"/>
          <w:sz w:val="36"/>
          <w:szCs w:val="36"/>
        </w:rPr>
        <w:t>目  录</w:t>
      </w:r>
    </w:p>
    <w:p>
      <w:pPr>
        <w:pStyle w:val="7"/>
        <w:tabs>
          <w:tab w:val="right" w:pos="8306"/>
        </w:tabs>
        <w:rPr>
          <w:rFonts w:cs="仿宋_GB2312" w:asciiTheme="majorEastAsia" w:hAnsiTheme="majorEastAsia" w:eastAsiaTheme="majorEastAsia"/>
          <w:b/>
          <w:bCs/>
          <w:sz w:val="32"/>
          <w:szCs w:val="32"/>
        </w:rPr>
      </w:pPr>
      <w:r>
        <w:rPr>
          <w:rFonts w:hint="eastAsia" w:cs="仿宋_GB2312" w:asciiTheme="majorEastAsia" w:hAnsiTheme="majorEastAsia" w:eastAsiaTheme="majorEastAsia"/>
          <w:sz w:val="32"/>
          <w:szCs w:val="32"/>
        </w:rPr>
        <w:fldChar w:fldCharType="begin"/>
      </w:r>
      <w:r>
        <w:rPr>
          <w:rFonts w:hint="eastAsia" w:cs="仿宋_GB2312" w:asciiTheme="majorEastAsia" w:hAnsiTheme="majorEastAsia" w:eastAsiaTheme="majorEastAsia"/>
          <w:sz w:val="32"/>
          <w:szCs w:val="32"/>
        </w:rPr>
        <w:instrText xml:space="preserve">TOC \o "1-3" \n  \h \u </w:instrText>
      </w:r>
      <w:r>
        <w:rPr>
          <w:rFonts w:hint="eastAsia" w:cs="仿宋_GB2312" w:asciiTheme="majorEastAsia" w:hAnsiTheme="majorEastAsia" w:eastAsiaTheme="majorEastAsia"/>
          <w:sz w:val="32"/>
          <w:szCs w:val="32"/>
        </w:rPr>
        <w:fldChar w:fldCharType="separate"/>
      </w:r>
      <w:r>
        <w:fldChar w:fldCharType="begin"/>
      </w:r>
      <w:r>
        <w:instrText xml:space="preserve"> HYPERLINK \l "_Toc32314" </w:instrText>
      </w:r>
      <w:r>
        <w:fldChar w:fldCharType="separate"/>
      </w:r>
      <w:r>
        <w:rPr>
          <w:rFonts w:hint="eastAsia" w:cs="仿宋_GB2312" w:asciiTheme="majorEastAsia" w:hAnsiTheme="majorEastAsia" w:eastAsiaTheme="majorEastAsia"/>
          <w:b/>
          <w:bCs/>
          <w:sz w:val="32"/>
          <w:szCs w:val="32"/>
        </w:rPr>
        <w:t>第一部分 单位概况</w:t>
      </w:r>
      <w:r>
        <w:rPr>
          <w:rFonts w:hint="eastAsia" w:cs="仿宋_GB2312" w:asciiTheme="majorEastAsia" w:hAnsiTheme="majorEastAsia" w:eastAsiaTheme="majorEastAsia"/>
          <w:b/>
          <w:bCs/>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"_Toc30567" </w:instrText>
      </w:r>
      <w:r>
        <w:fldChar w:fldCharType="separate"/>
      </w:r>
      <w:r>
        <w:rPr>
          <w:rFonts w:hint="eastAsia" w:cs="仿宋_GB2312" w:asciiTheme="majorEastAsia" w:hAnsiTheme="majorEastAsia" w:eastAsiaTheme="majorEastAsia"/>
          <w:bCs/>
          <w:kern w:val="0"/>
          <w:sz w:val="32"/>
          <w:szCs w:val="32"/>
        </w:rPr>
        <w:t>一、主要职能</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"_Toc2151" </w:instrText>
      </w:r>
      <w:r>
        <w:fldChar w:fldCharType="separate"/>
      </w:r>
      <w:r>
        <w:rPr>
          <w:rFonts w:hint="eastAsia" w:cs="仿宋_GB2312" w:asciiTheme="majorEastAsia" w:hAnsiTheme="majorEastAsia" w:eastAsiaTheme="majorEastAsia"/>
          <w:bCs/>
          <w:kern w:val="0"/>
          <w:sz w:val="32"/>
          <w:szCs w:val="32"/>
        </w:rPr>
        <w:t>二、机构设置及人员情况</w:t>
      </w:r>
      <w:r>
        <w:rPr>
          <w:rFonts w:hint="eastAsia" w:cs="仿宋_GB2312" w:asciiTheme="majorEastAsia" w:hAnsiTheme="majorEastAsia" w:eastAsiaTheme="majorEastAsia"/>
          <w:bCs/>
          <w:kern w:val="0"/>
          <w:sz w:val="32"/>
          <w:szCs w:val="32"/>
        </w:rPr>
        <w:fldChar w:fldCharType="end"/>
      </w:r>
    </w:p>
    <w:p>
      <w:pPr>
        <w:pStyle w:val="7"/>
        <w:tabs>
          <w:tab w:val="right" w:pos="8306"/>
        </w:tabs>
        <w:rPr>
          <w:rFonts w:cs="仿宋_GB2312" w:asciiTheme="majorEastAsia" w:hAnsiTheme="majorEastAsia" w:eastAsiaTheme="majorEastAsia"/>
          <w:b/>
          <w:bCs/>
          <w:sz w:val="32"/>
          <w:szCs w:val="32"/>
        </w:rPr>
      </w:pPr>
      <w:r>
        <w:fldChar w:fldCharType="begin"/>
      </w:r>
      <w:r>
        <w:instrText xml:space="preserve"> HYPERLINK \l "_Toc29374" </w:instrText>
      </w:r>
      <w:r>
        <w:fldChar w:fldCharType="separate"/>
      </w:r>
      <w:r>
        <w:rPr>
          <w:rFonts w:hint="eastAsia" w:cs="仿宋_GB2312" w:asciiTheme="majorEastAsia" w:hAnsiTheme="majorEastAsia" w:eastAsiaTheme="majorEastAsia"/>
          <w:b/>
          <w:bCs/>
          <w:sz w:val="32"/>
          <w:szCs w:val="32"/>
        </w:rPr>
        <w:t>第二部分 部门决算情况说明</w:t>
      </w:r>
      <w:r>
        <w:rPr>
          <w:rFonts w:hint="eastAsia" w:cs="仿宋_GB2312" w:asciiTheme="majorEastAsia" w:hAnsiTheme="majorEastAsia" w:eastAsiaTheme="majorEastAsia"/>
          <w:b/>
          <w:bCs/>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"_Toc25314" </w:instrText>
      </w:r>
      <w:r>
        <w:fldChar w:fldCharType="separate"/>
      </w:r>
      <w:r>
        <w:rPr>
          <w:rFonts w:hint="eastAsia" w:cs="仿宋_GB2312" w:asciiTheme="majorEastAsia" w:hAnsiTheme="majorEastAsia" w:eastAsiaTheme="majorEastAsia"/>
          <w:bCs/>
          <w:kern w:val="0"/>
          <w:sz w:val="32"/>
          <w:szCs w:val="32"/>
        </w:rPr>
        <w:t>一、收入支出决算总体情况说明</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"_Toc12142" </w:instrText>
      </w:r>
      <w:r>
        <w:fldChar w:fldCharType="separate"/>
      </w:r>
      <w:r>
        <w:rPr>
          <w:rFonts w:hint="eastAsia" w:cs="仿宋_GB2312" w:asciiTheme="majorEastAsia" w:hAnsiTheme="majorEastAsia" w:eastAsiaTheme="majorEastAsia"/>
          <w:bCs/>
          <w:kern w:val="0"/>
          <w:sz w:val="32"/>
          <w:szCs w:val="32"/>
        </w:rPr>
        <w:t>二、收入决算情况说明</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"_Toc13201" </w:instrText>
      </w:r>
      <w:r>
        <w:fldChar w:fldCharType="separate"/>
      </w:r>
      <w:r>
        <w:rPr>
          <w:rFonts w:hint="eastAsia" w:cs="仿宋_GB2312" w:asciiTheme="majorEastAsia" w:hAnsiTheme="majorEastAsia" w:eastAsiaTheme="majorEastAsia"/>
          <w:bCs/>
          <w:kern w:val="0"/>
          <w:sz w:val="32"/>
          <w:szCs w:val="32"/>
        </w:rPr>
        <w:t>三、支出决算情况说明</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"_Toc26564" </w:instrText>
      </w:r>
      <w:r>
        <w:fldChar w:fldCharType="separate"/>
      </w:r>
      <w:r>
        <w:rPr>
          <w:rFonts w:hint="eastAsia" w:cs="仿宋_GB2312" w:asciiTheme="majorEastAsia" w:hAnsiTheme="majorEastAsia" w:eastAsiaTheme="majorEastAsia"/>
          <w:bCs/>
          <w:kern w:val="0"/>
          <w:sz w:val="32"/>
          <w:szCs w:val="32"/>
        </w:rPr>
        <w:t>四、财政拨款收入支出决算总体情况说明</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"_Toc20360" </w:instrText>
      </w:r>
      <w:r>
        <w:fldChar w:fldCharType="separate"/>
      </w:r>
      <w:r>
        <w:rPr>
          <w:rFonts w:hint="eastAsia" w:cs="仿宋_GB2312" w:asciiTheme="majorEastAsia" w:hAnsiTheme="majorEastAsia" w:eastAsiaTheme="majorEastAsia"/>
          <w:bCs/>
          <w:kern w:val="0"/>
          <w:sz w:val="32"/>
          <w:szCs w:val="32"/>
        </w:rPr>
        <w:t>五、一般公共预算财政拨款支出决算情况说明</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"_Toc30870" </w:instrText>
      </w:r>
      <w:r>
        <w:fldChar w:fldCharType="separate"/>
      </w:r>
      <w:r>
        <w:rPr>
          <w:rFonts w:hint="eastAsia" w:cs="仿宋_GB2312" w:asciiTheme="majorEastAsia" w:hAnsiTheme="majorEastAsia" w:eastAsiaTheme="majorEastAsia"/>
          <w:bCs/>
          <w:kern w:val="0"/>
          <w:sz w:val="32"/>
          <w:szCs w:val="32"/>
        </w:rPr>
        <w:t>六、一般公共预算财政拨款基本支出决算情况说明</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"_Toc21518" </w:instrText>
      </w:r>
      <w:r>
        <w:fldChar w:fldCharType="separate"/>
      </w:r>
      <w:r>
        <w:rPr>
          <w:rFonts w:hint="eastAsia" w:cs="仿宋_GB2312" w:asciiTheme="majorEastAsia" w:hAnsiTheme="majorEastAsia" w:eastAsiaTheme="majorEastAsia"/>
          <w:bCs/>
          <w:kern w:val="0"/>
          <w:sz w:val="32"/>
          <w:szCs w:val="32"/>
        </w:rPr>
        <w:t>七、财政拨款“三公”经费支出决算情况说明</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"_Toc5810" </w:instrText>
      </w:r>
      <w:r>
        <w:fldChar w:fldCharType="separate"/>
      </w:r>
      <w:r>
        <w:rPr>
          <w:rFonts w:hint="eastAsia" w:cs="仿宋_GB2312" w:asciiTheme="majorEastAsia" w:hAnsiTheme="majorEastAsia" w:eastAsiaTheme="majorEastAsia"/>
          <w:bCs/>
          <w:kern w:val="0"/>
          <w:sz w:val="32"/>
          <w:szCs w:val="32"/>
        </w:rPr>
        <w:t>八、政府性基金预算财政拨款收入支出决算情况说明</w:t>
      </w:r>
      <w:r>
        <w:rPr>
          <w:rFonts w:hint="eastAsia" w:cs="仿宋_GB2312" w:asciiTheme="majorEastAsia" w:hAnsiTheme="majorEastAsia" w:eastAsiaTheme="majorEastAsia"/>
          <w:bCs/>
          <w:kern w:val="0"/>
          <w:sz w:val="32"/>
          <w:szCs w:val="32"/>
        </w:rPr>
        <w:fldChar w:fldCharType="end"/>
      </w:r>
    </w:p>
    <w:p>
      <w:pPr>
        <w:rPr>
          <w:rFonts w:asciiTheme="majorEastAsia" w:hAnsiTheme="majorEastAsia" w:eastAsiaTheme="majorEastAsia"/>
        </w:rPr>
      </w:pPr>
      <w:r>
        <w:fldChar w:fldCharType="begin"/>
      </w:r>
      <w:r>
        <w:instrText xml:space="preserve"> HYPERLINK \l "_Toc5810" </w:instrText>
      </w:r>
      <w:r>
        <w:fldChar w:fldCharType="separate"/>
      </w:r>
      <w:r>
        <w:rPr>
          <w:rFonts w:hint="eastAsia" w:cs="仿宋_GB2312" w:asciiTheme="majorEastAsia" w:hAnsiTheme="majorEastAsia" w:eastAsiaTheme="majorEastAsia"/>
          <w:bCs/>
          <w:kern w:val="0"/>
          <w:sz w:val="32"/>
          <w:szCs w:val="32"/>
        </w:rPr>
        <w:t>九、国有资本经营预算财政拨款收入支出决算情况说明</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"_Toc1235" </w:instrText>
      </w:r>
      <w:r>
        <w:fldChar w:fldCharType="separate"/>
      </w:r>
      <w:r>
        <w:rPr>
          <w:rFonts w:hint="eastAsia" w:cs="仿宋_GB2312" w:asciiTheme="majorEastAsia" w:hAnsiTheme="majorEastAsia" w:eastAsiaTheme="majorEastAsia"/>
          <w:sz w:val="32"/>
          <w:szCs w:val="32"/>
        </w:rPr>
        <w:t>十</w:t>
      </w:r>
      <w:r>
        <w:rPr>
          <w:rFonts w:hint="eastAsia" w:cs="仿宋_GB2312" w:asciiTheme="majorEastAsia" w:hAnsiTheme="majorEastAsia" w:eastAsiaTheme="majorEastAsia"/>
          <w:bCs/>
          <w:kern w:val="0"/>
          <w:sz w:val="32"/>
          <w:szCs w:val="32"/>
        </w:rPr>
        <w:t>、其他重要事项的情况说明</w:t>
      </w:r>
      <w:r>
        <w:rPr>
          <w:rFonts w:hint="eastAsia" w:cs="仿宋_GB2312" w:asciiTheme="majorEastAsia" w:hAnsiTheme="majorEastAsia" w:eastAsiaTheme="majorEastAsia"/>
          <w:bCs/>
          <w:kern w:val="0"/>
          <w:sz w:val="32"/>
          <w:szCs w:val="32"/>
        </w:rPr>
        <w:fldChar w:fldCharType="end"/>
      </w:r>
    </w:p>
    <w:p>
      <w:pPr>
        <w:pStyle w:val="3"/>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"_Toc14519" </w:instrText>
      </w:r>
      <w:r>
        <w:fldChar w:fldCharType="separate"/>
      </w:r>
      <w:r>
        <w:rPr>
          <w:rFonts w:hint="eastAsia" w:cs="仿宋_GB2312" w:asciiTheme="majorEastAsia" w:hAnsiTheme="majorEastAsia" w:eastAsiaTheme="majorEastAsia"/>
          <w:sz w:val="32"/>
          <w:szCs w:val="32"/>
        </w:rPr>
        <w:t>（一）机关运行经费支出情况</w:t>
      </w:r>
      <w:r>
        <w:rPr>
          <w:rFonts w:hint="eastAsia" w:cs="仿宋_GB2312" w:asciiTheme="majorEastAsia" w:hAnsiTheme="majorEastAsia" w:eastAsiaTheme="majorEastAsia"/>
          <w:sz w:val="32"/>
          <w:szCs w:val="32"/>
        </w:rPr>
        <w:fldChar w:fldCharType="end"/>
      </w:r>
    </w:p>
    <w:p>
      <w:pPr>
        <w:pStyle w:val="3"/>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"_Toc227" </w:instrText>
      </w:r>
      <w:r>
        <w:fldChar w:fldCharType="separate"/>
      </w:r>
      <w:r>
        <w:rPr>
          <w:rFonts w:hint="eastAsia" w:cs="仿宋_GB2312" w:asciiTheme="majorEastAsia" w:hAnsiTheme="majorEastAsia" w:eastAsiaTheme="majorEastAsia"/>
          <w:sz w:val="32"/>
          <w:szCs w:val="32"/>
        </w:rPr>
        <w:t>（二）政府采购情况</w:t>
      </w:r>
      <w:r>
        <w:rPr>
          <w:rFonts w:hint="eastAsia" w:cs="仿宋_GB2312" w:asciiTheme="majorEastAsia" w:hAnsiTheme="majorEastAsia" w:eastAsiaTheme="majorEastAsia"/>
          <w:sz w:val="32"/>
          <w:szCs w:val="32"/>
        </w:rPr>
        <w:fldChar w:fldCharType="end"/>
      </w:r>
    </w:p>
    <w:p>
      <w:pPr>
        <w:pStyle w:val="3"/>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"_Toc8391" </w:instrText>
      </w:r>
      <w:r>
        <w:fldChar w:fldCharType="separate"/>
      </w:r>
      <w:r>
        <w:rPr>
          <w:rFonts w:hint="eastAsia" w:cs="仿宋_GB2312" w:asciiTheme="majorEastAsia" w:hAnsiTheme="majorEastAsia" w:eastAsiaTheme="majorEastAsia"/>
          <w:sz w:val="32"/>
          <w:szCs w:val="32"/>
        </w:rPr>
        <w:t>（三）国有资产占用情况说明</w:t>
      </w:r>
      <w:r>
        <w:rPr>
          <w:rFonts w:hint="eastAsia" w:cs="仿宋_GB2312" w:asciiTheme="majorEastAsia" w:hAnsiTheme="majorEastAsia" w:eastAsiaTheme="majorEastAsia"/>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"_Toc11283" </w:instrText>
      </w:r>
      <w:r>
        <w:fldChar w:fldCharType="separate"/>
      </w:r>
      <w:r>
        <w:rPr>
          <w:rFonts w:hint="eastAsia" w:cs="仿宋_GB2312" w:asciiTheme="majorEastAsia" w:hAnsiTheme="majorEastAsia" w:eastAsiaTheme="majorEastAsia"/>
          <w:bCs/>
          <w:kern w:val="0"/>
          <w:sz w:val="32"/>
          <w:szCs w:val="32"/>
        </w:rPr>
        <w:t>十一、预算绩效的情况说明</w:t>
      </w:r>
      <w:r>
        <w:rPr>
          <w:rFonts w:hint="eastAsia" w:cs="仿宋_GB2312" w:asciiTheme="majorEastAsia" w:hAnsiTheme="majorEastAsia" w:eastAsiaTheme="majorEastAsia"/>
          <w:bCs/>
          <w:kern w:val="0"/>
          <w:sz w:val="32"/>
          <w:szCs w:val="32"/>
        </w:rPr>
        <w:fldChar w:fldCharType="end"/>
      </w:r>
    </w:p>
    <w:p>
      <w:pPr>
        <w:pStyle w:val="7"/>
        <w:tabs>
          <w:tab w:val="right" w:pos="8306"/>
        </w:tabs>
        <w:rPr>
          <w:rFonts w:cs="仿宋_GB2312" w:asciiTheme="majorEastAsia" w:hAnsiTheme="majorEastAsia" w:eastAsiaTheme="majorEastAsia"/>
          <w:b/>
          <w:bCs/>
          <w:sz w:val="32"/>
          <w:szCs w:val="32"/>
        </w:rPr>
      </w:pPr>
      <w:r>
        <w:fldChar w:fldCharType="begin"/>
      </w:r>
      <w:r>
        <w:instrText xml:space="preserve"> HYPERLINK \l "_Toc3250" </w:instrText>
      </w:r>
      <w:r>
        <w:fldChar w:fldCharType="separate"/>
      </w:r>
      <w:r>
        <w:rPr>
          <w:rFonts w:hint="eastAsia" w:cs="仿宋_GB2312" w:asciiTheme="majorEastAsia" w:hAnsiTheme="majorEastAsia" w:eastAsiaTheme="majorEastAsia"/>
          <w:b/>
          <w:bCs/>
          <w:sz w:val="32"/>
          <w:szCs w:val="32"/>
        </w:rPr>
        <w:t>第三部分 专业名词解释</w:t>
      </w:r>
      <w:r>
        <w:rPr>
          <w:rFonts w:hint="eastAsia" w:cs="仿宋_GB2312" w:asciiTheme="majorEastAsia" w:hAnsiTheme="majorEastAsia" w:eastAsiaTheme="majorEastAsia"/>
          <w:b/>
          <w:bCs/>
          <w:sz w:val="32"/>
          <w:szCs w:val="32"/>
        </w:rPr>
        <w:fldChar w:fldCharType="end"/>
      </w:r>
    </w:p>
    <w:p>
      <w:pPr>
        <w:pStyle w:val="7"/>
        <w:tabs>
          <w:tab w:val="right" w:pos="8306"/>
        </w:tabs>
        <w:rPr>
          <w:rFonts w:cs="仿宋_GB2312" w:asciiTheme="majorEastAsia" w:hAnsiTheme="majorEastAsia" w:eastAsiaTheme="majorEastAsia"/>
          <w:b/>
          <w:bCs/>
          <w:sz w:val="32"/>
          <w:szCs w:val="32"/>
        </w:rPr>
      </w:pPr>
      <w:r>
        <w:fldChar w:fldCharType="begin"/>
      </w:r>
      <w:r>
        <w:instrText xml:space="preserve"> HYPERLINK \l "_Toc22784" </w:instrText>
      </w:r>
      <w:r>
        <w:fldChar w:fldCharType="separate"/>
      </w:r>
      <w:r>
        <w:rPr>
          <w:rFonts w:hint="eastAsia" w:cs="仿宋_GB2312" w:asciiTheme="majorEastAsia" w:hAnsiTheme="majorEastAsia" w:eastAsiaTheme="majorEastAsia"/>
          <w:b/>
          <w:bCs/>
          <w:sz w:val="32"/>
          <w:szCs w:val="32"/>
        </w:rPr>
        <w:t>第四部分 部门决算报表（见附表）</w:t>
      </w:r>
      <w:r>
        <w:rPr>
          <w:rFonts w:hint="eastAsia" w:cs="仿宋_GB2312" w:asciiTheme="majorEastAsia" w:hAnsiTheme="majorEastAsia" w:eastAsiaTheme="majorEastAsia"/>
          <w:b/>
          <w:bCs/>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"_Toc2183" </w:instrText>
      </w:r>
      <w:r>
        <w:fldChar w:fldCharType="separate"/>
      </w:r>
      <w:r>
        <w:rPr>
          <w:rFonts w:hint="eastAsia" w:cs="仿宋_GB2312" w:asciiTheme="majorEastAsia" w:hAnsiTheme="majorEastAsia" w:eastAsiaTheme="majorEastAsia"/>
          <w:bCs/>
          <w:kern w:val="0"/>
          <w:sz w:val="32"/>
          <w:szCs w:val="32"/>
        </w:rPr>
        <w:t>一、《收入支出决算总表》</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"_Toc24532" </w:instrText>
      </w:r>
      <w:r>
        <w:fldChar w:fldCharType="separate"/>
      </w:r>
      <w:r>
        <w:rPr>
          <w:rFonts w:hint="eastAsia" w:cs="仿宋_GB2312" w:asciiTheme="majorEastAsia" w:hAnsiTheme="majorEastAsia" w:eastAsiaTheme="majorEastAsia"/>
          <w:bCs/>
          <w:kern w:val="0"/>
          <w:sz w:val="32"/>
          <w:szCs w:val="32"/>
        </w:rPr>
        <w:t>二、《收入决算表》</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"_Toc32434" </w:instrText>
      </w:r>
      <w:r>
        <w:fldChar w:fldCharType="separate"/>
      </w:r>
      <w:r>
        <w:rPr>
          <w:rFonts w:hint="eastAsia" w:cs="仿宋_GB2312" w:asciiTheme="majorEastAsia" w:hAnsiTheme="majorEastAsia" w:eastAsiaTheme="majorEastAsia"/>
          <w:bCs/>
          <w:kern w:val="0"/>
          <w:sz w:val="32"/>
          <w:szCs w:val="32"/>
        </w:rPr>
        <w:t>三、《支出决算表》</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"_Toc28786" </w:instrText>
      </w:r>
      <w:r>
        <w:fldChar w:fldCharType="separate"/>
      </w:r>
      <w:r>
        <w:rPr>
          <w:rFonts w:hint="eastAsia" w:cs="仿宋_GB2312" w:asciiTheme="majorEastAsia" w:hAnsiTheme="majorEastAsia" w:eastAsiaTheme="majorEastAsia"/>
          <w:bCs/>
          <w:kern w:val="0"/>
          <w:sz w:val="32"/>
          <w:szCs w:val="32"/>
        </w:rPr>
        <w:t>四、《财政拨款收入支出决算总表》</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"_Toc14869" </w:instrText>
      </w:r>
      <w:r>
        <w:fldChar w:fldCharType="separate"/>
      </w:r>
      <w:r>
        <w:rPr>
          <w:rFonts w:hint="eastAsia" w:cs="仿宋_GB2312" w:asciiTheme="majorEastAsia" w:hAnsiTheme="majorEastAsia" w:eastAsiaTheme="majorEastAsia"/>
          <w:bCs/>
          <w:kern w:val="0"/>
          <w:sz w:val="32"/>
          <w:szCs w:val="32"/>
        </w:rPr>
        <w:t>五、《一般公共预算财政拨款支出决算表》</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"_Toc8884" </w:instrText>
      </w:r>
      <w:r>
        <w:fldChar w:fldCharType="separate"/>
      </w:r>
      <w:r>
        <w:rPr>
          <w:rFonts w:hint="eastAsia" w:cs="仿宋_GB2312" w:asciiTheme="majorEastAsia" w:hAnsiTheme="majorEastAsia" w:eastAsiaTheme="majorEastAsia"/>
          <w:bCs/>
          <w:kern w:val="0"/>
          <w:sz w:val="32"/>
          <w:szCs w:val="32"/>
        </w:rPr>
        <w:t>六、《一般公共预算财政拨款基本支出决算表》</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sz w:val="32"/>
          <w:szCs w:val="32"/>
        </w:rPr>
      </w:pPr>
      <w:r>
        <w:fldChar w:fldCharType="begin"/>
      </w:r>
      <w:r>
        <w:instrText xml:space="preserve"> HYPERLINK \l "_Toc29106" </w:instrText>
      </w:r>
      <w:r>
        <w:fldChar w:fldCharType="separate"/>
      </w:r>
      <w:r>
        <w:rPr>
          <w:rFonts w:hint="eastAsia" w:cs="仿宋_GB2312" w:asciiTheme="majorEastAsia" w:hAnsiTheme="majorEastAsia" w:eastAsiaTheme="majorEastAsia"/>
          <w:bCs/>
          <w:kern w:val="0"/>
          <w:sz w:val="32"/>
          <w:szCs w:val="32"/>
        </w:rPr>
        <w:t>七、《财政拨款“三公”经费支出决算表》</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bCs/>
          <w:kern w:val="0"/>
          <w:sz w:val="32"/>
          <w:szCs w:val="32"/>
        </w:rPr>
      </w:pPr>
      <w:r>
        <w:fldChar w:fldCharType="begin"/>
      </w:r>
      <w:r>
        <w:instrText xml:space="preserve"> HYPERLINK \l "_Toc7643" </w:instrText>
      </w:r>
      <w:r>
        <w:fldChar w:fldCharType="separate"/>
      </w:r>
      <w:r>
        <w:rPr>
          <w:rFonts w:hint="eastAsia" w:cs="仿宋_GB2312" w:asciiTheme="majorEastAsia" w:hAnsiTheme="majorEastAsia" w:eastAsiaTheme="majorEastAsia"/>
          <w:bCs/>
          <w:kern w:val="0"/>
          <w:sz w:val="32"/>
          <w:szCs w:val="32"/>
        </w:rPr>
        <w:t>八、《政府性基金预算财政拨款收入支出决算表》</w:t>
      </w:r>
      <w:r>
        <w:rPr>
          <w:rFonts w:hint="eastAsia" w:cs="仿宋_GB2312" w:asciiTheme="majorEastAsia" w:hAnsiTheme="majorEastAsia" w:eastAsiaTheme="majorEastAsia"/>
          <w:bCs/>
          <w:kern w:val="0"/>
          <w:sz w:val="32"/>
          <w:szCs w:val="32"/>
        </w:rPr>
        <w:fldChar w:fldCharType="end"/>
      </w:r>
    </w:p>
    <w:p>
      <w:pPr>
        <w:pStyle w:val="8"/>
        <w:tabs>
          <w:tab w:val="right" w:pos="8306"/>
        </w:tabs>
        <w:ind w:left="0" w:leftChars="0"/>
        <w:rPr>
          <w:rFonts w:cs="仿宋_GB2312" w:asciiTheme="majorEastAsia" w:hAnsiTheme="majorEastAsia" w:eastAsiaTheme="majorEastAsia"/>
          <w:bCs/>
          <w:kern w:val="0"/>
          <w:sz w:val="32"/>
          <w:szCs w:val="32"/>
        </w:rPr>
      </w:pPr>
      <w:r>
        <w:rPr>
          <w:rFonts w:hint="eastAsia" w:cs="仿宋_GB2312" w:asciiTheme="majorEastAsia" w:hAnsiTheme="majorEastAsia" w:eastAsiaTheme="majorEastAsia"/>
          <w:bCs/>
          <w:kern w:val="0"/>
          <w:sz w:val="32"/>
          <w:szCs w:val="32"/>
        </w:rPr>
        <w:t>九、《国有资本经营预算财政拨款收入支出决算表》</w:t>
      </w:r>
    </w:p>
    <w:p>
      <w:pPr>
        <w:rPr>
          <w:rFonts w:asciiTheme="majorEastAsia" w:hAnsiTheme="majorEastAsia" w:eastAsiaTheme="majorEastAsia"/>
        </w:rPr>
      </w:pPr>
      <w:r>
        <w:rPr>
          <w:rFonts w:hint="eastAsia" w:cs="仿宋_GB2312" w:asciiTheme="majorEastAsia" w:hAnsiTheme="majorEastAsia" w:eastAsiaTheme="majorEastAsia"/>
          <w:sz w:val="32"/>
          <w:szCs w:val="32"/>
        </w:rPr>
        <w:fldChar w:fldCharType="end"/>
      </w:r>
    </w:p>
    <w:p>
      <w:pPr>
        <w:ind w:firstLine="640" w:firstLineChars="200"/>
        <w:jc w:val="center"/>
        <w:outlineLvl w:val="0"/>
        <w:rPr>
          <w:rFonts w:asciiTheme="majorEastAsia" w:hAnsiTheme="majorEastAsia" w:eastAsiaTheme="majorEastAsia"/>
          <w:sz w:val="32"/>
          <w:szCs w:val="32"/>
        </w:rPr>
      </w:pPr>
      <w:r>
        <w:rPr>
          <w:rFonts w:hint="eastAsia" w:asciiTheme="majorEastAsia" w:hAnsiTheme="majorEastAsia" w:eastAsiaTheme="majorEastAsia"/>
          <w:sz w:val="32"/>
          <w:szCs w:val="32"/>
        </w:rPr>
        <w:br w:type="page"/>
      </w:r>
      <w:bookmarkStart w:id="0" w:name="_Toc24028"/>
      <w:bookmarkStart w:id="1" w:name="_Toc32314"/>
      <w:r>
        <w:rPr>
          <w:rFonts w:hint="eastAsia" w:asciiTheme="majorEastAsia" w:hAnsiTheme="majorEastAsia" w:eastAsiaTheme="majorEastAsia"/>
          <w:sz w:val="32"/>
          <w:szCs w:val="32"/>
        </w:rPr>
        <w:t>第一部分 单位概况</w:t>
      </w:r>
      <w:bookmarkEnd w:id="0"/>
      <w:bookmarkEnd w:id="1"/>
    </w:p>
    <w:p>
      <w:pPr>
        <w:ind w:firstLine="640" w:firstLineChars="200"/>
        <w:outlineLvl w:val="1"/>
        <w:rPr>
          <w:rFonts w:cs="宋体" w:asciiTheme="majorEastAsia" w:hAnsiTheme="majorEastAsia" w:eastAsiaTheme="majorEastAsia"/>
          <w:bCs/>
          <w:kern w:val="0"/>
          <w:sz w:val="32"/>
          <w:szCs w:val="32"/>
        </w:rPr>
      </w:pPr>
      <w:bookmarkStart w:id="2" w:name="_Toc30567"/>
      <w:bookmarkStart w:id="3" w:name="_Toc30738"/>
      <w:r>
        <w:rPr>
          <w:rFonts w:hint="eastAsia" w:cs="宋体" w:asciiTheme="majorEastAsia" w:hAnsiTheme="majorEastAsia" w:eastAsiaTheme="majorEastAsia"/>
          <w:bCs/>
          <w:kern w:val="0"/>
          <w:sz w:val="32"/>
          <w:szCs w:val="32"/>
        </w:rPr>
        <w:t>一、主要职能</w:t>
      </w:r>
      <w:bookmarkEnd w:id="2"/>
      <w:bookmarkEnd w:id="3"/>
    </w:p>
    <w:p>
      <w:pPr>
        <w:rPr>
          <w:rFonts w:cs="宋体" w:asciiTheme="majorEastAsia" w:hAnsiTheme="majorEastAsia" w:eastAsiaTheme="majorEastAsia"/>
          <w:bCs/>
          <w:kern w:val="0"/>
          <w:sz w:val="32"/>
          <w:szCs w:val="32"/>
        </w:rPr>
      </w:pPr>
      <w:bookmarkStart w:id="4" w:name="_Toc31238"/>
      <w:bookmarkStart w:id="5" w:name="_Toc2151"/>
      <w:r>
        <w:rPr>
          <w:rFonts w:asciiTheme="majorEastAsia" w:hAnsiTheme="majorEastAsia" w:eastAsiaTheme="majorEastAsia"/>
          <w:sz w:val="32"/>
          <w:szCs w:val="32"/>
        </w:rPr>
        <w:t>　　（一）为促进基础教育的发展，实施学前教育。</w:t>
      </w:r>
      <w:r>
        <w:rPr>
          <w:rFonts w:asciiTheme="majorEastAsia" w:hAnsiTheme="majorEastAsia" w:eastAsiaTheme="majorEastAsia"/>
          <w:sz w:val="32"/>
          <w:szCs w:val="32"/>
        </w:rPr>
        <w:br w:type="textWrapping"/>
      </w:r>
      <w:r>
        <w:rPr>
          <w:rFonts w:asciiTheme="majorEastAsia" w:hAnsiTheme="majorEastAsia" w:eastAsiaTheme="majorEastAsia"/>
          <w:sz w:val="32"/>
          <w:szCs w:val="32"/>
        </w:rPr>
        <w:t>　　（二）贯彻执行党的教育方针、政策、法规和规章制度，制定并组织实施幼儿园中长期规划。</w:t>
      </w:r>
      <w:r>
        <w:rPr>
          <w:rFonts w:asciiTheme="majorEastAsia" w:hAnsiTheme="majorEastAsia" w:eastAsiaTheme="majorEastAsia"/>
          <w:sz w:val="32"/>
          <w:szCs w:val="32"/>
        </w:rPr>
        <w:br w:type="textWrapping"/>
      </w:r>
      <w:r>
        <w:rPr>
          <w:rFonts w:asciiTheme="majorEastAsia" w:hAnsiTheme="majorEastAsia" w:eastAsiaTheme="majorEastAsia"/>
          <w:sz w:val="32"/>
          <w:szCs w:val="32"/>
        </w:rPr>
        <w:t>　　（三）有计划、有组织地培养、提高教师的业务和教学能力。</w:t>
      </w:r>
      <w:r>
        <w:rPr>
          <w:rFonts w:asciiTheme="majorEastAsia" w:hAnsiTheme="majorEastAsia" w:eastAsiaTheme="majorEastAsia"/>
          <w:sz w:val="32"/>
          <w:szCs w:val="32"/>
        </w:rPr>
        <w:br w:type="textWrapping"/>
      </w:r>
      <w:r>
        <w:rPr>
          <w:rFonts w:asciiTheme="majorEastAsia" w:hAnsiTheme="majorEastAsia" w:eastAsiaTheme="majorEastAsia"/>
          <w:sz w:val="32"/>
          <w:szCs w:val="32"/>
        </w:rPr>
        <w:t>　　（四）深化教学改革，创新教学模式，提高教育质量。</w:t>
      </w:r>
      <w:r>
        <w:rPr>
          <w:rFonts w:asciiTheme="majorEastAsia" w:hAnsiTheme="majorEastAsia" w:eastAsiaTheme="majorEastAsia"/>
          <w:sz w:val="32"/>
          <w:szCs w:val="32"/>
        </w:rPr>
        <w:br w:type="textWrapping"/>
      </w:r>
      <w:r>
        <w:rPr>
          <w:rFonts w:asciiTheme="majorEastAsia" w:hAnsiTheme="majorEastAsia" w:eastAsiaTheme="majorEastAsia"/>
          <w:sz w:val="32"/>
          <w:szCs w:val="32"/>
        </w:rPr>
        <w:t>　　（五）做好幼儿思想教育工作，认真实施守则、行为规范及有关条例，实施素质教育，锻炼幼儿的实践能力，为社会主义现代建设培养德、智、体、能全面发展的人才。</w:t>
      </w:r>
      <w:r>
        <w:rPr>
          <w:rFonts w:asciiTheme="majorEastAsia" w:hAnsiTheme="majorEastAsia" w:eastAsiaTheme="majorEastAsia"/>
          <w:sz w:val="32"/>
          <w:szCs w:val="32"/>
        </w:rPr>
        <w:br w:type="textWrapping"/>
      </w:r>
      <w:r>
        <w:rPr>
          <w:rFonts w:asciiTheme="majorEastAsia" w:hAnsiTheme="majorEastAsia" w:eastAsiaTheme="majorEastAsia"/>
          <w:sz w:val="32"/>
          <w:szCs w:val="32"/>
        </w:rPr>
        <w:t>　　（六）做好幼儿园的信息，统计工作，为上级提供决策依据。</w:t>
      </w:r>
      <w:r>
        <w:rPr>
          <w:rFonts w:asciiTheme="majorEastAsia" w:hAnsiTheme="majorEastAsia" w:eastAsiaTheme="majorEastAsia"/>
          <w:sz w:val="32"/>
          <w:szCs w:val="32"/>
        </w:rPr>
        <w:br w:type="textWrapping"/>
      </w:r>
      <w:r>
        <w:rPr>
          <w:rFonts w:asciiTheme="majorEastAsia" w:hAnsiTheme="majorEastAsia" w:eastAsiaTheme="majorEastAsia"/>
          <w:sz w:val="32"/>
          <w:szCs w:val="32"/>
        </w:rPr>
        <w:t>　　（七）合理使用教育经费，严格执行增收节支有关规定。有计划地搞好校舍建设，教学设备设施建设。</w:t>
      </w:r>
      <w:r>
        <w:rPr>
          <w:rFonts w:asciiTheme="majorEastAsia" w:hAnsiTheme="majorEastAsia" w:eastAsiaTheme="majorEastAsia"/>
          <w:sz w:val="32"/>
          <w:szCs w:val="32"/>
        </w:rPr>
        <w:br w:type="textWrapping"/>
      </w:r>
      <w:r>
        <w:rPr>
          <w:rFonts w:asciiTheme="majorEastAsia" w:hAnsiTheme="majorEastAsia" w:eastAsiaTheme="majorEastAsia"/>
          <w:sz w:val="32"/>
          <w:szCs w:val="32"/>
        </w:rPr>
        <w:t>　　（八）制定并组织实施幼儿园的管理、发展计划。</w:t>
      </w:r>
      <w:r>
        <w:rPr>
          <w:rFonts w:asciiTheme="majorEastAsia" w:hAnsiTheme="majorEastAsia" w:eastAsiaTheme="majorEastAsia"/>
          <w:sz w:val="32"/>
          <w:szCs w:val="32"/>
        </w:rPr>
        <w:br w:type="textWrapping"/>
      </w:r>
      <w:r>
        <w:rPr>
          <w:rFonts w:asciiTheme="majorEastAsia" w:hAnsiTheme="majorEastAsia" w:eastAsiaTheme="majorEastAsia"/>
          <w:sz w:val="32"/>
          <w:szCs w:val="32"/>
        </w:rPr>
        <w:t>　　（九）承办</w:t>
      </w:r>
      <w:r>
        <w:rPr>
          <w:rFonts w:hint="eastAsia" w:asciiTheme="majorEastAsia" w:hAnsiTheme="majorEastAsia" w:eastAsiaTheme="majorEastAsia"/>
          <w:sz w:val="32"/>
          <w:szCs w:val="32"/>
        </w:rPr>
        <w:t>县委、县政府</w:t>
      </w:r>
      <w:r>
        <w:rPr>
          <w:rFonts w:asciiTheme="majorEastAsia" w:hAnsiTheme="majorEastAsia" w:eastAsiaTheme="majorEastAsia"/>
          <w:sz w:val="32"/>
          <w:szCs w:val="32"/>
        </w:rPr>
        <w:t>及行政主管部门交办的其他工作</w:t>
      </w:r>
      <w:r>
        <w:rPr>
          <w:rFonts w:hint="eastAsia" w:asciiTheme="majorEastAsia" w:hAnsiTheme="majorEastAsia" w:eastAsiaTheme="majorEastAsia"/>
          <w:sz w:val="32"/>
          <w:szCs w:val="32"/>
        </w:rPr>
        <w:t>。</w:t>
      </w:r>
    </w:p>
    <w:p>
      <w:pPr>
        <w:ind w:firstLine="640" w:firstLineChars="200"/>
        <w:outlineLvl w:val="1"/>
        <w:rPr>
          <w:rFonts w:cs="宋体" w:asciiTheme="majorEastAsia" w:hAnsiTheme="majorEastAsia" w:eastAsiaTheme="majorEastAsia"/>
          <w:bCs/>
          <w:kern w:val="0"/>
          <w:sz w:val="32"/>
          <w:szCs w:val="32"/>
        </w:rPr>
      </w:pPr>
      <w:r>
        <w:rPr>
          <w:rFonts w:hint="eastAsia" w:cs="宋体" w:asciiTheme="majorEastAsia" w:hAnsiTheme="majorEastAsia" w:eastAsiaTheme="majorEastAsia"/>
          <w:bCs/>
          <w:kern w:val="0"/>
          <w:sz w:val="32"/>
          <w:szCs w:val="32"/>
        </w:rPr>
        <w:t>二、机构设置及</w:t>
      </w:r>
      <w:bookmarkEnd w:id="4"/>
      <w:r>
        <w:rPr>
          <w:rFonts w:hint="eastAsia" w:cs="宋体" w:asciiTheme="majorEastAsia" w:hAnsiTheme="majorEastAsia" w:eastAsiaTheme="majorEastAsia"/>
          <w:bCs/>
          <w:kern w:val="0"/>
          <w:sz w:val="32"/>
          <w:szCs w:val="32"/>
        </w:rPr>
        <w:t>人员情况</w:t>
      </w:r>
      <w:bookmarkEnd w:id="5"/>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新疆喀什地区疏附县乌帕尔镇中心幼儿园</w:t>
      </w:r>
      <w:r>
        <w:rPr>
          <w:rFonts w:asciiTheme="majorEastAsia" w:hAnsiTheme="majorEastAsia" w:eastAsiaTheme="majorEastAsia"/>
          <w:sz w:val="32"/>
          <w:szCs w:val="32"/>
        </w:rPr>
        <w:t>2022</w:t>
      </w:r>
      <w:r>
        <w:rPr>
          <w:rFonts w:hint="eastAsia" w:asciiTheme="majorEastAsia" w:hAnsiTheme="majorEastAsia" w:eastAsiaTheme="majorEastAsia"/>
          <w:sz w:val="32"/>
          <w:szCs w:val="32"/>
        </w:rPr>
        <w:t>年度，实有人数</w:t>
      </w:r>
      <w:r>
        <w:rPr>
          <w:rFonts w:asciiTheme="majorEastAsia" w:hAnsiTheme="majorEastAsia" w:eastAsiaTheme="majorEastAsia"/>
          <w:sz w:val="32"/>
          <w:szCs w:val="32"/>
        </w:rPr>
        <w:t>130</w:t>
      </w:r>
      <w:r>
        <w:rPr>
          <w:rFonts w:hint="eastAsia" w:asciiTheme="majorEastAsia" w:hAnsiTheme="majorEastAsia" w:eastAsiaTheme="majorEastAsia"/>
          <w:sz w:val="32"/>
          <w:szCs w:val="32"/>
        </w:rPr>
        <w:t>人，其中：在职人员</w:t>
      </w:r>
      <w:r>
        <w:rPr>
          <w:rFonts w:asciiTheme="majorEastAsia" w:hAnsiTheme="majorEastAsia" w:eastAsiaTheme="majorEastAsia"/>
          <w:sz w:val="32"/>
          <w:szCs w:val="32"/>
        </w:rPr>
        <w:t>129</w:t>
      </w:r>
      <w:r>
        <w:rPr>
          <w:rFonts w:hint="eastAsia" w:asciiTheme="majorEastAsia" w:hAnsiTheme="majorEastAsia" w:eastAsiaTheme="majorEastAsia"/>
          <w:sz w:val="32"/>
          <w:szCs w:val="32"/>
        </w:rPr>
        <w:t>人，离休人员</w:t>
      </w:r>
      <w:r>
        <w:rPr>
          <w:rFonts w:asciiTheme="majorEastAsia" w:hAnsiTheme="majorEastAsia" w:eastAsiaTheme="majorEastAsia"/>
          <w:sz w:val="32"/>
          <w:szCs w:val="32"/>
        </w:rPr>
        <w:t>0</w:t>
      </w:r>
      <w:r>
        <w:rPr>
          <w:rFonts w:hint="eastAsia" w:asciiTheme="majorEastAsia" w:hAnsiTheme="majorEastAsia" w:eastAsiaTheme="majorEastAsia"/>
          <w:sz w:val="32"/>
          <w:szCs w:val="32"/>
        </w:rPr>
        <w:t>人，退休人员</w:t>
      </w:r>
      <w:r>
        <w:rPr>
          <w:rFonts w:asciiTheme="majorEastAsia" w:hAnsiTheme="majorEastAsia" w:eastAsiaTheme="majorEastAsia"/>
          <w:sz w:val="32"/>
          <w:szCs w:val="32"/>
        </w:rPr>
        <w:t>1</w:t>
      </w:r>
      <w:r>
        <w:rPr>
          <w:rFonts w:hint="eastAsia" w:asciiTheme="majorEastAsia" w:hAnsiTheme="majorEastAsia" w:eastAsiaTheme="majorEastAsia"/>
          <w:sz w:val="32"/>
          <w:szCs w:val="32"/>
        </w:rPr>
        <w:t>人。</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从部门决算单位构成看，新疆喀什地区疏附县乌帕尔镇中心幼儿园部门决算包括：新疆喀什地区疏附县乌帕尔镇中心幼儿园决算。</w:t>
      </w:r>
      <w:r>
        <w:rPr>
          <w:rFonts w:hint="eastAsia" w:cs="宋体" w:asciiTheme="majorEastAsia" w:hAnsiTheme="majorEastAsia" w:eastAsiaTheme="majorEastAsia"/>
          <w:bCs/>
          <w:kern w:val="0"/>
          <w:sz w:val="32"/>
          <w:szCs w:val="32"/>
        </w:rPr>
        <w:t>单位无下属预算单位，下设</w:t>
      </w:r>
      <w:r>
        <w:rPr>
          <w:rFonts w:hint="eastAsia" w:asciiTheme="majorEastAsia" w:hAnsiTheme="majorEastAsia" w:eastAsiaTheme="majorEastAsia"/>
          <w:sz w:val="32"/>
          <w:szCs w:val="32"/>
        </w:rPr>
        <w:t>6</w:t>
      </w:r>
      <w:r>
        <w:rPr>
          <w:rFonts w:hint="eastAsia" w:cs="宋体" w:asciiTheme="majorEastAsia" w:hAnsiTheme="majorEastAsia" w:eastAsiaTheme="majorEastAsia"/>
          <w:bCs/>
          <w:kern w:val="0"/>
          <w:sz w:val="32"/>
          <w:szCs w:val="32"/>
        </w:rPr>
        <w:t>个处室，分别是：书记办公室、园长办公室、行政办公室、党建办公室、教务办公室、财务办公室</w:t>
      </w:r>
      <w:r>
        <w:rPr>
          <w:rFonts w:hint="eastAsia" w:cs="宋体" w:asciiTheme="majorEastAsia" w:hAnsiTheme="majorEastAsia" w:eastAsiaTheme="majorEastAsia"/>
          <w:kern w:val="0"/>
          <w:sz w:val="32"/>
          <w:szCs w:val="32"/>
        </w:rPr>
        <w:t>。</w:t>
      </w:r>
    </w:p>
    <w:p>
      <w:pPr>
        <w:ind w:firstLine="640" w:firstLineChars="200"/>
        <w:jc w:val="center"/>
        <w:outlineLvl w:val="0"/>
        <w:rPr>
          <w:rFonts w:asciiTheme="majorEastAsia" w:hAnsiTheme="majorEastAsia" w:eastAsiaTheme="majorEastAsia"/>
          <w:sz w:val="32"/>
          <w:szCs w:val="32"/>
        </w:rPr>
      </w:pPr>
      <w:bookmarkStart w:id="6" w:name="_Toc29374"/>
      <w:bookmarkStart w:id="7" w:name="_Toc3092"/>
      <w:r>
        <w:rPr>
          <w:rFonts w:hint="eastAsia" w:asciiTheme="majorEastAsia" w:hAnsiTheme="majorEastAsia" w:eastAsiaTheme="majorEastAsia"/>
          <w:sz w:val="32"/>
          <w:szCs w:val="32"/>
        </w:rPr>
        <w:br w:type="page"/>
      </w:r>
      <w:r>
        <w:rPr>
          <w:rFonts w:hint="eastAsia" w:asciiTheme="majorEastAsia" w:hAnsiTheme="majorEastAsia" w:eastAsiaTheme="majorEastAsia"/>
          <w:sz w:val="32"/>
          <w:szCs w:val="32"/>
        </w:rPr>
        <w:t>第二部分 部门决算情况说明</w:t>
      </w:r>
      <w:bookmarkEnd w:id="6"/>
      <w:bookmarkEnd w:id="7"/>
    </w:p>
    <w:p>
      <w:pPr>
        <w:ind w:firstLine="640" w:firstLineChars="200"/>
        <w:outlineLvl w:val="1"/>
        <w:rPr>
          <w:rFonts w:cs="宋体" w:asciiTheme="majorEastAsia" w:hAnsiTheme="majorEastAsia" w:eastAsiaTheme="majorEastAsia"/>
          <w:bCs/>
          <w:kern w:val="0"/>
          <w:sz w:val="32"/>
          <w:szCs w:val="32"/>
        </w:rPr>
      </w:pPr>
      <w:bookmarkStart w:id="8" w:name="_Toc12566"/>
      <w:bookmarkStart w:id="9" w:name="_Toc25314"/>
      <w:r>
        <w:rPr>
          <w:rFonts w:hint="eastAsia" w:cs="宋体" w:asciiTheme="majorEastAsia" w:hAnsiTheme="majorEastAsia" w:eastAsiaTheme="majorEastAsia"/>
          <w:bCs/>
          <w:kern w:val="0"/>
          <w:sz w:val="32"/>
          <w:szCs w:val="32"/>
        </w:rPr>
        <w:t>一、收入支出决算总体情况说明</w:t>
      </w:r>
      <w:bookmarkEnd w:id="8"/>
      <w:bookmarkEnd w:id="9"/>
    </w:p>
    <w:p>
      <w:pPr>
        <w:ind w:firstLine="640" w:firstLineChars="200"/>
        <w:rPr>
          <w:rFonts w:asciiTheme="majorEastAsia" w:hAnsiTheme="majorEastAsia" w:eastAsiaTheme="majorEastAsia"/>
          <w:sz w:val="32"/>
          <w:szCs w:val="32"/>
        </w:rPr>
      </w:pPr>
      <w:r>
        <w:rPr>
          <w:rFonts w:asciiTheme="majorEastAsia" w:hAnsiTheme="majorEastAsia" w:eastAsiaTheme="majorEastAsia"/>
          <w:sz w:val="32"/>
          <w:szCs w:val="32"/>
        </w:rPr>
        <w:t>2022</w:t>
      </w:r>
      <w:r>
        <w:rPr>
          <w:rFonts w:hint="eastAsia" w:asciiTheme="majorEastAsia" w:hAnsiTheme="majorEastAsia" w:eastAsiaTheme="majorEastAsia"/>
          <w:sz w:val="32"/>
          <w:szCs w:val="32"/>
        </w:rPr>
        <w:t>年度收入总计2,256.05万元，其中：本年收入合计</w:t>
      </w:r>
      <w:r>
        <w:rPr>
          <w:rFonts w:asciiTheme="majorEastAsia" w:hAnsiTheme="majorEastAsia" w:eastAsiaTheme="majorEastAsia"/>
          <w:sz w:val="32"/>
          <w:szCs w:val="32"/>
        </w:rPr>
        <w:t>2,252.62</w:t>
      </w:r>
      <w:r>
        <w:rPr>
          <w:rFonts w:hint="eastAsia" w:asciiTheme="majorEastAsia" w:hAnsiTheme="majorEastAsia" w:eastAsiaTheme="majorEastAsia"/>
          <w:sz w:val="32"/>
          <w:szCs w:val="32"/>
        </w:rPr>
        <w:t>万元，使用非财政拨款结余0.00万元，年初结转和结余3.43万元。收入总计与上年相比，减少218.67万元，</w:t>
      </w:r>
      <w:r>
        <w:rPr>
          <w:rFonts w:asciiTheme="majorEastAsia" w:hAnsiTheme="majorEastAsia" w:eastAsiaTheme="majorEastAsia"/>
          <w:sz w:val="32"/>
          <w:szCs w:val="32"/>
        </w:rPr>
        <w:t>下降8.84</w:t>
      </w:r>
      <w:r>
        <w:rPr>
          <w:rFonts w:hint="eastAsia" w:asciiTheme="majorEastAsia" w:hAnsiTheme="majorEastAsia" w:eastAsiaTheme="majorEastAsia"/>
          <w:sz w:val="32"/>
          <w:szCs w:val="32"/>
        </w:rPr>
        <w:t>%，主要原因是：在园应入尽入幼儿人数减少，相应的公用经费、伙食费减少。</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本年支出总计2,256.05万元，其中：本年支出合计</w:t>
      </w:r>
      <w:r>
        <w:rPr>
          <w:rFonts w:asciiTheme="majorEastAsia" w:hAnsiTheme="majorEastAsia" w:eastAsiaTheme="majorEastAsia"/>
          <w:sz w:val="32"/>
          <w:szCs w:val="32"/>
        </w:rPr>
        <w:t>2,256.05</w:t>
      </w:r>
      <w:r>
        <w:rPr>
          <w:rFonts w:hint="eastAsia" w:asciiTheme="majorEastAsia" w:hAnsiTheme="majorEastAsia" w:eastAsiaTheme="majorEastAsia"/>
          <w:sz w:val="32"/>
          <w:szCs w:val="32"/>
        </w:rPr>
        <w:t>万元，结余分配0.00万元，年末结转和结余0.00万元。支出总计与上年相比，</w:t>
      </w:r>
      <w:r>
        <w:rPr>
          <w:rFonts w:asciiTheme="majorEastAsia" w:hAnsiTheme="majorEastAsia" w:eastAsiaTheme="majorEastAsia"/>
          <w:sz w:val="32"/>
          <w:szCs w:val="32"/>
        </w:rPr>
        <w:t>减少218.67</w:t>
      </w:r>
      <w:r>
        <w:rPr>
          <w:rFonts w:hint="eastAsia" w:asciiTheme="majorEastAsia" w:hAnsiTheme="majorEastAsia" w:eastAsiaTheme="majorEastAsia"/>
          <w:sz w:val="32"/>
          <w:szCs w:val="32"/>
        </w:rPr>
        <w:t>万元，</w:t>
      </w:r>
      <w:r>
        <w:rPr>
          <w:rFonts w:asciiTheme="majorEastAsia" w:hAnsiTheme="majorEastAsia" w:eastAsiaTheme="majorEastAsia"/>
          <w:sz w:val="32"/>
          <w:szCs w:val="32"/>
        </w:rPr>
        <w:t>下降8.84</w:t>
      </w:r>
      <w:r>
        <w:rPr>
          <w:rFonts w:hint="eastAsia" w:asciiTheme="majorEastAsia" w:hAnsiTheme="majorEastAsia" w:eastAsiaTheme="majorEastAsia"/>
          <w:sz w:val="32"/>
          <w:szCs w:val="32"/>
        </w:rPr>
        <w:t>%，主要原因是：在园应入尽入幼儿人数减少，相应的公用经费、伙食费减少。</w:t>
      </w:r>
    </w:p>
    <w:p>
      <w:pPr>
        <w:ind w:firstLine="640" w:firstLineChars="200"/>
        <w:outlineLvl w:val="1"/>
        <w:rPr>
          <w:rFonts w:cs="宋体" w:asciiTheme="majorEastAsia" w:hAnsiTheme="majorEastAsia" w:eastAsiaTheme="majorEastAsia"/>
          <w:bCs/>
          <w:kern w:val="0"/>
          <w:sz w:val="32"/>
          <w:szCs w:val="32"/>
        </w:rPr>
      </w:pPr>
      <w:bookmarkStart w:id="10" w:name="_Toc1979"/>
      <w:bookmarkStart w:id="11" w:name="_Toc12142"/>
      <w:r>
        <w:rPr>
          <w:rFonts w:hint="eastAsia" w:cs="宋体" w:asciiTheme="majorEastAsia" w:hAnsiTheme="majorEastAsia" w:eastAsiaTheme="majorEastAsia"/>
          <w:bCs/>
          <w:kern w:val="0"/>
          <w:sz w:val="32"/>
          <w:szCs w:val="32"/>
        </w:rPr>
        <w:t>二、收入决算情况说明</w:t>
      </w:r>
      <w:bookmarkEnd w:id="10"/>
      <w:bookmarkEnd w:id="11"/>
    </w:p>
    <w:p>
      <w:pPr>
        <w:ind w:firstLine="640" w:firstLineChars="200"/>
        <w:rPr>
          <w:rFonts w:asciiTheme="majorEastAsia" w:hAnsiTheme="majorEastAsia" w:eastAsiaTheme="majorEastAsia"/>
          <w:sz w:val="32"/>
          <w:szCs w:val="32"/>
        </w:rPr>
      </w:pPr>
      <w:r>
        <w:rPr>
          <w:rFonts w:asciiTheme="majorEastAsia" w:hAnsiTheme="majorEastAsia" w:eastAsiaTheme="majorEastAsia"/>
          <w:sz w:val="32"/>
          <w:szCs w:val="32"/>
        </w:rPr>
        <w:t>2022</w:t>
      </w:r>
      <w:r>
        <w:rPr>
          <w:rFonts w:hint="eastAsia" w:asciiTheme="majorEastAsia" w:hAnsiTheme="majorEastAsia" w:eastAsiaTheme="majorEastAsia"/>
          <w:sz w:val="32"/>
          <w:szCs w:val="32"/>
        </w:rPr>
        <w:t>年度本年收入</w:t>
      </w:r>
      <w:r>
        <w:rPr>
          <w:rFonts w:asciiTheme="majorEastAsia" w:hAnsiTheme="majorEastAsia" w:eastAsiaTheme="majorEastAsia"/>
          <w:sz w:val="32"/>
          <w:szCs w:val="32"/>
        </w:rPr>
        <w:t>2,252.62</w:t>
      </w:r>
      <w:r>
        <w:rPr>
          <w:rFonts w:hint="eastAsia" w:asciiTheme="majorEastAsia" w:hAnsiTheme="majorEastAsia" w:eastAsiaTheme="majorEastAsia"/>
          <w:sz w:val="32"/>
          <w:szCs w:val="32"/>
        </w:rPr>
        <w:t>万元，其中：财政拨款收入</w:t>
      </w:r>
      <w:r>
        <w:rPr>
          <w:rFonts w:asciiTheme="majorEastAsia" w:hAnsiTheme="majorEastAsia" w:eastAsiaTheme="majorEastAsia"/>
          <w:sz w:val="32"/>
          <w:szCs w:val="32"/>
        </w:rPr>
        <w:t>2,252.62</w:t>
      </w:r>
      <w:r>
        <w:rPr>
          <w:rFonts w:hint="eastAsia" w:asciiTheme="majorEastAsia" w:hAnsiTheme="majorEastAsia" w:eastAsiaTheme="majorEastAsia"/>
          <w:sz w:val="32"/>
          <w:szCs w:val="32"/>
        </w:rPr>
        <w:t>万元，占100.00%；上级补助收入</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万元，占0.00%；事业收入</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万元，占0.00%；经营收入</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万元，占0.00%；附属单位上缴收入</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万元，占0.00%；其他收入</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万元，占0.00%。</w:t>
      </w:r>
    </w:p>
    <w:p>
      <w:pPr>
        <w:ind w:firstLine="640" w:firstLineChars="200"/>
        <w:outlineLvl w:val="1"/>
        <w:rPr>
          <w:rFonts w:cs="宋体" w:asciiTheme="majorEastAsia" w:hAnsiTheme="majorEastAsia" w:eastAsiaTheme="majorEastAsia"/>
          <w:bCs/>
          <w:kern w:val="0"/>
          <w:sz w:val="32"/>
          <w:szCs w:val="32"/>
        </w:rPr>
      </w:pPr>
      <w:bookmarkStart w:id="12" w:name="_Toc27961"/>
      <w:bookmarkStart w:id="13" w:name="_Toc13201"/>
      <w:r>
        <w:rPr>
          <w:rFonts w:hint="eastAsia" w:cs="宋体" w:asciiTheme="majorEastAsia" w:hAnsiTheme="majorEastAsia" w:eastAsiaTheme="majorEastAsia"/>
          <w:bCs/>
          <w:kern w:val="0"/>
          <w:sz w:val="32"/>
          <w:szCs w:val="32"/>
        </w:rPr>
        <w:t>三、支出决算情况说明</w:t>
      </w:r>
      <w:bookmarkEnd w:id="12"/>
      <w:bookmarkEnd w:id="13"/>
    </w:p>
    <w:p>
      <w:pPr>
        <w:ind w:firstLine="640" w:firstLineChars="200"/>
        <w:rPr>
          <w:rFonts w:asciiTheme="majorEastAsia" w:hAnsiTheme="majorEastAsia" w:eastAsiaTheme="majorEastAsia"/>
          <w:sz w:val="32"/>
          <w:szCs w:val="32"/>
        </w:rPr>
      </w:pPr>
      <w:r>
        <w:rPr>
          <w:rFonts w:asciiTheme="majorEastAsia" w:hAnsiTheme="majorEastAsia" w:eastAsiaTheme="majorEastAsia"/>
          <w:sz w:val="32"/>
          <w:szCs w:val="32"/>
        </w:rPr>
        <w:t>2022</w:t>
      </w:r>
      <w:r>
        <w:rPr>
          <w:rFonts w:hint="eastAsia" w:asciiTheme="majorEastAsia" w:hAnsiTheme="majorEastAsia" w:eastAsiaTheme="majorEastAsia"/>
          <w:sz w:val="32"/>
          <w:szCs w:val="32"/>
        </w:rPr>
        <w:t>年度本年支出2,256.05万元，其中：基本支出</w:t>
      </w:r>
      <w:r>
        <w:rPr>
          <w:rFonts w:asciiTheme="majorEastAsia" w:hAnsiTheme="majorEastAsia" w:eastAsiaTheme="majorEastAsia"/>
          <w:sz w:val="32"/>
          <w:szCs w:val="32"/>
        </w:rPr>
        <w:t>1,681.05</w:t>
      </w:r>
      <w:r>
        <w:rPr>
          <w:rFonts w:hint="eastAsia" w:asciiTheme="majorEastAsia" w:hAnsiTheme="majorEastAsia" w:eastAsiaTheme="majorEastAsia"/>
          <w:sz w:val="32"/>
          <w:szCs w:val="32"/>
        </w:rPr>
        <w:t>万元，占74.51%；项目支出</w:t>
      </w:r>
      <w:r>
        <w:rPr>
          <w:rFonts w:asciiTheme="majorEastAsia" w:hAnsiTheme="majorEastAsia" w:eastAsiaTheme="majorEastAsia"/>
          <w:sz w:val="32"/>
          <w:szCs w:val="32"/>
        </w:rPr>
        <w:t>575.01</w:t>
      </w:r>
      <w:r>
        <w:rPr>
          <w:rFonts w:hint="eastAsia" w:asciiTheme="majorEastAsia" w:hAnsiTheme="majorEastAsia" w:eastAsiaTheme="majorEastAsia"/>
          <w:sz w:val="32"/>
          <w:szCs w:val="32"/>
        </w:rPr>
        <w:t>万元，占25.49%；上缴上级支出</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万元，占0.00%；经营支出</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w:t>
      </w:r>
      <w:r>
        <w:rPr>
          <w:rFonts w:asciiTheme="majorEastAsia" w:hAnsiTheme="majorEastAsia" w:eastAsiaTheme="majorEastAsia"/>
          <w:sz w:val="32"/>
          <w:szCs w:val="32"/>
        </w:rPr>
        <w:t>0.00</w:t>
      </w:r>
      <w:r>
        <w:rPr>
          <w:rFonts w:hint="eastAsia" w:asciiTheme="majorEastAsia" w:hAnsiTheme="majorEastAsia" w:eastAsiaTheme="majorEastAsia"/>
          <w:sz w:val="32"/>
          <w:szCs w:val="32"/>
        </w:rPr>
        <w:t>%；对附属单位补助支出0.00万元，占0.00%。</w:t>
      </w:r>
    </w:p>
    <w:p>
      <w:pPr>
        <w:ind w:firstLine="640" w:firstLineChars="200"/>
        <w:outlineLvl w:val="1"/>
        <w:rPr>
          <w:rFonts w:cs="宋体" w:asciiTheme="majorEastAsia" w:hAnsiTheme="majorEastAsia" w:eastAsiaTheme="majorEastAsia"/>
          <w:bCs/>
          <w:kern w:val="0"/>
          <w:sz w:val="32"/>
          <w:szCs w:val="32"/>
        </w:rPr>
      </w:pPr>
      <w:bookmarkStart w:id="14" w:name="_Toc26564"/>
      <w:bookmarkStart w:id="15" w:name="_Toc4393"/>
      <w:r>
        <w:rPr>
          <w:rFonts w:hint="eastAsia" w:cs="宋体" w:asciiTheme="majorEastAsia" w:hAnsiTheme="majorEastAsia" w:eastAsiaTheme="majorEastAsia"/>
          <w:bCs/>
          <w:kern w:val="0"/>
          <w:sz w:val="32"/>
          <w:szCs w:val="32"/>
        </w:rPr>
        <w:t>四、财政拨款收入支出决算总体情况说明</w:t>
      </w:r>
      <w:bookmarkEnd w:id="14"/>
      <w:bookmarkEnd w:id="15"/>
    </w:p>
    <w:p>
      <w:pPr>
        <w:ind w:firstLine="640" w:firstLineChars="200"/>
        <w:rPr>
          <w:rFonts w:asciiTheme="majorEastAsia" w:hAnsiTheme="majorEastAsia" w:eastAsiaTheme="majorEastAsia"/>
          <w:sz w:val="32"/>
          <w:szCs w:val="32"/>
        </w:rPr>
      </w:pPr>
      <w:r>
        <w:rPr>
          <w:rFonts w:asciiTheme="majorEastAsia" w:hAnsiTheme="majorEastAsia" w:eastAsiaTheme="majorEastAsia"/>
          <w:sz w:val="32"/>
          <w:szCs w:val="32"/>
        </w:rPr>
        <w:t>2022</w:t>
      </w:r>
      <w:r>
        <w:rPr>
          <w:rFonts w:hint="eastAsia" w:asciiTheme="majorEastAsia" w:hAnsiTheme="majorEastAsia" w:eastAsiaTheme="majorEastAsia"/>
          <w:sz w:val="32"/>
          <w:szCs w:val="32"/>
        </w:rPr>
        <w:t>年度财政拨款收入总计2,252.62万元，其中：年初财政拨款结转和结余0.00万元，财政拨款本年收入2,252.62万元。财政拨款收入总计与上年相比，增加193.75万元，增长9.41%，主要原因是：本年教职工工资增加，社保公积金调整增加。</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财政拨款支出总计2,252.62万元，其中：年末财政拨款结转和结余0.00万元，财政拨款本年支出2,252.62万元。财政拨款支出总计与上年相比，增加193.75万元，增长9.41%，主要原因是：本年教职工工资增加，社保公积金调整增加。</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与年初预算数相比情况：财政拨款收入总计年初预算数</w:t>
      </w:r>
      <w:r>
        <w:rPr>
          <w:rFonts w:asciiTheme="majorEastAsia" w:hAnsiTheme="majorEastAsia" w:eastAsiaTheme="majorEastAsia"/>
          <w:sz w:val="32"/>
          <w:szCs w:val="32"/>
        </w:rPr>
        <w:t>1,921.92</w:t>
      </w:r>
      <w:r>
        <w:rPr>
          <w:rFonts w:hint="eastAsia" w:asciiTheme="majorEastAsia" w:hAnsiTheme="majorEastAsia" w:eastAsiaTheme="majorEastAsia"/>
          <w:sz w:val="32"/>
          <w:szCs w:val="32"/>
        </w:rPr>
        <w:t>万元，决算数</w:t>
      </w:r>
      <w:r>
        <w:rPr>
          <w:rFonts w:asciiTheme="majorEastAsia" w:hAnsiTheme="majorEastAsia" w:eastAsiaTheme="majorEastAsia"/>
          <w:sz w:val="32"/>
          <w:szCs w:val="32"/>
        </w:rPr>
        <w:t>2,252.62</w:t>
      </w:r>
      <w:r>
        <w:rPr>
          <w:rFonts w:hint="eastAsia" w:asciiTheme="majorEastAsia" w:hAnsiTheme="majorEastAsia" w:eastAsiaTheme="majorEastAsia"/>
          <w:sz w:val="32"/>
          <w:szCs w:val="32"/>
        </w:rPr>
        <w:t>万元，预决算差异率</w:t>
      </w:r>
      <w:r>
        <w:rPr>
          <w:rFonts w:asciiTheme="majorEastAsia" w:hAnsiTheme="majorEastAsia" w:eastAsiaTheme="majorEastAsia"/>
          <w:sz w:val="32"/>
          <w:szCs w:val="32"/>
        </w:rPr>
        <w:t>17.21</w:t>
      </w:r>
      <w:r>
        <w:rPr>
          <w:rFonts w:hint="eastAsia" w:asciiTheme="majorEastAsia" w:hAnsiTheme="majorEastAsia" w:eastAsiaTheme="majorEastAsia"/>
          <w:sz w:val="32"/>
          <w:szCs w:val="32"/>
        </w:rPr>
        <w:t>%，主要原因是：年中教职工工资增加，追加人员经费。财政拨款支出总计年初预算数</w:t>
      </w:r>
      <w:r>
        <w:rPr>
          <w:rFonts w:asciiTheme="majorEastAsia" w:hAnsiTheme="majorEastAsia" w:eastAsiaTheme="majorEastAsia"/>
          <w:sz w:val="32"/>
          <w:szCs w:val="32"/>
        </w:rPr>
        <w:t>1,921.92</w:t>
      </w:r>
      <w:r>
        <w:rPr>
          <w:rFonts w:hint="eastAsia" w:asciiTheme="majorEastAsia" w:hAnsiTheme="majorEastAsia" w:eastAsiaTheme="majorEastAsia"/>
          <w:sz w:val="32"/>
          <w:szCs w:val="32"/>
        </w:rPr>
        <w:t>万元，决算数</w:t>
      </w:r>
      <w:r>
        <w:rPr>
          <w:rFonts w:asciiTheme="majorEastAsia" w:hAnsiTheme="majorEastAsia" w:eastAsiaTheme="majorEastAsia"/>
          <w:sz w:val="32"/>
          <w:szCs w:val="32"/>
        </w:rPr>
        <w:t>2,252.62</w:t>
      </w:r>
      <w:r>
        <w:rPr>
          <w:rFonts w:hint="eastAsia" w:asciiTheme="majorEastAsia" w:hAnsiTheme="majorEastAsia" w:eastAsiaTheme="majorEastAsia"/>
          <w:sz w:val="32"/>
          <w:szCs w:val="32"/>
        </w:rPr>
        <w:t>万元，预决算差异率17.21%，主要原因是：年中教职工工资增加，追加人员经费。</w:t>
      </w:r>
    </w:p>
    <w:p>
      <w:pPr>
        <w:ind w:firstLine="640" w:firstLineChars="200"/>
        <w:outlineLvl w:val="1"/>
        <w:rPr>
          <w:rFonts w:cs="宋体" w:asciiTheme="majorEastAsia" w:hAnsiTheme="majorEastAsia" w:eastAsiaTheme="majorEastAsia"/>
          <w:bCs/>
          <w:kern w:val="0"/>
          <w:sz w:val="32"/>
          <w:szCs w:val="32"/>
        </w:rPr>
      </w:pPr>
      <w:bookmarkStart w:id="16" w:name="_Toc13833"/>
      <w:bookmarkStart w:id="17" w:name="_Toc20360"/>
      <w:r>
        <w:rPr>
          <w:rFonts w:hint="eastAsia" w:cs="宋体" w:asciiTheme="majorEastAsia" w:hAnsiTheme="majorEastAsia" w:eastAsiaTheme="majorEastAsia"/>
          <w:bCs/>
          <w:kern w:val="0"/>
          <w:sz w:val="32"/>
          <w:szCs w:val="32"/>
        </w:rPr>
        <w:t>五、一般公共预算财政拨款支出决算情况说明</w:t>
      </w:r>
      <w:bookmarkEnd w:id="16"/>
      <w:bookmarkEnd w:id="17"/>
    </w:p>
    <w:p>
      <w:pPr>
        <w:ind w:firstLine="640" w:firstLineChars="200"/>
        <w:outlineLvl w:val="2"/>
        <w:rPr>
          <w:rFonts w:asciiTheme="majorEastAsia" w:hAnsiTheme="majorEastAsia" w:eastAsiaTheme="majorEastAsia"/>
          <w:sz w:val="32"/>
          <w:szCs w:val="32"/>
        </w:rPr>
      </w:pPr>
      <w:r>
        <w:rPr>
          <w:rFonts w:hint="eastAsia" w:asciiTheme="majorEastAsia" w:hAnsiTheme="majorEastAsia" w:eastAsiaTheme="majorEastAsia"/>
          <w:sz w:val="32"/>
          <w:szCs w:val="32"/>
        </w:rPr>
        <w:t>（一）一般公共预算财政拨款支出决算总体情况</w:t>
      </w:r>
    </w:p>
    <w:p>
      <w:pPr>
        <w:spacing w:line="600" w:lineRule="exact"/>
        <w:ind w:firstLine="640" w:firstLineChars="200"/>
        <w:rPr>
          <w:rFonts w:asciiTheme="majorEastAsia" w:hAnsiTheme="majorEastAsia" w:eastAsiaTheme="majorEastAsia"/>
          <w:sz w:val="32"/>
          <w:szCs w:val="32"/>
        </w:rPr>
      </w:pPr>
      <w:r>
        <w:rPr>
          <w:rFonts w:asciiTheme="majorEastAsia" w:hAnsiTheme="majorEastAsia" w:eastAsiaTheme="majorEastAsia"/>
          <w:sz w:val="32"/>
          <w:szCs w:val="32"/>
        </w:rPr>
        <w:t>2022</w:t>
      </w:r>
      <w:r>
        <w:rPr>
          <w:rFonts w:hint="eastAsia" w:asciiTheme="majorEastAsia" w:hAnsiTheme="majorEastAsia" w:eastAsiaTheme="majorEastAsia"/>
          <w:sz w:val="32"/>
          <w:szCs w:val="32"/>
        </w:rPr>
        <w:t>年度一般公共预算财政拨款支出2,252.62万元，占本年支出合计的</w:t>
      </w:r>
      <w:r>
        <w:rPr>
          <w:rFonts w:asciiTheme="majorEastAsia" w:hAnsiTheme="majorEastAsia" w:eastAsiaTheme="majorEastAsia"/>
          <w:sz w:val="32"/>
          <w:szCs w:val="32"/>
        </w:rPr>
        <w:t>99.85</w:t>
      </w:r>
      <w:r>
        <w:rPr>
          <w:rFonts w:hint="eastAsia" w:asciiTheme="majorEastAsia" w:hAnsiTheme="majorEastAsia" w:eastAsiaTheme="majorEastAsia"/>
          <w:sz w:val="32"/>
          <w:szCs w:val="32"/>
        </w:rPr>
        <w:t>%，与上年相比，</w:t>
      </w:r>
      <w:r>
        <w:rPr>
          <w:rFonts w:asciiTheme="majorEastAsia" w:hAnsiTheme="majorEastAsia" w:eastAsiaTheme="majorEastAsia"/>
          <w:sz w:val="32"/>
          <w:szCs w:val="32"/>
        </w:rPr>
        <w:t>增加193.75</w:t>
      </w:r>
      <w:r>
        <w:rPr>
          <w:rFonts w:hint="eastAsia" w:asciiTheme="majorEastAsia" w:hAnsiTheme="majorEastAsia" w:eastAsiaTheme="majorEastAsia"/>
          <w:sz w:val="32"/>
          <w:szCs w:val="32"/>
        </w:rPr>
        <w:t>万元，</w:t>
      </w:r>
      <w:r>
        <w:rPr>
          <w:rFonts w:asciiTheme="majorEastAsia" w:hAnsiTheme="majorEastAsia" w:eastAsiaTheme="majorEastAsia"/>
          <w:sz w:val="32"/>
          <w:szCs w:val="32"/>
        </w:rPr>
        <w:t>增长9.41</w:t>
      </w:r>
      <w:r>
        <w:rPr>
          <w:rFonts w:hint="eastAsia" w:asciiTheme="majorEastAsia" w:hAnsiTheme="majorEastAsia" w:eastAsiaTheme="majorEastAsia"/>
          <w:sz w:val="32"/>
          <w:szCs w:val="32"/>
        </w:rPr>
        <w:t>%，主要原因是：本年教职工工资增加，社保公积金调整增加。</w:t>
      </w:r>
    </w:p>
    <w:p>
      <w:pPr>
        <w:ind w:firstLine="640" w:firstLineChars="200"/>
        <w:outlineLvl w:val="2"/>
        <w:rPr>
          <w:rFonts w:asciiTheme="majorEastAsia" w:hAnsiTheme="majorEastAsia" w:eastAsiaTheme="majorEastAsia"/>
          <w:sz w:val="32"/>
          <w:szCs w:val="32"/>
        </w:rPr>
      </w:pPr>
      <w:r>
        <w:rPr>
          <w:rFonts w:hint="eastAsia" w:asciiTheme="majorEastAsia" w:hAnsiTheme="majorEastAsia" w:eastAsiaTheme="majorEastAsia"/>
          <w:sz w:val="32"/>
          <w:szCs w:val="32"/>
        </w:rPr>
        <w:t>（二）一般公共预算财政拨款支出决算结构情况</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1.教育支出(类)2,252.62万元,占100.00%。</w:t>
      </w:r>
    </w:p>
    <w:p>
      <w:pPr>
        <w:ind w:firstLine="640" w:firstLineChars="200"/>
        <w:outlineLvl w:val="2"/>
        <w:rPr>
          <w:rFonts w:asciiTheme="majorEastAsia" w:hAnsiTheme="majorEastAsia" w:eastAsiaTheme="majorEastAsia"/>
          <w:sz w:val="32"/>
          <w:szCs w:val="32"/>
        </w:rPr>
      </w:pPr>
      <w:r>
        <w:rPr>
          <w:rFonts w:hint="eastAsia" w:asciiTheme="majorEastAsia" w:hAnsiTheme="majorEastAsia" w:eastAsiaTheme="majorEastAsia"/>
          <w:sz w:val="32"/>
          <w:szCs w:val="32"/>
        </w:rPr>
        <w:t>（三）一般公共预算财政拨款支出决算具体情况</w:t>
      </w:r>
    </w:p>
    <w:p>
      <w:pPr>
        <w:ind w:firstLine="640" w:firstLineChars="200"/>
        <w:rPr>
          <w:rFonts w:asciiTheme="majorEastAsia" w:hAnsiTheme="majorEastAsia" w:eastAsiaTheme="majorEastAsia"/>
          <w:b/>
          <w:bCs/>
          <w:sz w:val="32"/>
          <w:szCs w:val="32"/>
          <w:highlight w:val="yellow"/>
        </w:rPr>
      </w:pPr>
      <w:r>
        <w:rPr>
          <w:rFonts w:hint="eastAsia" w:asciiTheme="majorEastAsia" w:hAnsiTheme="majorEastAsia" w:eastAsiaTheme="majorEastAsia"/>
          <w:sz w:val="32"/>
          <w:szCs w:val="32"/>
        </w:rPr>
        <w:t>1.教育支出(类)普通教育(款)学前教育(项):支出决算数为1,681.05万元，比上年决算增加288.81万元，增长20.74%</w:t>
      </w:r>
      <w:r>
        <w:rPr>
          <w:rFonts w:asciiTheme="majorEastAsia" w:hAnsiTheme="majorEastAsia" w:eastAsiaTheme="majorEastAsia"/>
          <w:sz w:val="32"/>
          <w:szCs w:val="32"/>
        </w:rPr>
        <w:t>,</w:t>
      </w:r>
      <w:r>
        <w:rPr>
          <w:rFonts w:hint="eastAsia" w:asciiTheme="majorEastAsia" w:hAnsiTheme="majorEastAsia" w:eastAsiaTheme="majorEastAsia"/>
          <w:sz w:val="32"/>
          <w:szCs w:val="32"/>
        </w:rPr>
        <w:t>主要原因是:本年教职工工资增加，社保公积金调整增加。</w:t>
      </w:r>
    </w:p>
    <w:p>
      <w:pPr>
        <w:ind w:firstLine="640" w:firstLineChars="200"/>
        <w:outlineLvl w:val="1"/>
        <w:rPr>
          <w:rFonts w:cs="宋体" w:asciiTheme="majorEastAsia" w:hAnsiTheme="majorEastAsia" w:eastAsiaTheme="majorEastAsia"/>
          <w:bCs/>
          <w:kern w:val="0"/>
          <w:sz w:val="32"/>
          <w:szCs w:val="32"/>
        </w:rPr>
      </w:pPr>
      <w:bookmarkStart w:id="18" w:name="_Toc30870"/>
      <w:bookmarkStart w:id="19" w:name="_Toc11146"/>
      <w:r>
        <w:rPr>
          <w:rFonts w:hint="eastAsia" w:asciiTheme="majorEastAsia" w:hAnsiTheme="majorEastAsia" w:eastAsiaTheme="majorEastAsia"/>
          <w:sz w:val="32"/>
          <w:szCs w:val="32"/>
        </w:rPr>
        <w:t>2.教育支出(类)普通教育(款)其他普通教育支出(项):支出决算数为571.57万元，比上年决算减少95.06万元，下降14.26%</w:t>
      </w:r>
      <w:r>
        <w:rPr>
          <w:rFonts w:asciiTheme="majorEastAsia" w:hAnsiTheme="majorEastAsia" w:eastAsiaTheme="majorEastAsia"/>
          <w:sz w:val="32"/>
          <w:szCs w:val="32"/>
        </w:rPr>
        <w:t>,</w:t>
      </w:r>
      <w:r>
        <w:rPr>
          <w:rFonts w:hint="eastAsia" w:asciiTheme="majorEastAsia" w:hAnsiTheme="majorEastAsia" w:eastAsiaTheme="majorEastAsia"/>
          <w:sz w:val="32"/>
          <w:szCs w:val="32"/>
        </w:rPr>
        <w:t>主要原因是:本年幼儿人数减少，幼儿伙食补助、公用经费减少。</w:t>
      </w:r>
    </w:p>
    <w:p>
      <w:pPr>
        <w:ind w:firstLine="640" w:firstLineChars="200"/>
        <w:outlineLvl w:val="1"/>
        <w:rPr>
          <w:rFonts w:cs="宋体" w:asciiTheme="majorEastAsia" w:hAnsiTheme="majorEastAsia" w:eastAsiaTheme="majorEastAsia"/>
          <w:bCs/>
          <w:kern w:val="0"/>
          <w:sz w:val="32"/>
          <w:szCs w:val="32"/>
        </w:rPr>
      </w:pPr>
      <w:r>
        <w:rPr>
          <w:rFonts w:hint="eastAsia" w:cs="宋体" w:asciiTheme="majorEastAsia" w:hAnsiTheme="majorEastAsia" w:eastAsiaTheme="majorEastAsia"/>
          <w:bCs/>
          <w:kern w:val="0"/>
          <w:sz w:val="32"/>
          <w:szCs w:val="32"/>
        </w:rPr>
        <w:t>六、一般公共预算财政拨款基本支出决算情况说明</w:t>
      </w:r>
      <w:bookmarkEnd w:id="18"/>
      <w:bookmarkEnd w:id="19"/>
    </w:p>
    <w:p>
      <w:pPr>
        <w:ind w:firstLine="640" w:firstLineChars="200"/>
        <w:rPr>
          <w:rFonts w:asciiTheme="majorEastAsia" w:hAnsiTheme="majorEastAsia" w:eastAsiaTheme="majorEastAsia"/>
          <w:sz w:val="32"/>
          <w:szCs w:val="32"/>
        </w:rPr>
      </w:pPr>
      <w:r>
        <w:rPr>
          <w:rFonts w:asciiTheme="majorEastAsia" w:hAnsiTheme="majorEastAsia" w:eastAsiaTheme="majorEastAsia"/>
          <w:sz w:val="32"/>
          <w:szCs w:val="32"/>
        </w:rPr>
        <w:t>2022</w:t>
      </w:r>
      <w:r>
        <w:rPr>
          <w:rFonts w:hint="eastAsia" w:asciiTheme="majorEastAsia" w:hAnsiTheme="majorEastAsia" w:eastAsiaTheme="majorEastAsia"/>
          <w:sz w:val="32"/>
          <w:szCs w:val="32"/>
        </w:rPr>
        <w:t>年度一般公共预算财政拨款基本支出</w:t>
      </w:r>
      <w:r>
        <w:rPr>
          <w:rFonts w:asciiTheme="majorEastAsia" w:hAnsiTheme="majorEastAsia" w:eastAsiaTheme="majorEastAsia"/>
          <w:sz w:val="32"/>
          <w:szCs w:val="32"/>
        </w:rPr>
        <w:t>1,681.05</w:t>
      </w:r>
      <w:r>
        <w:rPr>
          <w:rFonts w:hint="eastAsia" w:asciiTheme="majorEastAsia" w:hAnsiTheme="majorEastAsia" w:eastAsiaTheme="majorEastAsia"/>
          <w:sz w:val="32"/>
          <w:szCs w:val="32"/>
        </w:rPr>
        <w:t>万元，其中：</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人员经费</w:t>
      </w:r>
      <w:r>
        <w:rPr>
          <w:rFonts w:asciiTheme="majorEastAsia" w:hAnsiTheme="majorEastAsia" w:eastAsiaTheme="majorEastAsia"/>
          <w:sz w:val="32"/>
          <w:szCs w:val="32"/>
        </w:rPr>
        <w:t>1,681.05</w:t>
      </w:r>
      <w:r>
        <w:rPr>
          <w:rFonts w:hint="eastAsia" w:asciiTheme="majorEastAsia" w:hAnsiTheme="majorEastAsia" w:eastAsiaTheme="majorEastAsia"/>
          <w:sz w:val="32"/>
          <w:szCs w:val="32"/>
        </w:rPr>
        <w:t>万元，包括：基本工资、津贴补贴、奖金、绩效工资、机关事业单位基本养老保险缴费、职工基本医疗保险缴费、其他社会保障缴费、住房公积金、其他工资福利支出、退休费。</w:t>
      </w:r>
    </w:p>
    <w:p>
      <w:pPr>
        <w:ind w:firstLine="640" w:firstLineChars="200"/>
        <w:rPr>
          <w:rFonts w:cs="宋体" w:asciiTheme="majorEastAsia" w:hAnsiTheme="majorEastAsia" w:eastAsiaTheme="majorEastAsia"/>
          <w:kern w:val="0"/>
          <w:sz w:val="32"/>
          <w:szCs w:val="32"/>
        </w:rPr>
      </w:pPr>
      <w:r>
        <w:rPr>
          <w:rFonts w:hint="eastAsia" w:asciiTheme="majorEastAsia" w:hAnsiTheme="majorEastAsia" w:eastAsiaTheme="majorEastAsia"/>
          <w:sz w:val="32"/>
          <w:szCs w:val="32"/>
        </w:rPr>
        <w:t>公用经费0.00万元，包括：无公用经费。</w:t>
      </w:r>
    </w:p>
    <w:p>
      <w:pPr>
        <w:ind w:firstLine="640" w:firstLineChars="200"/>
        <w:outlineLvl w:val="1"/>
        <w:rPr>
          <w:rFonts w:cs="宋体" w:asciiTheme="majorEastAsia" w:hAnsiTheme="majorEastAsia" w:eastAsiaTheme="majorEastAsia"/>
          <w:bCs/>
          <w:kern w:val="0"/>
          <w:sz w:val="32"/>
          <w:szCs w:val="32"/>
        </w:rPr>
      </w:pPr>
      <w:bookmarkStart w:id="20" w:name="_Toc21518"/>
      <w:bookmarkStart w:id="21" w:name="_Toc7190"/>
      <w:r>
        <w:rPr>
          <w:rFonts w:hint="eastAsia" w:cs="宋体" w:asciiTheme="majorEastAsia" w:hAnsiTheme="majorEastAsia" w:eastAsiaTheme="majorEastAsia"/>
          <w:bCs/>
          <w:kern w:val="0"/>
          <w:sz w:val="32"/>
          <w:szCs w:val="32"/>
        </w:rPr>
        <w:t>七、财政拨款“三公”经费支出决算情况说明</w:t>
      </w:r>
      <w:bookmarkEnd w:id="20"/>
      <w:bookmarkEnd w:id="21"/>
    </w:p>
    <w:p>
      <w:pPr>
        <w:ind w:firstLine="640" w:firstLineChars="200"/>
        <w:rPr>
          <w:rFonts w:asciiTheme="majorEastAsia" w:hAnsiTheme="majorEastAsia" w:eastAsiaTheme="majorEastAsia"/>
          <w:sz w:val="32"/>
          <w:szCs w:val="32"/>
        </w:rPr>
      </w:pPr>
      <w:r>
        <w:rPr>
          <w:rFonts w:asciiTheme="majorEastAsia" w:hAnsiTheme="majorEastAsia" w:eastAsiaTheme="majorEastAsia"/>
          <w:sz w:val="32"/>
          <w:szCs w:val="32"/>
        </w:rPr>
        <w:t>2022</w:t>
      </w:r>
      <w:r>
        <w:rPr>
          <w:rFonts w:hint="eastAsia" w:asciiTheme="majorEastAsia" w:hAnsiTheme="majorEastAsia" w:eastAsiaTheme="majorEastAsia"/>
          <w:sz w:val="32"/>
          <w:szCs w:val="32"/>
        </w:rPr>
        <w:t>年度财政拨款“三公”经费支出决算</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万元，比上年</w:t>
      </w:r>
      <w:r>
        <w:rPr>
          <w:rFonts w:asciiTheme="majorEastAsia" w:hAnsiTheme="majorEastAsia" w:eastAsiaTheme="majorEastAsia"/>
          <w:sz w:val="32"/>
          <w:szCs w:val="32"/>
        </w:rPr>
        <w:t>增加0.00</w:t>
      </w:r>
      <w:r>
        <w:rPr>
          <w:rFonts w:hint="eastAsia" w:asciiTheme="majorEastAsia" w:hAnsiTheme="majorEastAsia" w:eastAsiaTheme="majorEastAsia"/>
          <w:sz w:val="32"/>
          <w:szCs w:val="32"/>
        </w:rPr>
        <w:t>万元，</w:t>
      </w:r>
      <w:r>
        <w:rPr>
          <w:rFonts w:asciiTheme="majorEastAsia" w:hAnsiTheme="majorEastAsia" w:eastAsiaTheme="majorEastAsia"/>
          <w:sz w:val="32"/>
          <w:szCs w:val="32"/>
        </w:rPr>
        <w:t>增长0.00</w:t>
      </w:r>
      <w:r>
        <w:rPr>
          <w:rFonts w:hint="eastAsia" w:asciiTheme="majorEastAsia" w:hAnsiTheme="majorEastAsia" w:eastAsiaTheme="majorEastAsia"/>
          <w:sz w:val="32"/>
          <w:szCs w:val="32"/>
        </w:rPr>
        <w:t>%，主要原因是：</w:t>
      </w:r>
      <w:r>
        <w:rPr>
          <w:rFonts w:asciiTheme="majorEastAsia" w:hAnsiTheme="majorEastAsia" w:eastAsiaTheme="majorEastAsia"/>
          <w:sz w:val="32"/>
          <w:szCs w:val="32"/>
        </w:rPr>
        <w:t>我单位无财政拨款“三公”经费支出</w:t>
      </w:r>
      <w:r>
        <w:rPr>
          <w:rFonts w:hint="eastAsia" w:asciiTheme="majorEastAsia" w:hAnsiTheme="majorEastAsia" w:eastAsiaTheme="majorEastAsia"/>
          <w:sz w:val="32"/>
          <w:szCs w:val="32"/>
        </w:rPr>
        <w:t>。其中：因公出国（境）费支出</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w:t>
      </w:r>
      <w:r>
        <w:rPr>
          <w:rFonts w:asciiTheme="majorEastAsia" w:hAnsiTheme="majorEastAsia" w:eastAsiaTheme="majorEastAsia"/>
          <w:sz w:val="32"/>
          <w:szCs w:val="32"/>
        </w:rPr>
        <w:t>0.00</w:t>
      </w:r>
      <w:r>
        <w:rPr>
          <w:rFonts w:hint="eastAsia" w:asciiTheme="majorEastAsia" w:hAnsiTheme="majorEastAsia" w:eastAsiaTheme="majorEastAsia"/>
          <w:sz w:val="32"/>
          <w:szCs w:val="32"/>
        </w:rPr>
        <w:t>%，比上年</w:t>
      </w:r>
      <w:r>
        <w:rPr>
          <w:rFonts w:asciiTheme="majorEastAsia" w:hAnsiTheme="majorEastAsia" w:eastAsiaTheme="majorEastAsia"/>
          <w:sz w:val="32"/>
          <w:szCs w:val="32"/>
        </w:rPr>
        <w:t>增加0.00</w:t>
      </w:r>
      <w:r>
        <w:rPr>
          <w:rFonts w:hint="eastAsia" w:asciiTheme="majorEastAsia" w:hAnsiTheme="majorEastAsia" w:eastAsiaTheme="majorEastAsia"/>
          <w:sz w:val="32"/>
          <w:szCs w:val="32"/>
        </w:rPr>
        <w:t>万元，</w:t>
      </w:r>
      <w:r>
        <w:rPr>
          <w:rFonts w:asciiTheme="majorEastAsia" w:hAnsiTheme="majorEastAsia" w:eastAsiaTheme="majorEastAsia"/>
          <w:sz w:val="32"/>
          <w:szCs w:val="32"/>
        </w:rPr>
        <w:t>增长0.00</w:t>
      </w:r>
      <w:r>
        <w:rPr>
          <w:rFonts w:hint="eastAsia" w:asciiTheme="majorEastAsia" w:hAnsiTheme="majorEastAsia" w:eastAsiaTheme="majorEastAsia"/>
          <w:sz w:val="32"/>
          <w:szCs w:val="32"/>
        </w:rPr>
        <w:t>%，主要原因是：</w:t>
      </w:r>
      <w:r>
        <w:rPr>
          <w:rFonts w:asciiTheme="majorEastAsia" w:hAnsiTheme="majorEastAsia" w:eastAsiaTheme="majorEastAsia"/>
          <w:sz w:val="32"/>
          <w:szCs w:val="32"/>
        </w:rPr>
        <w:t>我单位无因公出国（境）费</w:t>
      </w:r>
      <w:r>
        <w:rPr>
          <w:rFonts w:hint="eastAsia" w:asciiTheme="majorEastAsia" w:hAnsiTheme="majorEastAsia" w:eastAsiaTheme="majorEastAsia"/>
          <w:sz w:val="32"/>
          <w:szCs w:val="32"/>
        </w:rPr>
        <w:t>；公务用车购置及运行维护费支出</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w:t>
      </w:r>
      <w:r>
        <w:rPr>
          <w:rFonts w:asciiTheme="majorEastAsia" w:hAnsiTheme="majorEastAsia" w:eastAsiaTheme="majorEastAsia"/>
          <w:sz w:val="32"/>
          <w:szCs w:val="32"/>
        </w:rPr>
        <w:t>0.00</w:t>
      </w:r>
      <w:r>
        <w:rPr>
          <w:rFonts w:hint="eastAsia" w:asciiTheme="majorEastAsia" w:hAnsiTheme="majorEastAsia" w:eastAsiaTheme="majorEastAsia"/>
          <w:sz w:val="32"/>
          <w:szCs w:val="32"/>
        </w:rPr>
        <w:t>%，比上年</w:t>
      </w:r>
      <w:r>
        <w:rPr>
          <w:rFonts w:asciiTheme="majorEastAsia" w:hAnsiTheme="majorEastAsia" w:eastAsiaTheme="majorEastAsia"/>
          <w:sz w:val="32"/>
          <w:szCs w:val="32"/>
        </w:rPr>
        <w:t>增加0.00</w:t>
      </w:r>
      <w:r>
        <w:rPr>
          <w:rFonts w:hint="eastAsia" w:asciiTheme="majorEastAsia" w:hAnsiTheme="majorEastAsia" w:eastAsiaTheme="majorEastAsia"/>
          <w:sz w:val="32"/>
          <w:szCs w:val="32"/>
        </w:rPr>
        <w:t>万元，</w:t>
      </w:r>
      <w:r>
        <w:rPr>
          <w:rFonts w:asciiTheme="majorEastAsia" w:hAnsiTheme="majorEastAsia" w:eastAsiaTheme="majorEastAsia"/>
          <w:sz w:val="32"/>
          <w:szCs w:val="32"/>
        </w:rPr>
        <w:t>增长0.00</w:t>
      </w:r>
      <w:r>
        <w:rPr>
          <w:rFonts w:hint="eastAsia" w:asciiTheme="majorEastAsia" w:hAnsiTheme="majorEastAsia" w:eastAsiaTheme="majorEastAsia"/>
          <w:sz w:val="32"/>
          <w:szCs w:val="32"/>
        </w:rPr>
        <w:t>%，主要原因是：</w:t>
      </w:r>
      <w:r>
        <w:rPr>
          <w:rFonts w:asciiTheme="majorEastAsia" w:hAnsiTheme="majorEastAsia" w:eastAsiaTheme="majorEastAsia"/>
          <w:sz w:val="32"/>
          <w:szCs w:val="32"/>
        </w:rPr>
        <w:t>我单位无公务用车购置及运行维护费</w:t>
      </w:r>
      <w:r>
        <w:rPr>
          <w:rFonts w:hint="eastAsia" w:asciiTheme="majorEastAsia" w:hAnsiTheme="majorEastAsia" w:eastAsiaTheme="majorEastAsia"/>
          <w:sz w:val="32"/>
          <w:szCs w:val="32"/>
        </w:rPr>
        <w:t>；公务接待费支出</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w:t>
      </w:r>
      <w:r>
        <w:rPr>
          <w:rFonts w:asciiTheme="majorEastAsia" w:hAnsiTheme="majorEastAsia" w:eastAsiaTheme="majorEastAsia"/>
          <w:sz w:val="32"/>
          <w:szCs w:val="32"/>
        </w:rPr>
        <w:t>0.00</w:t>
      </w:r>
      <w:r>
        <w:rPr>
          <w:rFonts w:hint="eastAsia" w:asciiTheme="majorEastAsia" w:hAnsiTheme="majorEastAsia" w:eastAsiaTheme="majorEastAsia"/>
          <w:sz w:val="32"/>
          <w:szCs w:val="32"/>
        </w:rPr>
        <w:t>%，比上年</w:t>
      </w:r>
      <w:r>
        <w:rPr>
          <w:rFonts w:asciiTheme="majorEastAsia" w:hAnsiTheme="majorEastAsia" w:eastAsiaTheme="majorEastAsia"/>
          <w:sz w:val="32"/>
          <w:szCs w:val="32"/>
        </w:rPr>
        <w:t>增加0.00</w:t>
      </w:r>
      <w:r>
        <w:rPr>
          <w:rFonts w:hint="eastAsia" w:asciiTheme="majorEastAsia" w:hAnsiTheme="majorEastAsia" w:eastAsiaTheme="majorEastAsia"/>
          <w:sz w:val="32"/>
          <w:szCs w:val="32"/>
        </w:rPr>
        <w:t>万元，</w:t>
      </w:r>
      <w:r>
        <w:rPr>
          <w:rFonts w:asciiTheme="majorEastAsia" w:hAnsiTheme="majorEastAsia" w:eastAsiaTheme="majorEastAsia"/>
          <w:sz w:val="32"/>
          <w:szCs w:val="32"/>
        </w:rPr>
        <w:t>增长0.00</w:t>
      </w:r>
      <w:r>
        <w:rPr>
          <w:rFonts w:hint="eastAsia" w:asciiTheme="majorEastAsia" w:hAnsiTheme="majorEastAsia" w:eastAsiaTheme="majorEastAsia"/>
          <w:sz w:val="32"/>
          <w:szCs w:val="32"/>
        </w:rPr>
        <w:t>%，主要原因是：</w:t>
      </w:r>
      <w:r>
        <w:rPr>
          <w:rFonts w:asciiTheme="majorEastAsia" w:hAnsiTheme="majorEastAsia" w:eastAsiaTheme="majorEastAsia"/>
          <w:sz w:val="32"/>
          <w:szCs w:val="32"/>
        </w:rPr>
        <w:t>我单位无公务接待费</w:t>
      </w:r>
      <w:r>
        <w:rPr>
          <w:rFonts w:hint="eastAsia" w:asciiTheme="majorEastAsia" w:hAnsiTheme="majorEastAsia" w:eastAsiaTheme="majorEastAsia"/>
          <w:sz w:val="32"/>
          <w:szCs w:val="32"/>
        </w:rPr>
        <w:t>。具体情况如下：</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因公出国（境）费支出</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万元，开支内容包括我单位无因公出国（境）费。单位全年安排的因公出国（境）团组</w:t>
      </w:r>
      <w:r>
        <w:rPr>
          <w:rFonts w:asciiTheme="majorEastAsia" w:hAnsiTheme="majorEastAsia" w:eastAsiaTheme="majorEastAsia"/>
          <w:sz w:val="32"/>
          <w:szCs w:val="32"/>
        </w:rPr>
        <w:t>0</w:t>
      </w:r>
      <w:r>
        <w:rPr>
          <w:rFonts w:hint="eastAsia" w:asciiTheme="majorEastAsia" w:hAnsiTheme="majorEastAsia" w:eastAsiaTheme="majorEastAsia"/>
          <w:sz w:val="32"/>
          <w:szCs w:val="32"/>
        </w:rPr>
        <w:t>个，因公出国（境）0人次。</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公务用车购置及运行维护费</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万元，其中：公务用车购置费</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万元，公务用车运行维护费</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万元。公务用车运行维护费开支内容包括我单位无公务用车运行维护费。公务用车购置数</w:t>
      </w:r>
      <w:r>
        <w:rPr>
          <w:rFonts w:asciiTheme="majorEastAsia" w:hAnsiTheme="majorEastAsia" w:eastAsiaTheme="majorEastAsia"/>
          <w:sz w:val="32"/>
          <w:szCs w:val="32"/>
        </w:rPr>
        <w:t>0</w:t>
      </w:r>
      <w:r>
        <w:rPr>
          <w:rFonts w:hint="eastAsia" w:asciiTheme="majorEastAsia" w:hAnsiTheme="majorEastAsia" w:eastAsiaTheme="majorEastAsia"/>
          <w:sz w:val="32"/>
          <w:szCs w:val="32"/>
        </w:rPr>
        <w:t>辆，公务用车保有量0辆。</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公务接待费</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万元，开支内容包括我单位无公务接待费。单位全年安排的国内公务接待</w:t>
      </w:r>
      <w:r>
        <w:rPr>
          <w:rFonts w:asciiTheme="majorEastAsia" w:hAnsiTheme="majorEastAsia" w:eastAsiaTheme="majorEastAsia"/>
          <w:sz w:val="32"/>
          <w:szCs w:val="32"/>
        </w:rPr>
        <w:t>0</w:t>
      </w:r>
      <w:r>
        <w:rPr>
          <w:rFonts w:hint="eastAsia" w:asciiTheme="majorEastAsia" w:hAnsiTheme="majorEastAsia" w:eastAsiaTheme="majorEastAsia"/>
          <w:sz w:val="32"/>
          <w:szCs w:val="32"/>
        </w:rPr>
        <w:t>批次，</w:t>
      </w:r>
      <w:r>
        <w:rPr>
          <w:rFonts w:asciiTheme="majorEastAsia" w:hAnsiTheme="majorEastAsia" w:eastAsiaTheme="majorEastAsia"/>
          <w:sz w:val="32"/>
          <w:szCs w:val="32"/>
        </w:rPr>
        <w:t>0</w:t>
      </w:r>
      <w:r>
        <w:rPr>
          <w:rFonts w:hint="eastAsia" w:asciiTheme="majorEastAsia" w:hAnsiTheme="majorEastAsia" w:eastAsiaTheme="majorEastAsia"/>
          <w:sz w:val="32"/>
          <w:szCs w:val="32"/>
        </w:rPr>
        <w:t>人次。</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与全年预算数相比情况：“三公”经费支出全年预算数0.00万元，决算数</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万元，预决算差异率0.00%，主要原因是：我单位无财政拨款“三公”经费支出。</w:t>
      </w:r>
      <w:r>
        <w:rPr>
          <w:rFonts w:hint="eastAsia" w:cs="宋体" w:asciiTheme="majorEastAsia" w:hAnsiTheme="majorEastAsia" w:eastAsiaTheme="majorEastAsia"/>
          <w:kern w:val="0"/>
          <w:sz w:val="32"/>
          <w:szCs w:val="32"/>
        </w:rPr>
        <w:t>其中：因公出国（境）费全年预算数</w:t>
      </w:r>
      <w:r>
        <w:rPr>
          <w:rFonts w:hint="eastAsia" w:asciiTheme="majorEastAsia" w:hAnsiTheme="majorEastAsia" w:eastAsiaTheme="majorEastAsia"/>
          <w:sz w:val="32"/>
          <w:szCs w:val="32"/>
        </w:rPr>
        <w:t>0.00万元，决算数0.00万元，预决算差异率0.00%，主要原因是：我单位无因公出国（境）费；</w:t>
      </w:r>
      <w:r>
        <w:rPr>
          <w:rFonts w:hint="eastAsia" w:cs="宋体" w:asciiTheme="majorEastAsia" w:hAnsiTheme="majorEastAsia" w:eastAsiaTheme="majorEastAsia"/>
          <w:kern w:val="0"/>
          <w:sz w:val="32"/>
          <w:szCs w:val="32"/>
        </w:rPr>
        <w:t>公务用车购置</w:t>
      </w:r>
      <w:r>
        <w:rPr>
          <w:rFonts w:hint="eastAsia" w:asciiTheme="majorEastAsia" w:hAnsiTheme="majorEastAsia" w:eastAsiaTheme="majorEastAsia"/>
          <w:sz w:val="32"/>
          <w:szCs w:val="32"/>
        </w:rPr>
        <w:t>费全年预算数0.00万元，决算数0.00万元，预决算差异率0.00%，主要原因是：我单位无公务用车购置费；</w:t>
      </w:r>
      <w:r>
        <w:rPr>
          <w:rFonts w:hint="eastAsia" w:cs="宋体" w:asciiTheme="majorEastAsia" w:hAnsiTheme="majorEastAsia" w:eastAsiaTheme="majorEastAsia"/>
          <w:kern w:val="0"/>
          <w:sz w:val="32"/>
          <w:szCs w:val="32"/>
        </w:rPr>
        <w:t>公务用车运行费全年</w:t>
      </w:r>
      <w:r>
        <w:rPr>
          <w:rFonts w:hint="eastAsia" w:asciiTheme="majorEastAsia" w:hAnsiTheme="majorEastAsia" w:eastAsiaTheme="majorEastAsia"/>
          <w:sz w:val="32"/>
          <w:szCs w:val="32"/>
        </w:rPr>
        <w:t>预算数0.00万元，决算数0.00万元，预决算差异率0.00%，主要原因是：我单位无公务用车运行维护费；</w:t>
      </w:r>
      <w:r>
        <w:rPr>
          <w:rFonts w:hint="eastAsia" w:cs="宋体" w:asciiTheme="majorEastAsia" w:hAnsiTheme="majorEastAsia" w:eastAsiaTheme="majorEastAsia"/>
          <w:kern w:val="0"/>
          <w:sz w:val="32"/>
          <w:szCs w:val="32"/>
        </w:rPr>
        <w:t>公务接待费全年</w:t>
      </w:r>
      <w:r>
        <w:rPr>
          <w:rFonts w:hint="eastAsia" w:asciiTheme="majorEastAsia" w:hAnsiTheme="majorEastAsia" w:eastAsiaTheme="majorEastAsia"/>
          <w:sz w:val="32"/>
          <w:szCs w:val="32"/>
        </w:rPr>
        <w:t>预算数</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万元，决算数</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万元，预决算差异率0.00%，主要原因是：我单位无公务接待费。</w:t>
      </w:r>
    </w:p>
    <w:p>
      <w:pPr>
        <w:ind w:firstLine="640" w:firstLineChars="200"/>
        <w:outlineLvl w:val="1"/>
        <w:rPr>
          <w:rFonts w:cs="宋体" w:asciiTheme="majorEastAsia" w:hAnsiTheme="majorEastAsia" w:eastAsiaTheme="majorEastAsia"/>
          <w:bCs/>
          <w:kern w:val="0"/>
          <w:sz w:val="32"/>
          <w:szCs w:val="32"/>
        </w:rPr>
      </w:pPr>
      <w:bookmarkStart w:id="22" w:name="_Toc7927"/>
      <w:bookmarkStart w:id="23" w:name="_Toc5810"/>
      <w:r>
        <w:rPr>
          <w:rFonts w:hint="eastAsia" w:cs="宋体" w:asciiTheme="majorEastAsia" w:hAnsiTheme="majorEastAsia" w:eastAsiaTheme="majorEastAsia"/>
          <w:bCs/>
          <w:kern w:val="0"/>
          <w:sz w:val="32"/>
          <w:szCs w:val="32"/>
        </w:rPr>
        <w:t>八、政府性基金预算财政拨款收入支出决算情况说明</w:t>
      </w:r>
      <w:bookmarkEnd w:id="22"/>
      <w:bookmarkEnd w:id="23"/>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我单位本年度无政府性基金预算财政拨款收入、支出及结转和结余，政府性基金预算财政拨款收入支出决算表为空表。</w:t>
      </w:r>
    </w:p>
    <w:p>
      <w:pPr>
        <w:ind w:firstLine="640" w:firstLineChars="200"/>
        <w:rPr>
          <w:rFonts w:cs="Arial" w:asciiTheme="majorEastAsia" w:hAnsiTheme="majorEastAsia" w:eastAsiaTheme="majorEastAsia"/>
          <w:color w:val="4D4D4D"/>
          <w:shd w:val="clear" w:color="auto" w:fill="FFFFFF"/>
        </w:rPr>
      </w:pPr>
      <w:r>
        <w:rPr>
          <w:rFonts w:hint="eastAsia" w:cs="宋体" w:asciiTheme="majorEastAsia" w:hAnsiTheme="majorEastAsia" w:eastAsiaTheme="majorEastAsia"/>
          <w:bCs/>
          <w:kern w:val="0"/>
          <w:sz w:val="32"/>
          <w:szCs w:val="32"/>
        </w:rPr>
        <w:t>九、国有资本经营预算财政拨款收入支出决算情况说明</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我单位本年度无国有资本经营预算财政拨款收入、支出及结转和结余，国有资本经营预算财政拨款收入支出决算表为空表。</w:t>
      </w:r>
    </w:p>
    <w:p>
      <w:pPr>
        <w:ind w:firstLine="640" w:firstLineChars="200"/>
        <w:rPr>
          <w:rFonts w:asciiTheme="majorEastAsia" w:hAnsiTheme="majorEastAsia" w:eastAsiaTheme="majorEastAsia"/>
          <w:sz w:val="32"/>
          <w:szCs w:val="32"/>
        </w:rPr>
      </w:pPr>
      <w:r>
        <w:rPr>
          <w:rFonts w:hint="eastAsia" w:cs="宋体" w:asciiTheme="majorEastAsia" w:hAnsiTheme="majorEastAsia" w:eastAsiaTheme="majorEastAsia"/>
          <w:bCs/>
          <w:kern w:val="0"/>
          <w:sz w:val="32"/>
          <w:szCs w:val="32"/>
        </w:rPr>
        <w:t>十、其他重要事项的情况说明</w:t>
      </w:r>
    </w:p>
    <w:p>
      <w:pPr>
        <w:ind w:firstLine="640" w:firstLineChars="200"/>
        <w:outlineLvl w:val="2"/>
        <w:rPr>
          <w:rFonts w:asciiTheme="majorEastAsia" w:hAnsiTheme="majorEastAsia" w:eastAsiaTheme="majorEastAsia"/>
          <w:sz w:val="32"/>
          <w:szCs w:val="32"/>
        </w:rPr>
      </w:pPr>
      <w:r>
        <w:rPr>
          <w:rFonts w:hint="eastAsia" w:asciiTheme="majorEastAsia" w:hAnsiTheme="majorEastAsia" w:eastAsiaTheme="majorEastAsia"/>
          <w:sz w:val="32"/>
          <w:szCs w:val="32"/>
        </w:rPr>
        <w:t>（一）机关运行经费支出情况</w:t>
      </w:r>
    </w:p>
    <w:p>
      <w:pPr>
        <w:ind w:firstLine="640" w:firstLineChars="200"/>
        <w:outlineLvl w:val="2"/>
        <w:rPr>
          <w:rFonts w:asciiTheme="majorEastAsia" w:hAnsiTheme="majorEastAsia" w:eastAsiaTheme="majorEastAsia"/>
          <w:sz w:val="32"/>
          <w:szCs w:val="32"/>
        </w:rPr>
      </w:pPr>
      <w:r>
        <w:rPr>
          <w:rFonts w:hint="eastAsia" w:asciiTheme="majorEastAsia" w:hAnsiTheme="majorEastAsia" w:eastAsiaTheme="majorEastAsia"/>
          <w:sz w:val="32"/>
          <w:szCs w:val="32"/>
        </w:rPr>
        <w:t>2022年度新疆喀什地区疏附县乌帕尔镇中心幼儿园（事业单位）公用经费0.00万元，比上年增加0.00万元，增长0.00%，主要原因是：本单位无公用经费支出。</w:t>
      </w:r>
    </w:p>
    <w:p>
      <w:pPr>
        <w:ind w:firstLine="800" w:firstLineChars="250"/>
        <w:outlineLvl w:val="2"/>
        <w:rPr>
          <w:rFonts w:asciiTheme="majorEastAsia" w:hAnsiTheme="majorEastAsia" w:eastAsiaTheme="majorEastAsia"/>
          <w:sz w:val="32"/>
          <w:szCs w:val="32"/>
        </w:rPr>
      </w:pPr>
      <w:bookmarkStart w:id="24" w:name="_Toc227"/>
      <w:bookmarkStart w:id="25" w:name="_Toc26704"/>
      <w:r>
        <w:rPr>
          <w:rFonts w:hint="eastAsia" w:asciiTheme="majorEastAsia" w:hAnsiTheme="majorEastAsia" w:eastAsiaTheme="majorEastAsia"/>
          <w:sz w:val="32"/>
          <w:szCs w:val="32"/>
        </w:rPr>
        <w:t>（二）政府采购情况</w:t>
      </w:r>
      <w:bookmarkEnd w:id="24"/>
      <w:bookmarkEnd w:id="25"/>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2022年度政府采购支出总额</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万元，其中：政府采购货物支出</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万元、政府采购工程支出</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万元、政府采购服务支出</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授予中小企业合同金额</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万元，占政府采购支出总额的</w:t>
      </w:r>
      <w:r>
        <w:rPr>
          <w:rFonts w:asciiTheme="majorEastAsia" w:hAnsiTheme="majorEastAsia" w:eastAsiaTheme="majorEastAsia"/>
          <w:sz w:val="32"/>
          <w:szCs w:val="32"/>
        </w:rPr>
        <w:t>0.00</w:t>
      </w:r>
      <w:r>
        <w:rPr>
          <w:rFonts w:hint="eastAsia" w:asciiTheme="majorEastAsia" w:hAnsiTheme="majorEastAsia" w:eastAsiaTheme="majorEastAsia"/>
          <w:sz w:val="32"/>
          <w:szCs w:val="32"/>
        </w:rPr>
        <w:t>%，其中：授予小微企业合同金额</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万元，占政府采购支出总额的</w:t>
      </w:r>
      <w:r>
        <w:rPr>
          <w:rFonts w:asciiTheme="majorEastAsia" w:hAnsiTheme="majorEastAsia" w:eastAsiaTheme="majorEastAsia"/>
          <w:sz w:val="32"/>
          <w:szCs w:val="32"/>
        </w:rPr>
        <w:t>0.00</w:t>
      </w:r>
      <w:r>
        <w:rPr>
          <w:rFonts w:hint="eastAsia" w:asciiTheme="majorEastAsia" w:hAnsiTheme="majorEastAsia" w:eastAsiaTheme="majorEastAsia"/>
          <w:sz w:val="32"/>
          <w:szCs w:val="32"/>
        </w:rPr>
        <w:t>%。</w:t>
      </w:r>
    </w:p>
    <w:p>
      <w:pPr>
        <w:ind w:firstLine="640" w:firstLineChars="200"/>
        <w:outlineLvl w:val="2"/>
        <w:rPr>
          <w:rFonts w:asciiTheme="majorEastAsia" w:hAnsiTheme="majorEastAsia" w:eastAsiaTheme="majorEastAsia"/>
          <w:sz w:val="32"/>
          <w:szCs w:val="32"/>
        </w:rPr>
      </w:pPr>
      <w:bookmarkStart w:id="26" w:name="_Toc8391"/>
      <w:bookmarkStart w:id="27" w:name="_Toc4591"/>
      <w:r>
        <w:rPr>
          <w:rFonts w:hint="eastAsia" w:asciiTheme="majorEastAsia" w:hAnsiTheme="majorEastAsia" w:eastAsiaTheme="majorEastAsia"/>
          <w:sz w:val="32"/>
          <w:szCs w:val="32"/>
        </w:rPr>
        <w:t>（三）国有资产占用情况说明</w:t>
      </w:r>
      <w:bookmarkEnd w:id="26"/>
      <w:bookmarkEnd w:id="27"/>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截止2022年12月31日，固定资产原值1,212.85万元，房屋</w:t>
      </w:r>
      <w:r>
        <w:rPr>
          <w:rFonts w:asciiTheme="majorEastAsia" w:hAnsiTheme="majorEastAsia" w:eastAsiaTheme="majorEastAsia"/>
          <w:sz w:val="32"/>
          <w:szCs w:val="32"/>
        </w:rPr>
        <w:t>7,965.66</w:t>
      </w:r>
      <w:r>
        <w:rPr>
          <w:rFonts w:hint="eastAsia" w:asciiTheme="majorEastAsia" w:hAnsiTheme="majorEastAsia" w:eastAsiaTheme="majorEastAsia"/>
          <w:sz w:val="32"/>
          <w:szCs w:val="32"/>
        </w:rPr>
        <w:t>平方米，价值</w:t>
      </w:r>
      <w:r>
        <w:rPr>
          <w:rFonts w:asciiTheme="majorEastAsia" w:hAnsiTheme="majorEastAsia" w:eastAsiaTheme="majorEastAsia"/>
          <w:sz w:val="32"/>
          <w:szCs w:val="32"/>
        </w:rPr>
        <w:t>751.48</w:t>
      </w:r>
      <w:r>
        <w:rPr>
          <w:rFonts w:hint="eastAsia" w:asciiTheme="majorEastAsia" w:hAnsiTheme="majorEastAsia" w:eastAsiaTheme="majorEastAsia"/>
          <w:sz w:val="32"/>
          <w:szCs w:val="32"/>
        </w:rPr>
        <w:t>万元。车辆</w:t>
      </w:r>
      <w:r>
        <w:rPr>
          <w:rFonts w:asciiTheme="majorEastAsia" w:hAnsiTheme="majorEastAsia" w:eastAsiaTheme="majorEastAsia"/>
          <w:sz w:val="32"/>
          <w:szCs w:val="32"/>
        </w:rPr>
        <w:t>0</w:t>
      </w:r>
      <w:r>
        <w:rPr>
          <w:rFonts w:hint="eastAsia" w:asciiTheme="majorEastAsia" w:hAnsiTheme="majorEastAsia" w:eastAsiaTheme="majorEastAsia"/>
          <w:sz w:val="32"/>
          <w:szCs w:val="32"/>
        </w:rPr>
        <w:t>辆，价值</w:t>
      </w:r>
      <w:r>
        <w:rPr>
          <w:rFonts w:asciiTheme="majorEastAsia" w:hAnsiTheme="majorEastAsia" w:eastAsiaTheme="majorEastAsia"/>
          <w:sz w:val="32"/>
          <w:szCs w:val="32"/>
        </w:rPr>
        <w:t>0.00</w:t>
      </w:r>
      <w:r>
        <w:rPr>
          <w:rFonts w:hint="eastAsia" w:asciiTheme="majorEastAsia" w:hAnsiTheme="majorEastAsia" w:eastAsiaTheme="majorEastAsia"/>
          <w:sz w:val="32"/>
          <w:szCs w:val="32"/>
        </w:rPr>
        <w:t>万元，其中：副部（省）级及以上领导用车0辆、主要领导干部用车0辆、机要通信用车</w:t>
      </w:r>
      <w:r>
        <w:rPr>
          <w:rFonts w:asciiTheme="majorEastAsia" w:hAnsiTheme="majorEastAsia" w:eastAsiaTheme="majorEastAsia"/>
          <w:sz w:val="32"/>
          <w:szCs w:val="32"/>
        </w:rPr>
        <w:t>0</w:t>
      </w:r>
      <w:r>
        <w:rPr>
          <w:rFonts w:hint="eastAsia" w:asciiTheme="majorEastAsia" w:hAnsiTheme="majorEastAsia" w:eastAsiaTheme="majorEastAsia"/>
          <w:sz w:val="32"/>
          <w:szCs w:val="32"/>
        </w:rPr>
        <w:t>辆、应急保障用车</w:t>
      </w:r>
      <w:r>
        <w:rPr>
          <w:rFonts w:asciiTheme="majorEastAsia" w:hAnsiTheme="majorEastAsia" w:eastAsiaTheme="majorEastAsia"/>
          <w:sz w:val="32"/>
          <w:szCs w:val="32"/>
        </w:rPr>
        <w:t>0</w:t>
      </w:r>
      <w:r>
        <w:rPr>
          <w:rFonts w:hint="eastAsia" w:asciiTheme="majorEastAsia" w:hAnsiTheme="majorEastAsia" w:eastAsiaTheme="majorEastAsia"/>
          <w:sz w:val="32"/>
          <w:szCs w:val="32"/>
        </w:rPr>
        <w:t>辆、执法执勤用车</w:t>
      </w:r>
      <w:r>
        <w:rPr>
          <w:rFonts w:asciiTheme="majorEastAsia" w:hAnsiTheme="majorEastAsia" w:eastAsiaTheme="majorEastAsia"/>
          <w:sz w:val="32"/>
          <w:szCs w:val="32"/>
        </w:rPr>
        <w:t>0</w:t>
      </w:r>
      <w:r>
        <w:rPr>
          <w:rFonts w:hint="eastAsia" w:asciiTheme="majorEastAsia" w:hAnsiTheme="majorEastAsia" w:eastAsiaTheme="majorEastAsia"/>
          <w:sz w:val="32"/>
          <w:szCs w:val="32"/>
        </w:rPr>
        <w:t>辆、特种专业技术用车</w:t>
      </w:r>
      <w:r>
        <w:rPr>
          <w:rFonts w:asciiTheme="majorEastAsia" w:hAnsiTheme="majorEastAsia" w:eastAsiaTheme="majorEastAsia"/>
          <w:sz w:val="32"/>
          <w:szCs w:val="32"/>
        </w:rPr>
        <w:t>0</w:t>
      </w:r>
      <w:r>
        <w:rPr>
          <w:rFonts w:hint="eastAsia" w:asciiTheme="majorEastAsia" w:hAnsiTheme="majorEastAsia" w:eastAsiaTheme="majorEastAsia"/>
          <w:sz w:val="32"/>
          <w:szCs w:val="32"/>
        </w:rPr>
        <w:t>辆、离退休干部用车</w:t>
      </w:r>
      <w:r>
        <w:rPr>
          <w:rFonts w:asciiTheme="majorEastAsia" w:hAnsiTheme="majorEastAsia" w:eastAsiaTheme="majorEastAsia"/>
          <w:sz w:val="32"/>
          <w:szCs w:val="32"/>
        </w:rPr>
        <w:t>0</w:t>
      </w:r>
      <w:r>
        <w:rPr>
          <w:rFonts w:hint="eastAsia" w:asciiTheme="majorEastAsia" w:hAnsiTheme="majorEastAsia" w:eastAsiaTheme="majorEastAsia"/>
          <w:sz w:val="32"/>
          <w:szCs w:val="32"/>
        </w:rPr>
        <w:t>辆、其他用车</w:t>
      </w:r>
      <w:r>
        <w:rPr>
          <w:rFonts w:asciiTheme="majorEastAsia" w:hAnsiTheme="majorEastAsia" w:eastAsiaTheme="majorEastAsia"/>
          <w:sz w:val="32"/>
          <w:szCs w:val="32"/>
        </w:rPr>
        <w:t>0</w:t>
      </w:r>
      <w:r>
        <w:rPr>
          <w:rFonts w:hint="eastAsia" w:asciiTheme="majorEastAsia" w:hAnsiTheme="majorEastAsia" w:eastAsiaTheme="majorEastAsia"/>
          <w:sz w:val="32"/>
          <w:szCs w:val="32"/>
        </w:rPr>
        <w:t>辆，其他用车主要是：我单位无其他用车；单价100万元（含）以上设备（不含车辆）</w:t>
      </w:r>
      <w:r>
        <w:rPr>
          <w:rFonts w:asciiTheme="majorEastAsia" w:hAnsiTheme="majorEastAsia" w:eastAsiaTheme="majorEastAsia"/>
          <w:sz w:val="32"/>
          <w:szCs w:val="32"/>
        </w:rPr>
        <w:t>0</w:t>
      </w:r>
      <w:r>
        <w:rPr>
          <w:rFonts w:hint="eastAsia" w:asciiTheme="majorEastAsia" w:hAnsiTheme="majorEastAsia" w:eastAsiaTheme="majorEastAsia"/>
          <w:sz w:val="32"/>
          <w:szCs w:val="32"/>
        </w:rPr>
        <w:t>台（套）。</w:t>
      </w:r>
    </w:p>
    <w:p>
      <w:pPr>
        <w:ind w:firstLine="640" w:firstLineChars="200"/>
        <w:outlineLvl w:val="1"/>
        <w:rPr>
          <w:rFonts w:cs="宋体" w:asciiTheme="majorEastAsia" w:hAnsiTheme="majorEastAsia" w:eastAsiaTheme="majorEastAsia"/>
          <w:bCs/>
          <w:kern w:val="0"/>
          <w:sz w:val="32"/>
          <w:szCs w:val="32"/>
        </w:rPr>
      </w:pPr>
      <w:bookmarkStart w:id="28" w:name="_Toc435"/>
      <w:bookmarkStart w:id="29" w:name="_Toc11283"/>
      <w:r>
        <w:rPr>
          <w:rFonts w:hint="eastAsia" w:cs="宋体" w:asciiTheme="majorEastAsia" w:hAnsiTheme="majorEastAsia" w:eastAsiaTheme="majorEastAsia"/>
          <w:bCs/>
          <w:kern w:val="0"/>
          <w:sz w:val="32"/>
          <w:szCs w:val="32"/>
        </w:rPr>
        <w:t>十一、预算绩效的情况说明</w:t>
      </w:r>
      <w:bookmarkEnd w:id="28"/>
      <w:bookmarkEnd w:id="29"/>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根据预算绩效管理要求，我单位</w:t>
      </w:r>
      <w:r>
        <w:rPr>
          <w:rFonts w:asciiTheme="majorEastAsia" w:hAnsiTheme="majorEastAsia" w:eastAsiaTheme="majorEastAsia"/>
          <w:sz w:val="32"/>
          <w:szCs w:val="32"/>
        </w:rPr>
        <w:t>2022</w:t>
      </w:r>
      <w:r>
        <w:rPr>
          <w:rFonts w:hint="eastAsia" w:asciiTheme="majorEastAsia" w:hAnsiTheme="majorEastAsia" w:eastAsiaTheme="majorEastAsia"/>
          <w:sz w:val="32"/>
          <w:szCs w:val="32"/>
        </w:rPr>
        <w:t>年度开展预算绩效评价项目</w:t>
      </w:r>
      <w:r>
        <w:rPr>
          <w:rFonts w:asciiTheme="majorEastAsia" w:hAnsiTheme="majorEastAsia" w:eastAsiaTheme="majorEastAsia"/>
          <w:sz w:val="32"/>
          <w:szCs w:val="32"/>
        </w:rPr>
        <w:t>3</w:t>
      </w:r>
      <w:r>
        <w:rPr>
          <w:rFonts w:hint="eastAsia" w:asciiTheme="majorEastAsia" w:hAnsiTheme="majorEastAsia" w:eastAsiaTheme="majorEastAsia"/>
          <w:sz w:val="32"/>
          <w:szCs w:val="32"/>
        </w:rPr>
        <w:t>个，全年预算数628.44万元，全年执行数628.44万元。预算绩效管理取得的成效：</w:t>
      </w:r>
      <w:r>
        <w:rPr>
          <w:rFonts w:asciiTheme="majorEastAsia" w:hAnsiTheme="majorEastAsia" w:eastAsiaTheme="majorEastAsia"/>
          <w:sz w:val="32"/>
          <w:szCs w:val="32"/>
        </w:rPr>
        <w:t>一是确保资金的高效使用，切实发挥财政资金的使用</w:t>
      </w:r>
      <w:r>
        <w:rPr>
          <w:rFonts w:hint="eastAsia" w:asciiTheme="majorEastAsia" w:hAnsiTheme="majorEastAsia" w:eastAsiaTheme="majorEastAsia"/>
          <w:sz w:val="32"/>
          <w:szCs w:val="32"/>
        </w:rPr>
        <w:t>作用</w:t>
      </w:r>
      <w:r>
        <w:rPr>
          <w:rFonts w:asciiTheme="majorEastAsia" w:hAnsiTheme="majorEastAsia" w:eastAsiaTheme="majorEastAsia"/>
          <w:sz w:val="32"/>
          <w:szCs w:val="32"/>
        </w:rPr>
        <w:t>。二是严格按照工作职责和相关文件依据，确保专款专用。三是严格控制资金的流出方向，确保资金的合规性</w:t>
      </w:r>
      <w:r>
        <w:rPr>
          <w:rFonts w:hint="eastAsia" w:asciiTheme="majorEastAsia" w:hAnsiTheme="majorEastAsia" w:eastAsiaTheme="majorEastAsia"/>
          <w:sz w:val="32"/>
          <w:szCs w:val="32"/>
        </w:rPr>
        <w:t>。发现的问题及原因：</w:t>
      </w:r>
      <w:r>
        <w:rPr>
          <w:rFonts w:asciiTheme="majorEastAsia" w:hAnsiTheme="majorEastAsia" w:eastAsiaTheme="majorEastAsia"/>
          <w:sz w:val="32"/>
          <w:szCs w:val="32"/>
        </w:rPr>
        <w:t>一是预算资金执行过程中依然存在预算执行存在偏差、项目细化管理工作不足、二是预算绩效管理水平仍有欠缺以及在2022年预算绩效管理工作中，对全面实施预算绩效管理的要求认识还不到位，项目申报、实施等环节与预算绩效管理各个环节联系不够紧密等问题</w:t>
      </w:r>
      <w:r>
        <w:rPr>
          <w:rFonts w:hint="eastAsia" w:asciiTheme="majorEastAsia" w:hAnsiTheme="majorEastAsia" w:eastAsiaTheme="majorEastAsia"/>
          <w:sz w:val="32"/>
          <w:szCs w:val="32"/>
        </w:rPr>
        <w:t>。下一步改进措施：</w:t>
      </w:r>
      <w:r>
        <w:rPr>
          <w:rFonts w:asciiTheme="majorEastAsia" w:hAnsiTheme="majorEastAsia" w:eastAsiaTheme="majorEastAsia"/>
          <w:sz w:val="32"/>
          <w:szCs w:val="32"/>
        </w:rPr>
        <w:t>一是进一步提高年初预算编制的科学性和准确性，完善预算执行动态约束机制，加强财政预算资金管理，统筹协调推进项目执行，提高财政资金效益和效果，合理安排资金使用，充分体现资金投向的目标和效益。二是强化内部控制管理，完善管理制度。严格按规定做好绩效目标申报、自评、公开等相关工作，提高财政资金使用绩效。三是加强学习，进一步明确如何参照考核体系，科学合理设定绩效目标，充分发挥预算绩效管理工作效用。同时财务上，会计核算要更加详细，为本单位各项工作的开展、总结、评估提供有效数据资料支撑，为各项业务工作更好</w:t>
      </w:r>
      <w:r>
        <w:rPr>
          <w:rFonts w:hint="eastAsia" w:asciiTheme="majorEastAsia" w:hAnsiTheme="majorEastAsia" w:eastAsiaTheme="majorEastAsia"/>
          <w:sz w:val="32"/>
          <w:szCs w:val="32"/>
        </w:rPr>
        <w:t>地</w:t>
      </w:r>
      <w:r>
        <w:rPr>
          <w:rFonts w:asciiTheme="majorEastAsia" w:hAnsiTheme="majorEastAsia" w:eastAsiaTheme="majorEastAsia"/>
          <w:sz w:val="32"/>
          <w:szCs w:val="32"/>
        </w:rPr>
        <w:t>开展提供帮助</w:t>
      </w:r>
      <w:r>
        <w:rPr>
          <w:rFonts w:hint="eastAsia" w:asciiTheme="majorEastAsia" w:hAnsiTheme="majorEastAsia" w:eastAsiaTheme="majorEastAsia"/>
          <w:sz w:val="32"/>
          <w:szCs w:val="32"/>
        </w:rPr>
        <w:t>。具体项目自评情况附项目支出绩效自评表。</w:t>
      </w:r>
    </w:p>
    <w:p>
      <w:pPr>
        <w:widowControl/>
        <w:jc w:val="left"/>
        <w:rPr>
          <w:rFonts w:asciiTheme="majorEastAsia" w:hAnsiTheme="majorEastAsia" w:eastAsiaTheme="majorEastAsia"/>
          <w:sz w:val="32"/>
          <w:szCs w:val="32"/>
        </w:rPr>
      </w:pPr>
      <w:bookmarkStart w:id="30" w:name="_Toc24143"/>
      <w:bookmarkStart w:id="31" w:name="_Toc3250"/>
      <w:r>
        <w:rPr>
          <w:rFonts w:hint="eastAsia" w:asciiTheme="majorEastAsia" w:hAnsiTheme="majorEastAsia" w:eastAsiaTheme="majorEastAsia"/>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b/>
                <w:bCs/>
                <w:color w:val="000000"/>
                <w:kern w:val="0"/>
                <w:sz w:val="32"/>
                <w:szCs w:val="32"/>
              </w:rPr>
            </w:pPr>
            <w:r>
              <w:rPr>
                <w:rFonts w:hint="eastAsia" w:cs="仿宋_GB2312" w:asciiTheme="majorEastAsia" w:hAnsiTheme="majorEastAsia" w:eastAsiaTheme="majorEastAsia"/>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2022年自治区教育补助资金（学前教育保障经费）项目</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新疆喀什地区疏附县乌帕尔镇中心幼儿园</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项目资金</w:t>
            </w:r>
            <w:r>
              <w:rPr>
                <w:rFonts w:hint="eastAsia" w:cs="宋体" w:asciiTheme="majorEastAsia" w:hAnsiTheme="majorEastAsia" w:eastAsiaTheme="majorEastAsia"/>
                <w:color w:val="000000"/>
                <w:kern w:val="0"/>
                <w:sz w:val="20"/>
                <w:szCs w:val="20"/>
              </w:rPr>
              <w:br w:type="textWrapping"/>
            </w:r>
            <w:r>
              <w:rPr>
                <w:rFonts w:hint="eastAsia" w:cs="宋体" w:asciiTheme="majorEastAsia" w:hAnsiTheme="majorEastAsia" w:eastAsiaTheme="majorEastAsia"/>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524.15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524.15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524.15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524.15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xml:space="preserve">  2022年度幼儿保障经费项目-资金524.1542万元。</w:t>
            </w:r>
            <w:r>
              <w:rPr>
                <w:rFonts w:hint="eastAsia" w:cs="宋体" w:asciiTheme="majorEastAsia" w:hAnsiTheme="majorEastAsia" w:eastAsiaTheme="majorEastAsia"/>
                <w:color w:val="000000"/>
                <w:kern w:val="0"/>
                <w:sz w:val="20"/>
                <w:szCs w:val="20"/>
              </w:rPr>
              <w:br w:type="textWrapping"/>
            </w:r>
            <w:r>
              <w:rPr>
                <w:rFonts w:hint="eastAsia" w:cs="宋体" w:asciiTheme="majorEastAsia" w:hAnsiTheme="majorEastAsia" w:eastAsiaTheme="majorEastAsia"/>
                <w:color w:val="000000"/>
                <w:kern w:val="0"/>
                <w:sz w:val="20"/>
                <w:szCs w:val="20"/>
              </w:rPr>
              <w:t xml:space="preserve">  用于保障农村学前三年免费教育阶段教育正常运转、完成教育教学活动和其他日常工作任务等方面的支出，该经费的具体开支范围是：教学业务与管理、教学竞赛、教学质量提升及第三方评价的政府购买服务、办公、会议、印刷、教师培训、实验实习、文体活动、水电、取暖、交通差旅、邮电、教育信息化网络费用、仪器设备及图书资料等购置、学生课桌凳、床铺、食堂设施设备的零星补充购置及维修维护，房屋、建筑物、校园内道路、围墙、大门、运动场地、教室内教师讲台及仪器设备的日常维修维护，校园绿化美化、校园文化建设、学生健康体检、校方责任保险等。</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截止绩效自评日,保障农村学前三年免费教育阶段学校正常运转、完成教育教学活动和其他日常工作任务等方面的支出，共计支出524.1542万元，项目的实施有效保障了南疆四地州的国家通用语言普及工作，有效减轻了幼儿家庭经济压力，接受学前教育幼儿，家长，教师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产出指标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学前教育阶段幼儿园教师人数（人)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&gt;=129人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129人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学前教育阶段幼儿园幼儿人数（人)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&gt;=人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幼儿园入学率（%）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cs="宋体" w:asciiTheme="majorEastAsia" w:hAnsiTheme="majorEastAsia" w:eastAsiaTheme="majorEastAsia"/>
                <w:color w:val="000000"/>
                <w:kern w:val="0"/>
                <w:sz w:val="20"/>
                <w:szCs w:val="20"/>
              </w:rPr>
              <w:t>2022</w:t>
            </w:r>
            <w:r>
              <w:rPr>
                <w:rFonts w:hint="eastAsia" w:cs="宋体" w:asciiTheme="majorEastAsia" w:hAnsiTheme="majorEastAsia" w:eastAsiaTheme="majorEastAsia"/>
                <w:color w:val="000000"/>
                <w:kern w:val="0"/>
                <w:sz w:val="20"/>
                <w:szCs w:val="20"/>
              </w:rPr>
              <w:t>年1月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cs="宋体" w:asciiTheme="majorEastAsia" w:hAnsiTheme="majorEastAsia" w:eastAsiaTheme="majorEastAsia"/>
                <w:color w:val="000000"/>
                <w:kern w:val="0"/>
                <w:sz w:val="20"/>
                <w:szCs w:val="20"/>
              </w:rPr>
              <w:t>2022</w:t>
            </w:r>
            <w:r>
              <w:rPr>
                <w:rFonts w:hint="eastAsia" w:cs="宋体" w:asciiTheme="majorEastAsia" w:hAnsiTheme="majorEastAsia" w:eastAsiaTheme="majorEastAsia"/>
                <w:color w:val="000000"/>
                <w:kern w:val="0"/>
                <w:sz w:val="20"/>
                <w:szCs w:val="20"/>
              </w:rPr>
              <w:t>年1月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公用经费拨付及时率（%）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学前教育阶段幼儿均公用经费标准（元/人/年）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1100元/生/年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1100元/生/年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学前教育阶段取暖费补助标准（元/人/年）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120元/生/年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120元/生/年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减轻幼儿家庭经济压力，为教育脱贫作出贡献</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有效减轻</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有效减轻</w:t>
            </w:r>
            <w:r>
              <w:rPr>
                <w:rFonts w:cs="宋体" w:asciiTheme="majorEastAsia" w:hAnsiTheme="majorEastAsia" w:eastAsiaTheme="majorEastAsia"/>
                <w:color w:val="000000"/>
                <w:kern w:val="0"/>
                <w:sz w:val="20"/>
                <w:szCs w:val="20"/>
              </w:rPr>
              <w:tab/>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幼儿园阶段公用经费可持续年限（年）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满意度指标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接受学前教育幼儿满意度（%）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接受学前教育幼儿家长满意度（%）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3</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3</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接受学前教育幼儿园教师满意度（%）</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4</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4</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w:t>
            </w:r>
          </w:p>
        </w:tc>
      </w:tr>
    </w:tbl>
    <w:p>
      <w:pPr>
        <w:widowControl/>
        <w:jc w:val="left"/>
        <w:rPr>
          <w:rFonts w:asciiTheme="majorEastAsia" w:hAnsiTheme="majorEastAsia" w:eastAsiaTheme="majorEastAsia"/>
          <w:sz w:val="32"/>
          <w:szCs w:val="32"/>
        </w:rPr>
      </w:pPr>
      <w:r>
        <w:rPr>
          <w:rFonts w:hint="eastAsia" w:asciiTheme="majorEastAsia" w:hAnsiTheme="majorEastAsia" w:eastAsiaTheme="majorEastAsia"/>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b/>
                <w:bCs/>
                <w:color w:val="000000"/>
                <w:kern w:val="0"/>
                <w:sz w:val="32"/>
                <w:szCs w:val="32"/>
              </w:rPr>
            </w:pPr>
            <w:r>
              <w:rPr>
                <w:rFonts w:hint="eastAsia" w:cs="仿宋_GB2312" w:asciiTheme="majorEastAsia" w:hAnsiTheme="majorEastAsia" w:eastAsiaTheme="majorEastAsia"/>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2022年自治区教育补助资金预算（南疆四地州中小学幼儿园配备工作人员工资补助）</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新疆喀什地区疏附县乌帕尔镇中心幼儿园</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项目资金</w:t>
            </w:r>
            <w:r>
              <w:rPr>
                <w:rFonts w:hint="eastAsia" w:cs="宋体" w:asciiTheme="majorEastAsia" w:hAnsiTheme="majorEastAsia" w:eastAsiaTheme="majorEastAsia"/>
                <w:color w:val="000000"/>
                <w:kern w:val="0"/>
                <w:sz w:val="20"/>
                <w:szCs w:val="20"/>
              </w:rPr>
              <w:br w:type="textWrapping"/>
            </w:r>
            <w:r>
              <w:rPr>
                <w:rFonts w:hint="eastAsia" w:cs="宋体" w:asciiTheme="majorEastAsia" w:hAnsiTheme="majorEastAsia" w:eastAsiaTheme="majorEastAsia"/>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42.52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42.52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42.52</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42.52</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目标1.提高校园安全水平，保障学生、教师、工作人员及财产安全，营造安全舒适的校园环境。</w:t>
            </w:r>
            <w:r>
              <w:rPr>
                <w:rFonts w:hint="eastAsia" w:cs="宋体" w:asciiTheme="majorEastAsia" w:hAnsiTheme="majorEastAsia" w:eastAsiaTheme="majorEastAsia"/>
                <w:color w:val="000000"/>
                <w:kern w:val="0"/>
                <w:sz w:val="20"/>
                <w:szCs w:val="20"/>
              </w:rPr>
              <w:br w:type="textWrapping"/>
            </w:r>
            <w:r>
              <w:rPr>
                <w:rFonts w:hint="eastAsia" w:cs="宋体" w:asciiTheme="majorEastAsia" w:hAnsiTheme="majorEastAsia" w:eastAsiaTheme="majorEastAsia"/>
                <w:color w:val="000000"/>
                <w:kern w:val="0"/>
                <w:sz w:val="20"/>
                <w:szCs w:val="20"/>
              </w:rPr>
              <w:t xml:space="preserve">目标2.实施好学校安全教育计划，切实推进南疆教育事业发展。工作人均工资1300元.  </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截至绩效自评日，已发放40名工作人员生活补贴，共计支出42.525万元，项目实施后有效提高校园安全水平，保障学生、教师、工作人员及财产安全，营造安全舒适的校园环境，工作人员满意度达到了95%。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工作人员工资享受人数（人）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&gt;=40人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40人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资金使用完成率（%）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中小学幼儿园配备工作人员工资补助项目经费发放准确率（%）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资金支付及时率（%）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项目完成时间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cs="宋体" w:asciiTheme="majorEastAsia" w:hAnsiTheme="majorEastAsia" w:eastAsiaTheme="majorEastAsia"/>
                <w:color w:val="000000"/>
                <w:kern w:val="0"/>
                <w:sz w:val="20"/>
                <w:szCs w:val="20"/>
              </w:rPr>
              <w:t>2022</w:t>
            </w:r>
            <w:r>
              <w:rPr>
                <w:rFonts w:hint="eastAsia" w:cs="宋体" w:asciiTheme="majorEastAsia" w:hAnsiTheme="majorEastAsia" w:eastAsiaTheme="majorEastAsia"/>
                <w:color w:val="000000"/>
                <w:kern w:val="0"/>
                <w:sz w:val="20"/>
                <w:szCs w:val="20"/>
              </w:rPr>
              <w:t>年1月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cs="宋体" w:asciiTheme="majorEastAsia" w:hAnsiTheme="majorEastAsia" w:eastAsiaTheme="majorEastAsia"/>
                <w:color w:val="000000"/>
                <w:kern w:val="0"/>
                <w:sz w:val="20"/>
                <w:szCs w:val="20"/>
              </w:rPr>
              <w:t>2022</w:t>
            </w:r>
            <w:r>
              <w:rPr>
                <w:rFonts w:hint="eastAsia" w:cs="宋体" w:asciiTheme="majorEastAsia" w:hAnsiTheme="majorEastAsia" w:eastAsiaTheme="majorEastAsia"/>
                <w:color w:val="000000"/>
                <w:kern w:val="0"/>
                <w:sz w:val="20"/>
                <w:szCs w:val="20"/>
              </w:rPr>
              <w:t>年1月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8</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8</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中小学幼儿园配备工作人员工资补助项目经费享受标准</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=1300元/人/月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1300元/人/月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9</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9</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推进南疆教育事业发展</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有效推进</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有效推进</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中小学幼儿园配备工作人员工资补助项目经费期限</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=1年</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1年</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工作人员满意率（%）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95%</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w:t>
            </w:r>
          </w:p>
        </w:tc>
      </w:tr>
    </w:tbl>
    <w:p>
      <w:pPr>
        <w:widowControl/>
        <w:jc w:val="left"/>
        <w:rPr>
          <w:rFonts w:asciiTheme="majorEastAsia" w:hAnsiTheme="majorEastAsia" w:eastAsiaTheme="majorEastAsia"/>
          <w:sz w:val="32"/>
          <w:szCs w:val="32"/>
        </w:rPr>
      </w:pPr>
      <w:r>
        <w:rPr>
          <w:rFonts w:hint="eastAsia" w:asciiTheme="majorEastAsia" w:hAnsiTheme="majorEastAsia" w:eastAsiaTheme="majorEastAsia"/>
          <w:sz w:val="32"/>
          <w:szCs w:val="32"/>
        </w:rPr>
        <w:br w:type="page"/>
      </w:r>
    </w:p>
    <w:tbl>
      <w:tblPr>
        <w:tblStyle w:val="9"/>
        <w:tblW w:w="10051" w:type="dxa"/>
        <w:jc w:val="center"/>
        <w:tblLayout w:type="fixed"/>
        <w:tblCellMar>
          <w:top w:w="0" w:type="dxa"/>
          <w:left w:w="108" w:type="dxa"/>
          <w:bottom w:w="0" w:type="dxa"/>
          <w:right w:w="108" w:type="dxa"/>
        </w:tblCellMar>
      </w:tblPr>
      <w:tblGrid>
        <w:gridCol w:w="731"/>
        <w:gridCol w:w="851"/>
        <w:gridCol w:w="1465"/>
        <w:gridCol w:w="1210"/>
        <w:gridCol w:w="1578"/>
        <w:gridCol w:w="1275"/>
        <w:gridCol w:w="971"/>
        <w:gridCol w:w="976"/>
        <w:gridCol w:w="994"/>
      </w:tblGrid>
      <w:tr>
        <w:tblPrEx>
          <w:tblCellMar>
            <w:top w:w="0" w:type="dxa"/>
            <w:left w:w="108" w:type="dxa"/>
            <w:bottom w:w="0" w:type="dxa"/>
            <w:right w:w="108" w:type="dxa"/>
          </w:tblCellMar>
        </w:tblPrEx>
        <w:trPr>
          <w:cantSplit/>
          <w:jc w:val="center"/>
        </w:trPr>
        <w:tc>
          <w:tcPr>
            <w:tcW w:w="10051" w:type="dxa"/>
            <w:gridSpan w:val="9"/>
            <w:tcBorders>
              <w:top w:val="nil"/>
              <w:left w:val="nil"/>
              <w:bottom w:val="nil"/>
              <w:right w:val="nil"/>
            </w:tcBorders>
            <w:shd w:val="clear" w:color="auto" w:fill="auto"/>
            <w:vAlign w:val="center"/>
          </w:tcPr>
          <w:p>
            <w:pPr>
              <w:widowControl/>
              <w:jc w:val="center"/>
              <w:rPr>
                <w:rFonts w:cs="宋体" w:asciiTheme="majorEastAsia" w:hAnsiTheme="majorEastAsia" w:eastAsiaTheme="majorEastAsia"/>
                <w:b/>
                <w:bCs/>
                <w:color w:val="000000"/>
                <w:kern w:val="0"/>
                <w:sz w:val="32"/>
                <w:szCs w:val="32"/>
              </w:rPr>
            </w:pPr>
            <w:r>
              <w:rPr>
                <w:rFonts w:hint="eastAsia" w:cs="仿宋_GB2312" w:asciiTheme="majorEastAsia" w:hAnsiTheme="majorEastAsia" w:eastAsiaTheme="majorEastAsia"/>
                <w:b/>
                <w:color w:val="000000"/>
                <w:kern w:val="0"/>
                <w:sz w:val="24"/>
                <w:lang w:bidi="ar"/>
              </w:rPr>
              <w:t>项  目  支  出  绩  效  自  评  表</w:t>
            </w:r>
          </w:p>
        </w:tc>
      </w:tr>
      <w:tr>
        <w:tblPrEx>
          <w:tblCellMar>
            <w:top w:w="0" w:type="dxa"/>
            <w:left w:w="108" w:type="dxa"/>
            <w:bottom w:w="0" w:type="dxa"/>
            <w:right w:w="108" w:type="dxa"/>
          </w:tblCellMar>
        </w:tblPrEx>
        <w:trPr>
          <w:cantSplit/>
          <w:jc w:val="center"/>
        </w:trPr>
        <w:tc>
          <w:tcPr>
            <w:tcW w:w="10051" w:type="dxa"/>
            <w:gridSpan w:val="9"/>
            <w:tcBorders>
              <w:top w:val="nil"/>
              <w:left w:val="nil"/>
              <w:bottom w:val="single" w:color="auto" w:sz="4" w:space="0"/>
              <w:right w:val="nil"/>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(2022年度)</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项目名称</w:t>
            </w:r>
          </w:p>
        </w:tc>
        <w:tc>
          <w:tcPr>
            <w:tcW w:w="8469" w:type="dxa"/>
            <w:gridSpan w:val="7"/>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2022年南疆四地州乡村教师生活补助资金（直达资金）</w:t>
            </w:r>
          </w:p>
        </w:tc>
      </w:tr>
      <w:tr>
        <w:tblPrEx>
          <w:tblCellMar>
            <w:top w:w="0" w:type="dxa"/>
            <w:left w:w="108" w:type="dxa"/>
            <w:bottom w:w="0" w:type="dxa"/>
            <w:right w:w="108" w:type="dxa"/>
          </w:tblCellMar>
        </w:tblPrEx>
        <w:trPr>
          <w:cantSplit/>
          <w:jc w:val="center"/>
        </w:trPr>
        <w:tc>
          <w:tcPr>
            <w:tcW w:w="1582"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主管部门</w:t>
            </w:r>
          </w:p>
        </w:tc>
        <w:tc>
          <w:tcPr>
            <w:tcW w:w="2675"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疏附县教育局</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实施单位</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新疆喀什地区疏附县乌帕尔镇中心幼儿园</w:t>
            </w:r>
          </w:p>
        </w:tc>
      </w:tr>
      <w:tr>
        <w:tblPrEx>
          <w:tblCellMar>
            <w:top w:w="0" w:type="dxa"/>
            <w:left w:w="108" w:type="dxa"/>
            <w:bottom w:w="0" w:type="dxa"/>
            <w:right w:w="108" w:type="dxa"/>
          </w:tblCellMar>
        </w:tblPrEx>
        <w:trPr>
          <w:cantSplit/>
          <w:jc w:val="center"/>
        </w:trPr>
        <w:tc>
          <w:tcPr>
            <w:tcW w:w="1582" w:type="dxa"/>
            <w:gridSpan w:val="2"/>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项目资金</w:t>
            </w:r>
            <w:r>
              <w:rPr>
                <w:rFonts w:hint="eastAsia" w:cs="宋体" w:asciiTheme="majorEastAsia" w:hAnsiTheme="majorEastAsia" w:eastAsiaTheme="majorEastAsia"/>
                <w:color w:val="000000"/>
                <w:kern w:val="0"/>
                <w:sz w:val="20"/>
                <w:szCs w:val="20"/>
              </w:rPr>
              <w:br w:type="textWrapping"/>
            </w:r>
            <w:r>
              <w:rPr>
                <w:rFonts w:hint="eastAsia" w:cs="宋体" w:asciiTheme="majorEastAsia" w:hAnsiTheme="majorEastAsia" w:eastAsiaTheme="majorEastAsia"/>
                <w:color w:val="000000"/>
                <w:kern w:val="0"/>
                <w:sz w:val="20"/>
                <w:szCs w:val="20"/>
              </w:rPr>
              <w:t>（万元）</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年初预算数</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全年预算数</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全年执行数</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分值</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执行率</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得分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年度资金总额</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61.77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61.77</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10.00分</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其中：当年财政拨款</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61.77</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61.77</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xml:space="preserve">      上年结转资金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r>
      <w:tr>
        <w:tblPrEx>
          <w:tblCellMar>
            <w:top w:w="0" w:type="dxa"/>
            <w:left w:w="108" w:type="dxa"/>
            <w:bottom w:w="0" w:type="dxa"/>
            <w:right w:w="108" w:type="dxa"/>
          </w:tblCellMar>
        </w:tblPrEx>
        <w:trPr>
          <w:cantSplit/>
          <w:trHeight w:val="319" w:hRule="atLeast"/>
          <w:jc w:val="center"/>
        </w:trPr>
        <w:tc>
          <w:tcPr>
            <w:tcW w:w="1582" w:type="dxa"/>
            <w:gridSpan w:val="2"/>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xml:space="preserve">  其他资金</w:t>
            </w:r>
          </w:p>
        </w:tc>
        <w:tc>
          <w:tcPr>
            <w:tcW w:w="121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0.00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w:t>
            </w:r>
          </w:p>
        </w:tc>
      </w:tr>
      <w:tr>
        <w:tblPrEx>
          <w:tblCellMar>
            <w:top w:w="0" w:type="dxa"/>
            <w:left w:w="108" w:type="dxa"/>
            <w:bottom w:w="0" w:type="dxa"/>
            <w:right w:w="108" w:type="dxa"/>
          </w:tblCellMar>
        </w:tblPrEx>
        <w:trPr>
          <w:cantSpli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年度总体目标</w:t>
            </w:r>
          </w:p>
        </w:tc>
        <w:tc>
          <w:tcPr>
            <w:tcW w:w="5104"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预期目标</w:t>
            </w:r>
          </w:p>
        </w:tc>
        <w:tc>
          <w:tcPr>
            <w:tcW w:w="4216" w:type="dxa"/>
            <w:gridSpan w:val="4"/>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实际完成情况</w:t>
            </w:r>
          </w:p>
        </w:tc>
      </w:tr>
      <w:tr>
        <w:tblPrEx>
          <w:tblCellMar>
            <w:top w:w="0" w:type="dxa"/>
            <w:left w:w="108" w:type="dxa"/>
            <w:bottom w:w="0" w:type="dxa"/>
            <w:right w:w="108" w:type="dxa"/>
          </w:tblCellMar>
        </w:tblPrEx>
        <w:trPr>
          <w:cantSpli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5104"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2022年度乡村教师生活补助资金全年下达资金61.765万元。享受南疆四地州乡村教师生活补助的人129人，通过实施该项目提高我县农村教师工作的积极性，从而更加教师职业的荣誉感，从而推动我县的经济发展。</w:t>
            </w:r>
          </w:p>
        </w:tc>
        <w:tc>
          <w:tcPr>
            <w:tcW w:w="421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截至绩效自评日,已保障我县129名享受南疆四地州乡村教师生活补助，共计支出61.765万元，通过实施该项目提高我县农村教师工作的积极性，从而更加教师职业的荣誉感，从而推动我县的经济发展，受益教师满意度达到了95%。</w:t>
            </w:r>
          </w:p>
        </w:tc>
      </w:tr>
      <w:tr>
        <w:tblPrEx>
          <w:tblCellMar>
            <w:top w:w="0" w:type="dxa"/>
            <w:left w:w="108" w:type="dxa"/>
            <w:bottom w:w="0" w:type="dxa"/>
            <w:right w:w="108" w:type="dxa"/>
          </w:tblCellMar>
        </w:tblPrEx>
        <w:trPr>
          <w:cantSplit/>
          <w:trHeight w:val="312"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　</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一级指标</w:t>
            </w: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二级指标</w:t>
            </w:r>
          </w:p>
        </w:tc>
        <w:tc>
          <w:tcPr>
            <w:tcW w:w="1210"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三级指标</w:t>
            </w:r>
          </w:p>
        </w:tc>
        <w:tc>
          <w:tcPr>
            <w:tcW w:w="1578"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年度指标值</w:t>
            </w:r>
          </w:p>
        </w:tc>
        <w:tc>
          <w:tcPr>
            <w:tcW w:w="127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实际完成值</w:t>
            </w:r>
          </w:p>
        </w:tc>
        <w:tc>
          <w:tcPr>
            <w:tcW w:w="97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分值</w:t>
            </w:r>
          </w:p>
        </w:tc>
        <w:tc>
          <w:tcPr>
            <w:tcW w:w="976"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得分</w:t>
            </w:r>
          </w:p>
        </w:tc>
        <w:tc>
          <w:tcPr>
            <w:tcW w:w="994"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偏差原因分析及改进措施</w:t>
            </w:r>
          </w:p>
        </w:tc>
      </w:tr>
      <w:tr>
        <w:tblPrEx>
          <w:tblCellMar>
            <w:top w:w="0" w:type="dxa"/>
            <w:left w:w="108" w:type="dxa"/>
            <w:bottom w:w="0" w:type="dxa"/>
            <w:right w:w="108" w:type="dxa"/>
          </w:tblCellMar>
        </w:tblPrEx>
        <w:trPr>
          <w:cantSplit/>
          <w:trHeight w:val="312" w:hRule="atLeast"/>
          <w:jc w:val="center"/>
        </w:trPr>
        <w:tc>
          <w:tcPr>
            <w:tcW w:w="73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85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46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210"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57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1275"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971"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97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c>
          <w:tcPr>
            <w:tcW w:w="994"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年度绩效指标完成情况</w:t>
            </w: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产出指标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数量指标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享受南疆四地州乡村教师生活补助的人数（人）</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&gt;=129人</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129人</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质量指标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乡村教师享受生活补助的比例（%）</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生活补助资金发放准确率（%）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时效指标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乡村教师生活补助发放及时率（%）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项目开始时间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cs="宋体" w:asciiTheme="majorEastAsia" w:hAnsiTheme="majorEastAsia" w:eastAsiaTheme="majorEastAsia"/>
                <w:color w:val="000000"/>
                <w:kern w:val="0"/>
                <w:sz w:val="20"/>
                <w:szCs w:val="20"/>
              </w:rPr>
              <w:t>2022</w:t>
            </w:r>
            <w:r>
              <w:rPr>
                <w:rFonts w:hint="eastAsia" w:cs="宋体" w:asciiTheme="majorEastAsia" w:hAnsiTheme="majorEastAsia" w:eastAsiaTheme="majorEastAsia"/>
                <w:color w:val="000000"/>
                <w:kern w:val="0"/>
                <w:sz w:val="20"/>
                <w:szCs w:val="20"/>
              </w:rPr>
              <w:t>年1月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cs="宋体" w:asciiTheme="majorEastAsia" w:hAnsiTheme="majorEastAsia" w:eastAsiaTheme="majorEastAsia"/>
                <w:color w:val="000000"/>
                <w:kern w:val="0"/>
                <w:sz w:val="20"/>
                <w:szCs w:val="20"/>
              </w:rPr>
              <w:t>2022</w:t>
            </w:r>
            <w:r>
              <w:rPr>
                <w:rFonts w:hint="eastAsia" w:cs="宋体" w:asciiTheme="majorEastAsia" w:hAnsiTheme="majorEastAsia" w:eastAsiaTheme="majorEastAsia"/>
                <w:color w:val="000000"/>
                <w:kern w:val="0"/>
                <w:sz w:val="20"/>
                <w:szCs w:val="20"/>
              </w:rPr>
              <w:t>年1月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项目结束时间</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cs="宋体" w:asciiTheme="majorEastAsia" w:hAnsiTheme="majorEastAsia" w:eastAsiaTheme="majorEastAsia"/>
                <w:color w:val="000000"/>
                <w:kern w:val="0"/>
                <w:sz w:val="20"/>
                <w:szCs w:val="20"/>
              </w:rPr>
              <w:t>2022</w:t>
            </w:r>
            <w:r>
              <w:rPr>
                <w:rFonts w:hint="eastAsia" w:cs="宋体" w:asciiTheme="majorEastAsia" w:hAnsiTheme="majorEastAsia" w:eastAsiaTheme="majorEastAsia"/>
                <w:color w:val="000000"/>
                <w:kern w:val="0"/>
                <w:sz w:val="20"/>
                <w:szCs w:val="20"/>
              </w:rPr>
              <w:t>年1</w:t>
            </w:r>
            <w:r>
              <w:rPr>
                <w:rFonts w:cs="宋体" w:asciiTheme="majorEastAsia" w:hAnsiTheme="majorEastAsia" w:eastAsiaTheme="majorEastAsia"/>
                <w:color w:val="000000"/>
                <w:kern w:val="0"/>
                <w:sz w:val="20"/>
                <w:szCs w:val="20"/>
              </w:rPr>
              <w:t>2</w:t>
            </w:r>
            <w:r>
              <w:rPr>
                <w:rFonts w:hint="eastAsia" w:cs="宋体" w:asciiTheme="majorEastAsia" w:hAnsiTheme="majorEastAsia" w:eastAsiaTheme="majorEastAsia"/>
                <w:color w:val="000000"/>
                <w:kern w:val="0"/>
                <w:sz w:val="20"/>
                <w:szCs w:val="20"/>
              </w:rPr>
              <w:t>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cs="宋体" w:asciiTheme="majorEastAsia" w:hAnsiTheme="majorEastAsia" w:eastAsiaTheme="majorEastAsia"/>
                <w:color w:val="000000"/>
                <w:kern w:val="0"/>
                <w:sz w:val="20"/>
                <w:szCs w:val="20"/>
              </w:rPr>
              <w:t>2022</w:t>
            </w:r>
            <w:r>
              <w:rPr>
                <w:rFonts w:hint="eastAsia" w:cs="宋体" w:asciiTheme="majorEastAsia" w:hAnsiTheme="majorEastAsia" w:eastAsiaTheme="majorEastAsia"/>
                <w:color w:val="000000"/>
                <w:kern w:val="0"/>
                <w:sz w:val="20"/>
                <w:szCs w:val="20"/>
              </w:rPr>
              <w:t>年1</w:t>
            </w:r>
            <w:r>
              <w:rPr>
                <w:rFonts w:cs="宋体" w:asciiTheme="majorEastAsia" w:hAnsiTheme="majorEastAsia" w:eastAsiaTheme="majorEastAsia"/>
                <w:color w:val="000000"/>
                <w:kern w:val="0"/>
                <w:sz w:val="20"/>
                <w:szCs w:val="20"/>
              </w:rPr>
              <w:t>2</w:t>
            </w:r>
            <w:r>
              <w:rPr>
                <w:rFonts w:hint="eastAsia" w:cs="宋体" w:asciiTheme="majorEastAsia" w:hAnsiTheme="majorEastAsia" w:eastAsiaTheme="majorEastAsia"/>
                <w:color w:val="000000"/>
                <w:kern w:val="0"/>
                <w:sz w:val="20"/>
                <w:szCs w:val="20"/>
              </w:rPr>
              <w:t>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成本指标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农村中小学教师生活补助享受标准（元/人/月）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100元/人均/月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100元/人均/月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南疆四地州乡村教师生活补助资金总额（万元）</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&lt;=61.765万元</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61.765万元</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7</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7</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asciiTheme="majorEastAsia" w:hAnsiTheme="majorEastAsia" w:eastAsiaTheme="majorEastAsia"/>
              </w:rPr>
            </w:pPr>
            <w:r>
              <w:rPr>
                <w:rFonts w:asciiTheme="majorEastAsia" w:hAnsiTheme="majorEastAsia" w:eastAsiaTheme="majorEastAsia"/>
                <w:sz w:val="20"/>
              </w:rPr>
              <w:t>效益指标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社会效益指标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提高我县农村教师工作积极性</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显著提高</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显著提高</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可持续影响指标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农村中小学教师生活补助期限（月）</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&gt;=10个月</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10个月</w:t>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15</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trHeight w:val="823" w:hRule="atLeast"/>
          <w:jc w:val="center"/>
        </w:trPr>
        <w:tc>
          <w:tcPr>
            <w:tcW w:w="731"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rPr>
                <w:rFonts w:asciiTheme="majorEastAsia" w:hAnsiTheme="majorEastAsia" w:eastAsiaTheme="majorEastAsia"/>
              </w:rPr>
            </w:pPr>
          </w:p>
        </w:tc>
        <w:tc>
          <w:tcPr>
            <w:tcW w:w="85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满意度指标</w:t>
            </w:r>
          </w:p>
        </w:tc>
        <w:tc>
          <w:tcPr>
            <w:tcW w:w="146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满意度指标</w:t>
            </w:r>
          </w:p>
        </w:tc>
        <w:tc>
          <w:tcPr>
            <w:tcW w:w="1210" w:type="dxa"/>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left"/>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享受教师满意率（%）</w:t>
            </w:r>
          </w:p>
        </w:tc>
        <w:tc>
          <w:tcPr>
            <w:tcW w:w="157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&gt;=95%</w:t>
            </w:r>
          </w:p>
        </w:tc>
        <w:tc>
          <w:tcPr>
            <w:tcW w:w="127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95%</w:t>
            </w:r>
            <w:r>
              <w:rPr>
                <w:rFonts w:cs="宋体" w:asciiTheme="majorEastAsia" w:hAnsiTheme="majorEastAsia" w:eastAsiaTheme="majorEastAsia"/>
                <w:color w:val="000000"/>
                <w:kern w:val="0"/>
                <w:sz w:val="20"/>
                <w:szCs w:val="20"/>
              </w:rPr>
              <w:tab/>
            </w:r>
          </w:p>
        </w:tc>
        <w:tc>
          <w:tcPr>
            <w:tcW w:w="9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w:t>
            </w:r>
          </w:p>
        </w:tc>
        <w:tc>
          <w:tcPr>
            <w:tcW w:w="9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w:t>
            </w:r>
          </w:p>
        </w:tc>
        <w:tc>
          <w:tcPr>
            <w:tcW w:w="99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p>
        </w:tc>
      </w:tr>
      <w:tr>
        <w:tblPrEx>
          <w:tblCellMar>
            <w:top w:w="0" w:type="dxa"/>
            <w:left w:w="108" w:type="dxa"/>
            <w:bottom w:w="0" w:type="dxa"/>
            <w:right w:w="108" w:type="dxa"/>
          </w:tblCellMar>
        </w:tblPrEx>
        <w:trPr>
          <w:cantSplit/>
          <w:jc w:val="center"/>
        </w:trPr>
        <w:tc>
          <w:tcPr>
            <w:tcW w:w="7110" w:type="dxa"/>
            <w:gridSpan w:val="6"/>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总分</w:t>
            </w:r>
          </w:p>
        </w:tc>
        <w:tc>
          <w:tcPr>
            <w:tcW w:w="97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w:t>
            </w:r>
          </w:p>
        </w:tc>
        <w:tc>
          <w:tcPr>
            <w:tcW w:w="976"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100.00分</w:t>
            </w:r>
          </w:p>
        </w:tc>
        <w:tc>
          <w:tcPr>
            <w:tcW w:w="994"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cs="宋体" w:asciiTheme="majorEastAsia" w:hAnsiTheme="majorEastAsia" w:eastAsiaTheme="majorEastAsia"/>
                <w:color w:val="000000"/>
                <w:kern w:val="0"/>
                <w:sz w:val="20"/>
                <w:szCs w:val="20"/>
              </w:rPr>
            </w:pPr>
            <w:r>
              <w:rPr>
                <w:rFonts w:hint="eastAsia" w:cs="宋体" w:asciiTheme="majorEastAsia" w:hAnsiTheme="majorEastAsia" w:eastAsiaTheme="majorEastAsia"/>
                <w:color w:val="000000"/>
                <w:kern w:val="0"/>
                <w:sz w:val="20"/>
                <w:szCs w:val="20"/>
              </w:rPr>
              <w:t>　</w:t>
            </w:r>
          </w:p>
        </w:tc>
      </w:tr>
    </w:tbl>
    <w:p>
      <w:pPr>
        <w:widowControl/>
        <w:jc w:val="left"/>
        <w:rPr>
          <w:rFonts w:asciiTheme="majorEastAsia" w:hAnsiTheme="majorEastAsia" w:eastAsiaTheme="majorEastAsia"/>
          <w:sz w:val="32"/>
          <w:szCs w:val="32"/>
        </w:rPr>
      </w:pPr>
      <w:r>
        <w:rPr>
          <w:rFonts w:asciiTheme="majorEastAsia" w:hAnsiTheme="majorEastAsia" w:eastAsiaTheme="majorEastAsia"/>
          <w:sz w:val="32"/>
          <w:szCs w:val="32"/>
        </w:rPr>
        <w:br w:type="page"/>
      </w:r>
    </w:p>
    <w:p>
      <w:pPr>
        <w:ind w:firstLine="640" w:firstLineChars="200"/>
        <w:jc w:val="center"/>
        <w:outlineLvl w:val="0"/>
        <w:rPr>
          <w:rFonts w:asciiTheme="majorEastAsia" w:hAnsiTheme="majorEastAsia" w:eastAsiaTheme="majorEastAsia"/>
          <w:sz w:val="32"/>
          <w:szCs w:val="32"/>
        </w:rPr>
      </w:pPr>
      <w:r>
        <w:rPr>
          <w:rFonts w:hint="eastAsia" w:asciiTheme="majorEastAsia" w:hAnsiTheme="majorEastAsia" w:eastAsiaTheme="majorEastAsia"/>
          <w:sz w:val="32"/>
          <w:szCs w:val="32"/>
        </w:rPr>
        <w:t>第三部分 专业名词解释</w:t>
      </w:r>
      <w:bookmarkEnd w:id="30"/>
      <w:bookmarkEnd w:id="31"/>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财政拨款收入：指同级财政当年拨付的资金。</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上级补助收入：指事业单位从主管部门和上级单位取得的非财政补助收入。</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事业收入：指事业单位开展专业业务活动及其辅助活动所取得的收入。</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经营收入：指事业单位在专业业务活动及其辅助活动之外开展非独立核算经营活动取得的收入。</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附属单位上缴收入：指事业单位附属的独立核算单位按有关规定上缴的收入。</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其他收入：指除上述“财政拨款收入”、“事业收入”、“经营收入”、“附属单位上缴收入”等之外取得的收入。</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基本支出：指为保障机构正常运转、完成日常工作任务而发生的人员支出和公用支出。</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项目支出：指在基本支出之外为完成特定行政任务和事业发展目标所发生的支出。</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经营支出：指事业单位在专业业务活动及其辅助活动之外开展非独立核算经营活动发生的支出。</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对附属单位补助支出：指事业单位发生的用非财政预算资金对附属单位的补助支出。</w:t>
      </w:r>
    </w:p>
    <w:p>
      <w:pPr>
        <w:autoSpaceDE w:val="0"/>
        <w:autoSpaceDN w:val="0"/>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Theme="majorEastAsia" w:hAnsiTheme="majorEastAsia" w:eastAsiaTheme="majorEastAsia"/>
          <w:sz w:val="32"/>
          <w:szCs w:val="32"/>
        </w:rPr>
      </w:pPr>
      <w:r>
        <w:rPr>
          <w:rFonts w:hint="eastAsia" w:asciiTheme="majorEastAsia" w:hAnsiTheme="majorEastAsia" w:eastAsiaTheme="majorEastAsia"/>
          <w:sz w:val="32"/>
          <w:szCs w:val="32"/>
        </w:rPr>
        <w:t>机关运行经费：行政单位和参照公务员法管理的事业单位财政拨款基本支出中的公用经费支出。</w:t>
      </w:r>
    </w:p>
    <w:p>
      <w:pPr>
        <w:ind w:firstLine="640" w:firstLineChars="200"/>
        <w:jc w:val="center"/>
        <w:outlineLvl w:val="0"/>
        <w:rPr>
          <w:rFonts w:asciiTheme="majorEastAsia" w:hAnsiTheme="majorEastAsia" w:eastAsiaTheme="majorEastAsia"/>
          <w:sz w:val="32"/>
          <w:szCs w:val="32"/>
        </w:rPr>
      </w:pPr>
      <w:bookmarkStart w:id="32" w:name="_Toc22784"/>
      <w:bookmarkStart w:id="33" w:name="_Toc28903"/>
      <w:r>
        <w:rPr>
          <w:rFonts w:hint="eastAsia" w:asciiTheme="majorEastAsia" w:hAnsiTheme="majorEastAsia" w:eastAsiaTheme="majorEastAsia"/>
          <w:sz w:val="32"/>
          <w:szCs w:val="32"/>
        </w:rPr>
        <w:br w:type="page"/>
      </w:r>
      <w:r>
        <w:rPr>
          <w:rFonts w:hint="eastAsia" w:asciiTheme="majorEastAsia" w:hAnsiTheme="majorEastAsia" w:eastAsiaTheme="majorEastAsia"/>
          <w:sz w:val="32"/>
          <w:szCs w:val="32"/>
        </w:rPr>
        <w:t>第四部分 部门决算报表（见附表）</w:t>
      </w:r>
      <w:bookmarkEnd w:id="32"/>
      <w:bookmarkEnd w:id="33"/>
    </w:p>
    <w:p>
      <w:pPr>
        <w:ind w:firstLine="640" w:firstLineChars="200"/>
        <w:outlineLvl w:val="1"/>
        <w:rPr>
          <w:rFonts w:cs="宋体" w:asciiTheme="majorEastAsia" w:hAnsiTheme="majorEastAsia" w:eastAsiaTheme="majorEastAsia"/>
          <w:bCs/>
          <w:kern w:val="0"/>
          <w:sz w:val="32"/>
          <w:szCs w:val="32"/>
        </w:rPr>
      </w:pPr>
      <w:bookmarkStart w:id="34" w:name="_Toc6062"/>
      <w:bookmarkStart w:id="35" w:name="_Toc2183"/>
      <w:r>
        <w:rPr>
          <w:rFonts w:hint="eastAsia" w:cs="宋体" w:asciiTheme="majorEastAsia" w:hAnsiTheme="majorEastAsia" w:eastAsiaTheme="majorEastAsia"/>
          <w:bCs/>
          <w:kern w:val="0"/>
          <w:sz w:val="32"/>
          <w:szCs w:val="32"/>
        </w:rPr>
        <w:t>一、《收入支出决算总表》</w:t>
      </w:r>
      <w:bookmarkEnd w:id="34"/>
      <w:bookmarkEnd w:id="35"/>
    </w:p>
    <w:p>
      <w:pPr>
        <w:ind w:firstLine="640" w:firstLineChars="200"/>
        <w:outlineLvl w:val="1"/>
        <w:rPr>
          <w:rFonts w:cs="宋体" w:asciiTheme="majorEastAsia" w:hAnsiTheme="majorEastAsia" w:eastAsiaTheme="majorEastAsia"/>
          <w:bCs/>
          <w:kern w:val="0"/>
          <w:sz w:val="32"/>
          <w:szCs w:val="32"/>
        </w:rPr>
      </w:pPr>
      <w:bookmarkStart w:id="36" w:name="_Toc30364"/>
      <w:bookmarkStart w:id="37" w:name="_Toc24532"/>
      <w:r>
        <w:rPr>
          <w:rFonts w:hint="eastAsia" w:cs="宋体" w:asciiTheme="majorEastAsia" w:hAnsiTheme="majorEastAsia" w:eastAsiaTheme="majorEastAsia"/>
          <w:bCs/>
          <w:kern w:val="0"/>
          <w:sz w:val="32"/>
          <w:szCs w:val="32"/>
        </w:rPr>
        <w:t>二、《收入决算表》</w:t>
      </w:r>
      <w:bookmarkEnd w:id="36"/>
      <w:bookmarkEnd w:id="37"/>
    </w:p>
    <w:p>
      <w:pPr>
        <w:ind w:firstLine="640" w:firstLineChars="200"/>
        <w:outlineLvl w:val="1"/>
        <w:rPr>
          <w:rFonts w:cs="宋体" w:asciiTheme="majorEastAsia" w:hAnsiTheme="majorEastAsia" w:eastAsiaTheme="majorEastAsia"/>
          <w:bCs/>
          <w:kern w:val="0"/>
          <w:sz w:val="32"/>
          <w:szCs w:val="32"/>
        </w:rPr>
      </w:pPr>
      <w:bookmarkStart w:id="38" w:name="_Toc32434"/>
      <w:bookmarkStart w:id="39" w:name="_Toc21304"/>
      <w:r>
        <w:rPr>
          <w:rFonts w:hint="eastAsia" w:cs="宋体" w:asciiTheme="majorEastAsia" w:hAnsiTheme="majorEastAsia" w:eastAsiaTheme="majorEastAsia"/>
          <w:bCs/>
          <w:kern w:val="0"/>
          <w:sz w:val="32"/>
          <w:szCs w:val="32"/>
        </w:rPr>
        <w:t>三、《支出决算表》</w:t>
      </w:r>
      <w:bookmarkEnd w:id="38"/>
      <w:bookmarkEnd w:id="39"/>
    </w:p>
    <w:p>
      <w:pPr>
        <w:ind w:firstLine="640" w:firstLineChars="200"/>
        <w:outlineLvl w:val="1"/>
        <w:rPr>
          <w:rFonts w:cs="宋体" w:asciiTheme="majorEastAsia" w:hAnsiTheme="majorEastAsia" w:eastAsiaTheme="majorEastAsia"/>
          <w:bCs/>
          <w:kern w:val="0"/>
          <w:sz w:val="32"/>
          <w:szCs w:val="32"/>
        </w:rPr>
      </w:pPr>
      <w:bookmarkStart w:id="40" w:name="_Toc14238"/>
      <w:bookmarkStart w:id="41" w:name="_Toc28786"/>
      <w:r>
        <w:rPr>
          <w:rFonts w:hint="eastAsia" w:cs="宋体" w:asciiTheme="majorEastAsia" w:hAnsiTheme="majorEastAsia" w:eastAsiaTheme="majorEastAsia"/>
          <w:bCs/>
          <w:kern w:val="0"/>
          <w:sz w:val="32"/>
          <w:szCs w:val="32"/>
        </w:rPr>
        <w:t>四、《财政拨款收入支出决算总表》</w:t>
      </w:r>
      <w:bookmarkEnd w:id="40"/>
      <w:bookmarkEnd w:id="41"/>
    </w:p>
    <w:p>
      <w:pPr>
        <w:ind w:firstLine="640" w:firstLineChars="200"/>
        <w:outlineLvl w:val="1"/>
        <w:rPr>
          <w:rFonts w:cs="宋体" w:asciiTheme="majorEastAsia" w:hAnsiTheme="majorEastAsia" w:eastAsiaTheme="majorEastAsia"/>
          <w:bCs/>
          <w:kern w:val="0"/>
          <w:sz w:val="32"/>
          <w:szCs w:val="32"/>
        </w:rPr>
      </w:pPr>
      <w:bookmarkStart w:id="42" w:name="_Toc14869"/>
      <w:bookmarkStart w:id="43" w:name="_Toc10347"/>
      <w:r>
        <w:rPr>
          <w:rFonts w:hint="eastAsia" w:cs="宋体" w:asciiTheme="majorEastAsia" w:hAnsiTheme="majorEastAsia" w:eastAsiaTheme="majorEastAsia"/>
          <w:bCs/>
          <w:kern w:val="0"/>
          <w:sz w:val="32"/>
          <w:szCs w:val="32"/>
        </w:rPr>
        <w:t>五、《一般公共预算财政拨款支出决算表》</w:t>
      </w:r>
      <w:bookmarkEnd w:id="42"/>
      <w:bookmarkEnd w:id="43"/>
    </w:p>
    <w:p>
      <w:pPr>
        <w:ind w:firstLine="640" w:firstLineChars="200"/>
        <w:outlineLvl w:val="1"/>
        <w:rPr>
          <w:rFonts w:cs="宋体" w:asciiTheme="majorEastAsia" w:hAnsiTheme="majorEastAsia" w:eastAsiaTheme="majorEastAsia"/>
          <w:bCs/>
          <w:kern w:val="0"/>
          <w:sz w:val="32"/>
          <w:szCs w:val="32"/>
        </w:rPr>
      </w:pPr>
      <w:bookmarkStart w:id="44" w:name="_Toc8884"/>
      <w:bookmarkStart w:id="45" w:name="_Toc5626"/>
      <w:r>
        <w:rPr>
          <w:rFonts w:hint="eastAsia" w:cs="宋体" w:asciiTheme="majorEastAsia" w:hAnsiTheme="majorEastAsia" w:eastAsiaTheme="majorEastAsia"/>
          <w:bCs/>
          <w:kern w:val="0"/>
          <w:sz w:val="32"/>
          <w:szCs w:val="32"/>
        </w:rPr>
        <w:t>六、《一般公共预算财政拨款基本支出决算表》</w:t>
      </w:r>
      <w:bookmarkEnd w:id="44"/>
      <w:bookmarkEnd w:id="45"/>
    </w:p>
    <w:p>
      <w:pPr>
        <w:ind w:firstLine="640" w:firstLineChars="200"/>
        <w:outlineLvl w:val="1"/>
        <w:rPr>
          <w:rFonts w:cs="宋体" w:asciiTheme="majorEastAsia" w:hAnsiTheme="majorEastAsia" w:eastAsiaTheme="majorEastAsia"/>
          <w:bCs/>
          <w:kern w:val="0"/>
          <w:sz w:val="32"/>
          <w:szCs w:val="32"/>
        </w:rPr>
      </w:pPr>
      <w:r>
        <w:rPr>
          <w:rFonts w:hint="eastAsia" w:cs="宋体" w:asciiTheme="majorEastAsia" w:hAnsiTheme="majorEastAsia" w:eastAsiaTheme="majorEastAsia"/>
          <w:bCs/>
          <w:kern w:val="0"/>
          <w:sz w:val="32"/>
          <w:szCs w:val="32"/>
        </w:rPr>
        <w:t>七、</w:t>
      </w:r>
      <w:bookmarkStart w:id="46" w:name="_Toc32663"/>
      <w:bookmarkStart w:id="47" w:name="_Toc29106"/>
      <w:r>
        <w:rPr>
          <w:rFonts w:hint="eastAsia" w:cs="宋体" w:asciiTheme="majorEastAsia" w:hAnsiTheme="majorEastAsia" w:eastAsiaTheme="majorEastAsia"/>
          <w:bCs/>
          <w:kern w:val="0"/>
          <w:sz w:val="32"/>
          <w:szCs w:val="32"/>
        </w:rPr>
        <w:t>《财政拨款“三公”经费支出决算表》</w:t>
      </w:r>
      <w:bookmarkEnd w:id="46"/>
      <w:bookmarkEnd w:id="47"/>
    </w:p>
    <w:p>
      <w:pPr>
        <w:ind w:firstLine="640" w:firstLineChars="200"/>
        <w:outlineLvl w:val="1"/>
        <w:rPr>
          <w:rFonts w:cs="宋体" w:asciiTheme="majorEastAsia" w:hAnsiTheme="majorEastAsia" w:eastAsiaTheme="majorEastAsia"/>
          <w:bCs/>
          <w:kern w:val="0"/>
          <w:sz w:val="32"/>
          <w:szCs w:val="32"/>
        </w:rPr>
      </w:pPr>
      <w:bookmarkStart w:id="48" w:name="_Toc5453"/>
      <w:bookmarkStart w:id="49" w:name="_Toc7643"/>
      <w:r>
        <w:rPr>
          <w:rFonts w:hint="eastAsia" w:cs="宋体" w:asciiTheme="majorEastAsia" w:hAnsiTheme="majorEastAsia" w:eastAsiaTheme="majorEastAsia"/>
          <w:bCs/>
          <w:kern w:val="0"/>
          <w:sz w:val="32"/>
          <w:szCs w:val="32"/>
        </w:rPr>
        <w:t>八、《政府性基金预算财政拨款收入支出决算表》</w:t>
      </w:r>
      <w:bookmarkEnd w:id="48"/>
      <w:bookmarkEnd w:id="49"/>
    </w:p>
    <w:p>
      <w:pPr>
        <w:ind w:firstLine="640" w:firstLineChars="200"/>
        <w:outlineLvl w:val="1"/>
        <w:rPr>
          <w:rFonts w:cs="宋体" w:asciiTheme="majorEastAsia" w:hAnsiTheme="majorEastAsia" w:eastAsiaTheme="majorEastAsia"/>
          <w:bCs/>
          <w:kern w:val="0"/>
          <w:sz w:val="32"/>
          <w:szCs w:val="32"/>
        </w:rPr>
      </w:pPr>
      <w:r>
        <w:rPr>
          <w:rFonts w:hint="eastAsia" w:cs="宋体" w:asciiTheme="majorEastAsia" w:hAnsiTheme="majorEastAsia" w:eastAsiaTheme="majorEastAsia"/>
          <w:bCs/>
          <w:kern w:val="0"/>
          <w:sz w:val="32"/>
          <w:szCs w:val="32"/>
        </w:rPr>
        <w:t>九、《国有资本经营预算财政拨款收入支出决算表》</w:t>
      </w:r>
    </w:p>
    <w:p>
      <w:pPr>
        <w:ind w:firstLine="640" w:firstLineChars="200"/>
        <w:outlineLvl w:val="1"/>
        <w:rPr>
          <w:rFonts w:cs="宋体" w:asciiTheme="majorEastAsia" w:hAnsiTheme="majorEastAsia" w:eastAsiaTheme="majorEastAsia"/>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仿宋_GBK">
    <w:panose1 w:val="03000509000000000000"/>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DOqXm5zwAAAAUBAAAPAAAAAAAAAAEAIAAAACIAAABk&#10;cnMvZG93bnJldi54bWxQSwECFAAUAAAACACHTuJA6rY5ptYBAACyAwAADgAAAAAAAAABACAAAAAe&#10;AQAAZHJzL2Uyb0RvYy54bWxQSwUGAAAAAAYABgBZAQAAZgU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20</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zZjYzlhYmJjNDA5NTg0NTUwZDY3MDEzMWUwZjg2OTEifQ=="/>
  </w:docVars>
  <w:rsids>
    <w:rsidRoot w:val="00312C27"/>
    <w:rsid w:val="00012F23"/>
    <w:rsid w:val="00021E76"/>
    <w:rsid w:val="000229DC"/>
    <w:rsid w:val="0002765D"/>
    <w:rsid w:val="0003297B"/>
    <w:rsid w:val="000379B3"/>
    <w:rsid w:val="0005626F"/>
    <w:rsid w:val="000724E7"/>
    <w:rsid w:val="00073996"/>
    <w:rsid w:val="0008509D"/>
    <w:rsid w:val="00090520"/>
    <w:rsid w:val="000A0B31"/>
    <w:rsid w:val="000D2344"/>
    <w:rsid w:val="000D267C"/>
    <w:rsid w:val="000E75B2"/>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B179F"/>
    <w:rsid w:val="002B6C9C"/>
    <w:rsid w:val="002D1584"/>
    <w:rsid w:val="00312C27"/>
    <w:rsid w:val="00352E78"/>
    <w:rsid w:val="00366326"/>
    <w:rsid w:val="003A21C7"/>
    <w:rsid w:val="003B1B1F"/>
    <w:rsid w:val="003C2E0F"/>
    <w:rsid w:val="003D686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1505"/>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1E0D"/>
    <w:rsid w:val="007649BA"/>
    <w:rsid w:val="007A247A"/>
    <w:rsid w:val="007A31DF"/>
    <w:rsid w:val="007B559C"/>
    <w:rsid w:val="007D31C5"/>
    <w:rsid w:val="007E0AAA"/>
    <w:rsid w:val="007E2227"/>
    <w:rsid w:val="007F2258"/>
    <w:rsid w:val="0081064F"/>
    <w:rsid w:val="008144C0"/>
    <w:rsid w:val="0084474D"/>
    <w:rsid w:val="0089722A"/>
    <w:rsid w:val="008A0B2C"/>
    <w:rsid w:val="008A44AF"/>
    <w:rsid w:val="008B33C8"/>
    <w:rsid w:val="008B5427"/>
    <w:rsid w:val="008D0631"/>
    <w:rsid w:val="00905908"/>
    <w:rsid w:val="00914C96"/>
    <w:rsid w:val="00926C84"/>
    <w:rsid w:val="00927CCC"/>
    <w:rsid w:val="00954C5B"/>
    <w:rsid w:val="00955F5A"/>
    <w:rsid w:val="00986787"/>
    <w:rsid w:val="009C08BE"/>
    <w:rsid w:val="00A1663A"/>
    <w:rsid w:val="00A22AE4"/>
    <w:rsid w:val="00A347A6"/>
    <w:rsid w:val="00A3556A"/>
    <w:rsid w:val="00A636E4"/>
    <w:rsid w:val="00A67EF2"/>
    <w:rsid w:val="00A87103"/>
    <w:rsid w:val="00AB776D"/>
    <w:rsid w:val="00AC1E96"/>
    <w:rsid w:val="00AE1570"/>
    <w:rsid w:val="00B03B50"/>
    <w:rsid w:val="00B33BF0"/>
    <w:rsid w:val="00B35A42"/>
    <w:rsid w:val="00B4517D"/>
    <w:rsid w:val="00B53821"/>
    <w:rsid w:val="00B92C80"/>
    <w:rsid w:val="00BA3B30"/>
    <w:rsid w:val="00BC6347"/>
    <w:rsid w:val="00BC69BD"/>
    <w:rsid w:val="00BD3218"/>
    <w:rsid w:val="00BD5200"/>
    <w:rsid w:val="00BE4763"/>
    <w:rsid w:val="00BF7AA6"/>
    <w:rsid w:val="00C0408D"/>
    <w:rsid w:val="00C23286"/>
    <w:rsid w:val="00C25C01"/>
    <w:rsid w:val="00C37871"/>
    <w:rsid w:val="00C65103"/>
    <w:rsid w:val="00C66483"/>
    <w:rsid w:val="00C7153E"/>
    <w:rsid w:val="00C72285"/>
    <w:rsid w:val="00C77B7E"/>
    <w:rsid w:val="00C90C12"/>
    <w:rsid w:val="00CA6634"/>
    <w:rsid w:val="00CB036E"/>
    <w:rsid w:val="00CD3225"/>
    <w:rsid w:val="00CF5B51"/>
    <w:rsid w:val="00CF7E34"/>
    <w:rsid w:val="00D020FB"/>
    <w:rsid w:val="00D218E2"/>
    <w:rsid w:val="00D25150"/>
    <w:rsid w:val="00D41FF8"/>
    <w:rsid w:val="00D45561"/>
    <w:rsid w:val="00D6005A"/>
    <w:rsid w:val="00D6267B"/>
    <w:rsid w:val="00D64C5E"/>
    <w:rsid w:val="00D66A40"/>
    <w:rsid w:val="00D76208"/>
    <w:rsid w:val="00D8609B"/>
    <w:rsid w:val="00DA3B1B"/>
    <w:rsid w:val="00DD0570"/>
    <w:rsid w:val="00DF2FD8"/>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876D7"/>
    <w:rsid w:val="00F91E81"/>
    <w:rsid w:val="00F95054"/>
    <w:rsid w:val="00FC321F"/>
    <w:rsid w:val="00FF6A37"/>
    <w:rsid w:val="034D4FEF"/>
    <w:rsid w:val="043E5B56"/>
    <w:rsid w:val="06792773"/>
    <w:rsid w:val="07D83CD6"/>
    <w:rsid w:val="0A7B4867"/>
    <w:rsid w:val="0AE83DE6"/>
    <w:rsid w:val="0B8C3ECC"/>
    <w:rsid w:val="0BBA0A81"/>
    <w:rsid w:val="0C7227A7"/>
    <w:rsid w:val="0DA014E7"/>
    <w:rsid w:val="0F3317C1"/>
    <w:rsid w:val="12386E6F"/>
    <w:rsid w:val="14155180"/>
    <w:rsid w:val="15F06E99"/>
    <w:rsid w:val="1C7A04C1"/>
    <w:rsid w:val="1DAF458D"/>
    <w:rsid w:val="20DD6197"/>
    <w:rsid w:val="21A91B81"/>
    <w:rsid w:val="222A65E3"/>
    <w:rsid w:val="23BC04D2"/>
    <w:rsid w:val="23FB0802"/>
    <w:rsid w:val="277F0ACA"/>
    <w:rsid w:val="27CF2642"/>
    <w:rsid w:val="2A053397"/>
    <w:rsid w:val="2D1136DF"/>
    <w:rsid w:val="2DD47676"/>
    <w:rsid w:val="2E743C6A"/>
    <w:rsid w:val="2F916B46"/>
    <w:rsid w:val="2FD27414"/>
    <w:rsid w:val="2FD45ADE"/>
    <w:rsid w:val="31C63837"/>
    <w:rsid w:val="31FE7144"/>
    <w:rsid w:val="33886852"/>
    <w:rsid w:val="35FB19DD"/>
    <w:rsid w:val="3914510A"/>
    <w:rsid w:val="3B12207E"/>
    <w:rsid w:val="3B3C07D5"/>
    <w:rsid w:val="3D2A665C"/>
    <w:rsid w:val="3D5275AC"/>
    <w:rsid w:val="40834692"/>
    <w:rsid w:val="41A84A67"/>
    <w:rsid w:val="448437A4"/>
    <w:rsid w:val="44F4368F"/>
    <w:rsid w:val="454126C2"/>
    <w:rsid w:val="45E16709"/>
    <w:rsid w:val="46901EEE"/>
    <w:rsid w:val="469C74D2"/>
    <w:rsid w:val="47A53BB1"/>
    <w:rsid w:val="49B933AA"/>
    <w:rsid w:val="4A6B0F8B"/>
    <w:rsid w:val="4B4C0111"/>
    <w:rsid w:val="50DB5F45"/>
    <w:rsid w:val="524A7163"/>
    <w:rsid w:val="52F92565"/>
    <w:rsid w:val="55CE6BE9"/>
    <w:rsid w:val="57E43B01"/>
    <w:rsid w:val="583059FA"/>
    <w:rsid w:val="5ABB586A"/>
    <w:rsid w:val="5FA17648"/>
    <w:rsid w:val="61A46A97"/>
    <w:rsid w:val="62DD7D21"/>
    <w:rsid w:val="65D97752"/>
    <w:rsid w:val="68DB0208"/>
    <w:rsid w:val="69AD798C"/>
    <w:rsid w:val="6B68175F"/>
    <w:rsid w:val="6E0F7A08"/>
    <w:rsid w:val="71473612"/>
    <w:rsid w:val="718F7F65"/>
    <w:rsid w:val="73F7554E"/>
    <w:rsid w:val="73FB6630"/>
    <w:rsid w:val="74E76DCD"/>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semiHidden/>
    <w:unhideWhenUsed/>
    <w:uiPriority w:val="1"/>
  </w:style>
  <w:style w:type="table" w:default="1" w:styleId="9">
    <w:name w:val="Normal Table"/>
    <w:semiHidden/>
    <w:unhideWhenUsed/>
    <w:uiPriority w:val="99"/>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1">
    <w:name w:val="annotation reference"/>
    <w:basedOn w:val="10"/>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10"/>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C7D3741-D4F4-499C-8A88-D03E6A303BB7}">
  <ds:schemaRefs/>
</ds:datastoreItem>
</file>

<file path=docProps/app.xml><?xml version="1.0" encoding="utf-8"?>
<Properties xmlns="http://schemas.openxmlformats.org/officeDocument/2006/extended-properties" xmlns:vt="http://schemas.openxmlformats.org/officeDocument/2006/docPropsVTypes">
  <Template>Normal</Template>
  <Company>Organization</Company>
  <Pages>21</Pages>
  <Words>1476</Words>
  <Characters>8416</Characters>
  <Lines>70</Lines>
  <Paragraphs>19</Paragraphs>
  <TotalTime>0</TotalTime>
  <ScaleCrop>false</ScaleCrop>
  <LinksUpToDate>false</LinksUpToDate>
  <CharactersWithSpaces>9873</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2023-11-03T07:04:00Z</dcterms:created>
  <dc:creator>GXR</dc:creator>
  <cp:lastModifiedBy>1</cp:lastModifiedBy>
  <dcterms:modified xsi:type="dcterms:W3CDTF">2023-11-06T10:32:42Z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450F969ACD1B426EA23123C3601580AE_13</vt:lpwstr>
  </property>
</Properties>
</file>