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微软雅黑" w:hAnsi="黑体" w:eastAsia="微软雅黑" w:cs="宋体"/>
          <w:kern w:val="0"/>
          <w:sz w:val="44"/>
          <w:szCs w:val="44"/>
          <w:lang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黑体" w:eastAsia="微软雅黑" w:cs="宋体"/>
          <w:b/>
          <w:bCs/>
          <w:kern w:val="0"/>
          <w:sz w:val="44"/>
          <w:szCs w:val="44"/>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黑体" w:eastAsia="微软雅黑" w:cs="宋体"/>
          <w:b w:val="0"/>
          <w:bCs w:val="0"/>
          <w:kern w:val="0"/>
          <w:sz w:val="44"/>
          <w:szCs w:val="44"/>
          <w:lang w:val="en-US" w:eastAsia="zh-CN"/>
        </w:rPr>
      </w:pPr>
      <w:r>
        <w:rPr>
          <w:rFonts w:hint="eastAsia" w:ascii="微软雅黑" w:hAnsi="黑体" w:eastAsia="微软雅黑" w:cs="宋体"/>
          <w:b w:val="0"/>
          <w:bCs w:val="0"/>
          <w:kern w:val="0"/>
          <w:sz w:val="44"/>
          <w:szCs w:val="44"/>
          <w:lang w:val="en-US" w:eastAsia="zh-CN"/>
        </w:rPr>
        <w:t>疏附县木什乡人民政府</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黑体" w:eastAsia="微软雅黑" w:cs="宋体"/>
          <w:b w:val="0"/>
          <w:bCs w:val="0"/>
          <w:kern w:val="0"/>
          <w:sz w:val="44"/>
          <w:szCs w:val="44"/>
          <w:lang w:val="en-US" w:eastAsia="zh-CN"/>
        </w:rPr>
      </w:pPr>
      <w:r>
        <w:rPr>
          <w:rFonts w:hint="eastAsia" w:ascii="微软雅黑" w:hAnsi="黑体" w:eastAsia="微软雅黑" w:cs="宋体"/>
          <w:b w:val="0"/>
          <w:bCs w:val="0"/>
          <w:kern w:val="0"/>
          <w:sz w:val="44"/>
          <w:szCs w:val="44"/>
          <w:lang w:val="en-US" w:eastAsia="zh-CN"/>
        </w:rPr>
        <w:t>疏附县木什乡易地扶贫搬迁产业发展项目（牛养殖小区）</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jc w:val="both"/>
        <w:rPr>
          <w:rFonts w:hint="eastAsia" w:ascii="微软雅黑" w:hAnsi="黑体" w:eastAsia="微软雅黑" w:cs="宋体"/>
          <w:kern w:val="0"/>
          <w:sz w:val="72"/>
          <w:szCs w:val="72"/>
        </w:rPr>
      </w:pPr>
    </w:p>
    <w:p>
      <w:pPr>
        <w:jc w:val="center"/>
        <w:rPr>
          <w:rFonts w:hint="eastAsia" w:ascii="微软雅黑" w:hAnsi="黑体" w:eastAsia="微软雅黑" w:cs="宋体"/>
          <w:kern w:val="0"/>
          <w:sz w:val="72"/>
          <w:szCs w:val="72"/>
        </w:rPr>
      </w:pPr>
      <w:r>
        <w:rPr>
          <w:rFonts w:hint="eastAsia" w:ascii="微软雅黑" w:hAnsi="黑体" w:eastAsia="微软雅黑" w:cs="宋体"/>
          <w:kern w:val="0"/>
          <w:sz w:val="72"/>
          <w:szCs w:val="72"/>
        </w:rPr>
        <w:t>绩效评价报告</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
      <w:pPr>
        <w:spacing w:line="400" w:lineRule="exact"/>
        <w:ind w:firstLine="2040" w:firstLineChars="850"/>
        <w:jc w:val="left"/>
        <w:rPr>
          <w:rFonts w:hint="eastAsia" w:ascii="黑体" w:hAnsi="黑体" w:eastAsia="黑体" w:cs="宋体"/>
          <w:kern w:val="0"/>
          <w:sz w:val="24"/>
        </w:rPr>
      </w:pPr>
    </w:p>
    <w:p>
      <w:pPr>
        <w:spacing w:line="400" w:lineRule="exact"/>
        <w:ind w:firstLine="2040" w:firstLineChars="850"/>
        <w:jc w:val="left"/>
        <w:rPr>
          <w:rFonts w:ascii="黑体" w:hAnsi="黑体" w:eastAsia="黑体" w:cs="宋体"/>
          <w:kern w:val="0"/>
          <w:sz w:val="24"/>
          <w:highlight w:val="none"/>
        </w:rPr>
      </w:pPr>
      <w:r>
        <w:rPr>
          <w:rFonts w:hint="eastAsia" w:ascii="黑体" w:hAnsi="黑体" w:eastAsia="黑体" w:cs="宋体"/>
          <w:kern w:val="0"/>
          <w:sz w:val="24"/>
          <w:highlight w:val="none"/>
        </w:rPr>
        <w:t>报告编号：中瑞诚喀绩评字[202</w:t>
      </w:r>
      <w:r>
        <w:rPr>
          <w:rFonts w:hint="eastAsia" w:ascii="黑体" w:hAnsi="黑体" w:eastAsia="黑体" w:cs="宋体"/>
          <w:kern w:val="0"/>
          <w:sz w:val="24"/>
          <w:highlight w:val="none"/>
          <w:lang w:val="en-US" w:eastAsia="zh-CN"/>
        </w:rPr>
        <w:t>3</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014</w:t>
      </w:r>
      <w:r>
        <w:rPr>
          <w:rFonts w:hint="eastAsia" w:ascii="黑体" w:hAnsi="黑体" w:eastAsia="黑体" w:cs="宋体"/>
          <w:kern w:val="0"/>
          <w:sz w:val="24"/>
          <w:highlight w:val="none"/>
        </w:rPr>
        <w:t>号</w:t>
      </w:r>
    </w:p>
    <w:p>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疏附</w:t>
      </w:r>
      <w:r>
        <w:rPr>
          <w:rFonts w:hint="eastAsia" w:ascii="黑体" w:hAnsi="黑体" w:eastAsia="黑体" w:cs="宋体"/>
          <w:kern w:val="0"/>
          <w:sz w:val="24"/>
        </w:rPr>
        <w:t>县财政局</w:t>
      </w:r>
    </w:p>
    <w:p>
      <w:pPr>
        <w:spacing w:line="400" w:lineRule="exact"/>
        <w:ind w:firstLine="2040" w:firstLineChars="850"/>
        <w:jc w:val="left"/>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3</w:t>
      </w:r>
      <w:r>
        <w:rPr>
          <w:rFonts w:hint="eastAsia" w:ascii="黑体" w:hAnsi="黑体" w:eastAsia="黑体" w:cs="宋体"/>
          <w:kern w:val="0"/>
          <w:sz w:val="24"/>
        </w:rPr>
        <w:t>年</w:t>
      </w:r>
      <w:r>
        <w:rPr>
          <w:rFonts w:hint="eastAsia" w:ascii="黑体" w:hAnsi="黑体" w:eastAsia="黑体" w:cs="宋体"/>
          <w:kern w:val="0"/>
          <w:sz w:val="24"/>
          <w:lang w:val="en-US" w:eastAsia="zh-CN"/>
        </w:rPr>
        <w:t>07</w:t>
      </w:r>
      <w:r>
        <w:rPr>
          <w:rFonts w:hint="eastAsia" w:ascii="黑体" w:hAnsi="黑体" w:eastAsia="黑体" w:cs="宋体"/>
          <w:kern w:val="0"/>
          <w:sz w:val="24"/>
        </w:rPr>
        <w:t>月</w:t>
      </w:r>
      <w:r>
        <w:rPr>
          <w:rFonts w:hint="eastAsia" w:ascii="黑体" w:hAnsi="黑体" w:eastAsia="黑体" w:cs="宋体"/>
          <w:kern w:val="0"/>
          <w:sz w:val="24"/>
          <w:lang w:val="en-US" w:eastAsia="zh-CN"/>
        </w:rPr>
        <w:t>10</w:t>
      </w:r>
      <w:r>
        <w:rPr>
          <w:rFonts w:hint="eastAsia" w:ascii="黑体" w:hAnsi="黑体" w:eastAsia="黑体" w:cs="宋体"/>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Layout w:type="fixed"/>
          <w:tblCellMar>
            <w:top w:w="15" w:type="dxa"/>
            <w:left w:w="15" w:type="dxa"/>
            <w:bottom w:w="15" w:type="dxa"/>
            <w:right w:w="15" w:type="dxa"/>
          </w:tblCellMar>
        </w:tblPrEx>
        <w:trPr>
          <w:trHeight w:val="301" w:hRule="atLeast"/>
        </w:trPr>
        <w:tc>
          <w:tcPr>
            <w:tcW w:w="8983" w:type="dxa"/>
            <w:gridSpan w:val="13"/>
            <w:shd w:val="clear" w:color="auto" w:fill="auto"/>
            <w:vAlign w:val="center"/>
          </w:tcPr>
          <w:p>
            <w:pPr>
              <w:widowControl/>
              <w:jc w:val="left"/>
              <w:textAlignment w:val="center"/>
              <w:rPr>
                <w:rFonts w:ascii="黑体" w:hAnsi="宋体" w:eastAsia="黑体" w:cs="黑体"/>
                <w:color w:val="000000"/>
                <w:sz w:val="24"/>
              </w:rPr>
            </w:pPr>
            <w:r>
              <w:rPr>
                <w:rFonts w:hint="eastAsia" w:ascii="黑体" w:hAnsi="宋体" w:eastAsia="黑体" w:cs="黑体"/>
                <w:color w:val="000000"/>
                <w:kern w:val="0"/>
                <w:sz w:val="24"/>
              </w:rPr>
              <w:t>评价分值：</w:t>
            </w:r>
            <w:r>
              <w:rPr>
                <w:rFonts w:hint="eastAsia" w:ascii="黑体" w:hAnsi="宋体" w:eastAsia="黑体" w:cs="黑体"/>
                <w:color w:val="000000"/>
                <w:kern w:val="0"/>
                <w:sz w:val="24"/>
                <w:lang w:val="en-US" w:eastAsia="zh-CN"/>
              </w:rPr>
              <w:t>100</w:t>
            </w:r>
            <w:r>
              <w:rPr>
                <w:rFonts w:hint="eastAsia" w:ascii="黑体" w:hAnsi="宋体" w:eastAsia="黑体" w:cs="黑体"/>
                <w:color w:val="000000"/>
                <w:kern w:val="0"/>
                <w:sz w:val="24"/>
              </w:rPr>
              <w:t>评价等级：优</w:t>
            </w:r>
          </w:p>
        </w:tc>
      </w:tr>
      <w:tr>
        <w:tblPrEx>
          <w:tblLayout w:type="fixed"/>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概要</w:t>
            </w:r>
          </w:p>
        </w:tc>
      </w:tr>
      <w:tr>
        <w:tblPrEx>
          <w:tblLayout w:type="fixed"/>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喀什分所单位：万元、类、个</w:t>
            </w:r>
          </w:p>
        </w:tc>
      </w:tr>
      <w:tr>
        <w:tblPrEx>
          <w:tblLayout w:type="fixed"/>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疏附县木什乡易地扶贫搬迁产业发展项目（牛养殖小区）</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2</w:t>
            </w:r>
          </w:p>
        </w:tc>
      </w:tr>
      <w:tr>
        <w:tblPrEx>
          <w:tblLayout w:type="fixed"/>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林俊15509978655</w:t>
            </w:r>
          </w:p>
        </w:tc>
      </w:tr>
      <w:tr>
        <w:tblPrEx>
          <w:tblLayout w:type="fixed"/>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疏附县木什乡人民政府</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郭雪峰15739531314</w:t>
            </w:r>
          </w:p>
        </w:tc>
      </w:tr>
      <w:tr>
        <w:tblPrEx>
          <w:tblLayout w:type="fixed"/>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优</w:t>
            </w:r>
          </w:p>
        </w:tc>
      </w:tr>
      <w:tr>
        <w:tblPrEx>
          <w:tblLayout w:type="fixed"/>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highlight w:val="none"/>
                <w:lang w:val="en-US" w:eastAsia="zh-CN"/>
              </w:rPr>
              <w:t>519.36</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519.36</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r>
              <w:rPr>
                <w:rFonts w:hint="eastAsia" w:ascii="仿宋_GB2312" w:hAnsi="宋体" w:eastAsia="仿宋_GB2312" w:cs="仿宋_GB2312"/>
                <w:color w:val="000000"/>
                <w:sz w:val="20"/>
                <w:szCs w:val="20"/>
              </w:rPr>
              <w:t>%</w:t>
            </w:r>
          </w:p>
        </w:tc>
      </w:tr>
      <w:tr>
        <w:tblPrEx>
          <w:tblLayout w:type="fixed"/>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highlight w:val="none"/>
                <w:lang w:val="en-US" w:eastAsia="zh-CN"/>
              </w:rPr>
              <w:t>其中：</w:t>
            </w:r>
            <w:r>
              <w:rPr>
                <w:rFonts w:hint="eastAsia" w:ascii="黑体" w:hAnsi="宋体" w:eastAsia="黑体" w:cs="黑体"/>
                <w:color w:val="000000"/>
                <w:kern w:val="0"/>
                <w:sz w:val="20"/>
                <w:szCs w:val="20"/>
                <w:highlight w:val="none"/>
              </w:rPr>
              <w:t>中央财政资金拨付数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highlight w:val="none"/>
                <w:lang w:val="en-US" w:eastAsia="zh-CN"/>
              </w:rPr>
              <w:t>519.36</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highlight w:val="none"/>
                <w:lang w:val="en-US" w:eastAsia="zh-CN"/>
              </w:rPr>
              <w:t>其中：中央财政资金抽查数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outlineLvl w:val="9"/>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highlight w:val="none"/>
                <w:lang w:val="en-US" w:eastAsia="zh-CN"/>
              </w:rPr>
              <w:t>519.36</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highlight w:val="none"/>
                <w:lang w:val="en-US" w:eastAsia="zh-CN"/>
              </w:rPr>
              <w:t>其中：</w:t>
            </w:r>
            <w:r>
              <w:rPr>
                <w:rFonts w:hint="eastAsia" w:ascii="黑体" w:hAnsi="宋体" w:eastAsia="黑体" w:cs="黑体"/>
                <w:color w:val="000000"/>
                <w:kern w:val="0"/>
                <w:sz w:val="20"/>
                <w:szCs w:val="20"/>
                <w:highlight w:val="none"/>
              </w:rPr>
              <w:t>中央财政资金抽查占比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仿宋_GB2312" w:eastAsia="仿宋_GB2312" w:cs="仿宋_GB2312"/>
                <w:color w:val="auto"/>
                <w:sz w:val="20"/>
                <w:szCs w:val="20"/>
                <w:highlight w:val="none"/>
                <w:lang w:val="en-US" w:eastAsia="zh-CN"/>
              </w:rPr>
              <w:t>100</w:t>
            </w:r>
            <w:r>
              <w:rPr>
                <w:rFonts w:hint="eastAsia" w:ascii="仿宋_GB2312" w:hAnsi="仿宋_GB2312" w:eastAsia="仿宋_GB2312" w:cs="仿宋_GB2312"/>
                <w:color w:val="auto"/>
                <w:sz w:val="20"/>
                <w:szCs w:val="20"/>
                <w:highlight w:val="none"/>
              </w:rPr>
              <w:t>%</w:t>
            </w:r>
          </w:p>
        </w:tc>
      </w:tr>
      <w:tr>
        <w:tblPrEx>
          <w:tblLayout w:type="fixed"/>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lang w:val="en-US" w:eastAsia="zh-CN"/>
              </w:rPr>
              <w:t>自治区</w:t>
            </w:r>
            <w:r>
              <w:rPr>
                <w:rFonts w:hint="eastAsia" w:ascii="黑体" w:hAnsi="黑体" w:eastAsia="黑体" w:cs="黑体"/>
                <w:b w:val="0"/>
                <w:bCs w:val="0"/>
                <w:color w:val="auto"/>
                <w:kern w:val="0"/>
                <w:sz w:val="20"/>
                <w:szCs w:val="20"/>
              </w:rPr>
              <w:t>财政资金拨付数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eastAsia" w:ascii="仿宋_GB2312" w:hAnsi="仿宋_GB2312" w:eastAsia="仿宋_GB2312" w:cs="仿宋_GB2312"/>
                <w:color w:val="auto"/>
                <w:sz w:val="20"/>
                <w:szCs w:val="20"/>
                <w:highlight w:val="none"/>
                <w:lang w:val="en-US" w:eastAsia="zh-CN"/>
              </w:rPr>
              <w:t>0.00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lang w:val="en-US" w:eastAsia="zh-CN"/>
              </w:rPr>
              <w:t>自治区财政资金抽查数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outlineLvl w:val="9"/>
              <w:rPr>
                <w:rFonts w:hint="eastAsia"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lang w:val="en-US" w:eastAsia="zh-CN"/>
              </w:rPr>
              <w:t>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lang w:val="en-US" w:eastAsia="zh-CN"/>
              </w:rPr>
              <w:t>自治区</w:t>
            </w:r>
            <w:r>
              <w:rPr>
                <w:rFonts w:hint="eastAsia" w:ascii="黑体" w:hAnsi="黑体" w:eastAsia="黑体" w:cs="黑体"/>
                <w:b w:val="0"/>
                <w:bCs w:val="0"/>
                <w:color w:val="auto"/>
                <w:kern w:val="0"/>
                <w:sz w:val="20"/>
                <w:szCs w:val="20"/>
              </w:rPr>
              <w:t>财政资金抽查占比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仿宋_GB2312" w:eastAsia="仿宋_GB2312" w:cs="仿宋_GB2312"/>
                <w:color w:val="auto"/>
                <w:sz w:val="20"/>
                <w:szCs w:val="20"/>
                <w:highlight w:val="none"/>
                <w:lang w:val="en-US" w:eastAsia="zh-CN"/>
              </w:rPr>
              <w:t>0.00%</w:t>
            </w:r>
          </w:p>
        </w:tc>
      </w:tr>
      <w:tr>
        <w:tblPrEx>
          <w:tblLayout w:type="fixed"/>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黑体"/>
                <w:b w:val="0"/>
                <w:bCs w:val="0"/>
                <w:color w:val="auto"/>
                <w:kern w:val="0"/>
                <w:sz w:val="20"/>
                <w:szCs w:val="20"/>
              </w:rPr>
            </w:pPr>
            <w:r>
              <w:rPr>
                <w:rFonts w:hint="eastAsia" w:ascii="黑体" w:hAnsi="黑体" w:eastAsia="黑体" w:cs="黑体"/>
                <w:b w:val="0"/>
                <w:bCs w:val="0"/>
                <w:color w:val="auto"/>
                <w:kern w:val="0"/>
                <w:sz w:val="20"/>
                <w:szCs w:val="20"/>
                <w:lang w:val="en-US" w:eastAsia="zh-CN"/>
              </w:rPr>
              <w:t>县</w:t>
            </w:r>
            <w:r>
              <w:rPr>
                <w:rFonts w:hint="eastAsia" w:ascii="黑体" w:hAnsi="黑体" w:eastAsia="黑体" w:cs="黑体"/>
                <w:b w:val="0"/>
                <w:bCs w:val="0"/>
                <w:color w:val="auto"/>
                <w:kern w:val="0"/>
                <w:sz w:val="20"/>
                <w:szCs w:val="20"/>
              </w:rPr>
              <w:t>财政资金</w:t>
            </w:r>
          </w:p>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eastAsia" w:ascii="仿宋_GB2312" w:hAnsi="仿宋_GB2312" w:eastAsia="仿宋_GB2312" w:cs="仿宋_GB2312"/>
                <w:color w:val="auto"/>
                <w:sz w:val="20"/>
                <w:szCs w:val="20"/>
                <w:highlight w:val="none"/>
                <w:lang w:val="en-US" w:eastAsia="zh-CN"/>
              </w:rPr>
              <w:t>0.00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黑体"/>
                <w:b w:val="0"/>
                <w:bCs w:val="0"/>
                <w:color w:val="auto"/>
                <w:kern w:val="0"/>
                <w:sz w:val="20"/>
                <w:szCs w:val="20"/>
              </w:rPr>
            </w:pPr>
            <w:r>
              <w:rPr>
                <w:rFonts w:hint="eastAsia" w:ascii="黑体" w:hAnsi="黑体" w:eastAsia="黑体" w:cs="黑体"/>
                <w:b w:val="0"/>
                <w:bCs w:val="0"/>
                <w:color w:val="auto"/>
                <w:kern w:val="0"/>
                <w:sz w:val="20"/>
                <w:szCs w:val="20"/>
                <w:lang w:val="en-US" w:eastAsia="zh-CN"/>
              </w:rPr>
              <w:t>县</w:t>
            </w:r>
            <w:r>
              <w:rPr>
                <w:rFonts w:hint="eastAsia" w:ascii="黑体" w:hAnsi="黑体" w:eastAsia="黑体" w:cs="黑体"/>
                <w:b w:val="0"/>
                <w:bCs w:val="0"/>
                <w:color w:val="auto"/>
                <w:kern w:val="0"/>
                <w:sz w:val="20"/>
                <w:szCs w:val="20"/>
              </w:rPr>
              <w:t>财政资金</w:t>
            </w:r>
          </w:p>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outlineLvl w:val="9"/>
              <w:rPr>
                <w:rFonts w:hint="eastAsia"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lang w:val="en-US" w:eastAsia="zh-CN"/>
              </w:rPr>
              <w:t>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黑体"/>
                <w:b w:val="0"/>
                <w:bCs w:val="0"/>
                <w:color w:val="auto"/>
                <w:kern w:val="0"/>
                <w:sz w:val="20"/>
                <w:szCs w:val="20"/>
              </w:rPr>
            </w:pPr>
            <w:r>
              <w:rPr>
                <w:rFonts w:hint="eastAsia" w:ascii="黑体" w:hAnsi="黑体" w:eastAsia="黑体" w:cs="黑体"/>
                <w:b w:val="0"/>
                <w:bCs w:val="0"/>
                <w:color w:val="auto"/>
                <w:kern w:val="0"/>
                <w:sz w:val="20"/>
                <w:szCs w:val="20"/>
                <w:lang w:val="en-US" w:eastAsia="zh-CN"/>
              </w:rPr>
              <w:t>县</w:t>
            </w:r>
            <w:r>
              <w:rPr>
                <w:rFonts w:hint="eastAsia" w:ascii="黑体" w:hAnsi="黑体" w:eastAsia="黑体" w:cs="黑体"/>
                <w:b w:val="0"/>
                <w:bCs w:val="0"/>
                <w:color w:val="auto"/>
                <w:kern w:val="0"/>
                <w:sz w:val="20"/>
                <w:szCs w:val="20"/>
              </w:rPr>
              <w:t>财政资金</w:t>
            </w:r>
          </w:p>
          <w:p>
            <w:pPr>
              <w:widowControl/>
              <w:spacing w:line="240" w:lineRule="exact"/>
              <w:jc w:val="center"/>
              <w:textAlignment w:val="center"/>
              <w:rPr>
                <w:rFonts w:hint="eastAsia" w:ascii="黑体" w:hAnsi="宋体" w:eastAsia="黑体" w:cs="黑体"/>
                <w:color w:val="000000"/>
                <w:kern w:val="0"/>
                <w:sz w:val="20"/>
                <w:szCs w:val="20"/>
              </w:rPr>
            </w:pPr>
            <w:r>
              <w:rPr>
                <w:rFonts w:hint="eastAsia" w:ascii="黑体" w:hAnsi="黑体" w:eastAsia="黑体" w:cs="黑体"/>
                <w:b w:val="0"/>
                <w:bCs w:val="0"/>
                <w:color w:val="auto"/>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仿宋_GB2312" w:eastAsia="仿宋_GB2312" w:cs="仿宋_GB2312"/>
                <w:color w:val="auto"/>
                <w:sz w:val="20"/>
                <w:szCs w:val="20"/>
                <w:highlight w:val="none"/>
                <w:lang w:val="en-US" w:eastAsia="zh-CN"/>
              </w:rPr>
              <w:t>0.00%</w:t>
            </w:r>
          </w:p>
        </w:tc>
      </w:tr>
      <w:tr>
        <w:tblPrEx>
          <w:tblLayout w:type="fixed"/>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基建类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基建类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100%</w:t>
            </w:r>
          </w:p>
        </w:tc>
      </w:tr>
      <w:tr>
        <w:tblPrEx>
          <w:tblLayout w:type="fixed"/>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100%</w:t>
            </w:r>
          </w:p>
        </w:tc>
      </w:tr>
      <w:tr>
        <w:tblPrEx>
          <w:tblLayout w:type="fixed"/>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eastAsia" w:ascii="黑体" w:hAnsi="宋体" w:eastAsia="仿宋_GB2312" w:cs="黑体"/>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sz w:val="20"/>
                <w:szCs w:val="20"/>
                <w:lang w:val="en-US" w:eastAsia="zh-CN"/>
              </w:rPr>
              <w:t>疏附县木什乡</w:t>
            </w:r>
          </w:p>
        </w:tc>
      </w:tr>
      <w:tr>
        <w:tblPrEx>
          <w:tblLayout w:type="fixed"/>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95%</w:t>
            </w:r>
          </w:p>
        </w:tc>
      </w:tr>
      <w:tr>
        <w:tblPrEx>
          <w:tblLayout w:type="fixed"/>
          <w:tblCellMar>
            <w:top w:w="15" w:type="dxa"/>
            <w:left w:w="15" w:type="dxa"/>
            <w:bottom w:w="15" w:type="dxa"/>
            <w:right w:w="15" w:type="dxa"/>
          </w:tblCellMar>
        </w:tblPrEx>
        <w:trPr>
          <w:trHeight w:val="1156"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240" w:lineRule="exact"/>
              <w:jc w:val="both"/>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截止绩效自评日，本项目已完成建设2个牛舍，总建筑面积达到了2400平米；建设了1个，建设草料棚面积达到了450平米；建设了1个青储池，采购了一套12立方立式TMR（含上料，出料输送机）、消毒机1台（m3：40）、500L消毒设备（配套相关附属）、6、8t-10t/h草粉机、25马力柴油运料设备5m³柴油投料设备、20L雾化消毒机、3m³清粪设备各一台。</w:t>
            </w:r>
          </w:p>
          <w:p>
            <w:pPr>
              <w:keepNext w:val="0"/>
              <w:keepLines w:val="0"/>
              <w:pageBreakBefore w:val="0"/>
              <w:widowControl/>
              <w:kinsoku/>
              <w:wordWrap/>
              <w:overflowPunct/>
              <w:topLinePunct w:val="0"/>
              <w:autoSpaceDE/>
              <w:autoSpaceDN/>
              <w:bidi w:val="0"/>
              <w:adjustRightInd/>
              <w:snapToGrid/>
              <w:spacing w:line="240" w:lineRule="exact"/>
              <w:jc w:val="both"/>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eastAsia="zh-CN"/>
              </w:rPr>
              <w:t>本项目的实施增加了村集体收入5万元左右，带动了已脱贫人口全年总收入达到了5万元，受益已脱贫户户数达到了25户，带动了增加就业人数达到了10人以上，项目受益已脱贫人口达到了100人；受益脱贫巩固了人口满意度达到了95%。</w:t>
            </w:r>
          </w:p>
        </w:tc>
      </w:tr>
      <w:tr>
        <w:tblPrEx>
          <w:tblLayout w:type="fixed"/>
          <w:tblCellMar>
            <w:top w:w="15" w:type="dxa"/>
            <w:left w:w="15" w:type="dxa"/>
            <w:bottom w:w="15" w:type="dxa"/>
            <w:right w:w="15" w:type="dxa"/>
          </w:tblCellMar>
        </w:tblPrEx>
        <w:trPr>
          <w:trHeight w:val="493"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000000"/>
                <w:sz w:val="20"/>
                <w:szCs w:val="20"/>
                <w:highlight w:val="yellow"/>
                <w:lang w:eastAsia="zh-CN"/>
              </w:rPr>
            </w:pPr>
            <w:r>
              <w:rPr>
                <w:rFonts w:hint="eastAsia" w:ascii="仿宋_GB2312" w:hAnsi="宋体" w:eastAsia="仿宋_GB2312" w:cs="仿宋_GB2312"/>
                <w:color w:val="000000"/>
                <w:sz w:val="20"/>
                <w:szCs w:val="20"/>
                <w:lang w:val="en-US" w:eastAsia="zh-CN"/>
              </w:rPr>
              <w:t>无。</w:t>
            </w:r>
          </w:p>
        </w:tc>
      </w:tr>
      <w:tr>
        <w:tblPrEx>
          <w:tblLayout w:type="fixed"/>
          <w:tblCellMar>
            <w:top w:w="15" w:type="dxa"/>
            <w:left w:w="15" w:type="dxa"/>
            <w:bottom w:w="15" w:type="dxa"/>
            <w:right w:w="15" w:type="dxa"/>
          </w:tblCellMar>
        </w:tblPrEx>
        <w:trPr>
          <w:trHeight w:val="345"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val="en-US" w:eastAsia="zh-CN"/>
              </w:rPr>
              <w:t>无。</w:t>
            </w:r>
          </w:p>
        </w:tc>
      </w:tr>
      <w:tr>
        <w:tblPrEx>
          <w:tblLayout w:type="fixed"/>
          <w:tblCellMar>
            <w:top w:w="15" w:type="dxa"/>
            <w:left w:w="15" w:type="dxa"/>
            <w:bottom w:w="15" w:type="dxa"/>
            <w:right w:w="15" w:type="dxa"/>
          </w:tblCellMar>
        </w:tblPrEx>
        <w:trPr>
          <w:trHeight w:val="90"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1.建议将此次绩效评价过程中发现的问题进行及时整改；</w:t>
            </w:r>
          </w:p>
          <w:p>
            <w:pPr>
              <w:widowControl/>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2.建议加大对绩效评价结果的应用，此次绩效评价结果，可作为202</w:t>
            </w:r>
            <w:r>
              <w:rPr>
                <w:rFonts w:hint="eastAsia" w:ascii="仿宋_GB2312" w:hAnsi="宋体" w:eastAsia="仿宋_GB2312" w:cs="仿宋_GB2312"/>
                <w:color w:val="000000"/>
                <w:sz w:val="20"/>
                <w:szCs w:val="20"/>
                <w:lang w:val="en-US" w:eastAsia="zh-CN"/>
              </w:rPr>
              <w:t>2</w:t>
            </w:r>
            <w:r>
              <w:rPr>
                <w:rFonts w:hint="eastAsia" w:ascii="仿宋_GB2312" w:hAnsi="宋体" w:eastAsia="仿宋_GB2312" w:cs="仿宋_GB2312"/>
                <w:color w:val="000000"/>
                <w:sz w:val="20"/>
                <w:szCs w:val="20"/>
                <w:lang w:eastAsia="zh-CN"/>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eastAsia="zh-CN"/>
              </w:rPr>
              <w:t>3.建议建立绩效评价结果应用制度，将202</w:t>
            </w:r>
            <w:r>
              <w:rPr>
                <w:rFonts w:hint="eastAsia" w:ascii="仿宋_GB2312" w:hAnsi="宋体" w:eastAsia="仿宋_GB2312" w:cs="仿宋_GB2312"/>
                <w:color w:val="000000"/>
                <w:sz w:val="20"/>
                <w:szCs w:val="20"/>
                <w:lang w:val="en-US" w:eastAsia="zh-CN"/>
              </w:rPr>
              <w:t>1</w:t>
            </w:r>
            <w:r>
              <w:rPr>
                <w:rFonts w:hint="eastAsia" w:ascii="仿宋_GB2312" w:hAnsi="宋体" w:eastAsia="仿宋_GB2312" w:cs="仿宋_GB2312"/>
                <w:color w:val="000000"/>
                <w:sz w:val="20"/>
                <w:szCs w:val="20"/>
                <w:lang w:eastAsia="zh-CN"/>
              </w:rPr>
              <w:t>年绩效评价结果进行公示、公开。</w:t>
            </w:r>
          </w:p>
        </w:tc>
      </w:tr>
      <w:tr>
        <w:tblPrEx>
          <w:tblLayout w:type="fixed"/>
          <w:tblCellMar>
            <w:top w:w="15" w:type="dxa"/>
            <w:left w:w="15" w:type="dxa"/>
            <w:bottom w:w="15" w:type="dxa"/>
            <w:right w:w="15" w:type="dxa"/>
          </w:tblCellMar>
        </w:tblPrEx>
        <w:trPr>
          <w:trHeight w:val="475"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3</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01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3</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07</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黑体" w:hAnsi="黑体" w:eastAsia="黑体" w:cs="仿宋_GB2312"/>
                <w:color w:val="000000"/>
                <w:sz w:val="20"/>
                <w:szCs w:val="20"/>
                <w:lang w:val="en-US"/>
              </w:rPr>
            </w:pPr>
            <w:r>
              <w:rPr>
                <w:rFonts w:hint="eastAsia" w:ascii="仿宋_GB2312" w:hAnsi="宋体" w:eastAsia="仿宋_GB2312" w:cs="仿宋_GB2312"/>
                <w:color w:val="000000"/>
                <w:sz w:val="20"/>
                <w:szCs w:val="20"/>
                <w:highlight w:val="none"/>
                <w:lang w:eastAsia="zh-CN"/>
              </w:rPr>
              <w:t>中瑞诚喀绩评字[202</w:t>
            </w:r>
            <w:r>
              <w:rPr>
                <w:rFonts w:hint="eastAsia" w:ascii="仿宋_GB2312" w:hAnsi="宋体" w:eastAsia="仿宋_GB2312" w:cs="仿宋_GB2312"/>
                <w:color w:val="000000"/>
                <w:sz w:val="20"/>
                <w:szCs w:val="20"/>
                <w:highlight w:val="none"/>
                <w:lang w:val="en-US" w:eastAsia="zh-CN"/>
              </w:rPr>
              <w:t>3</w:t>
            </w:r>
            <w:r>
              <w:rPr>
                <w:rFonts w:hint="eastAsia" w:ascii="仿宋_GB2312" w:hAnsi="宋体" w:eastAsia="仿宋_GB2312" w:cs="仿宋_GB2312"/>
                <w:color w:val="000000"/>
                <w:sz w:val="20"/>
                <w:szCs w:val="20"/>
                <w:highlight w:val="none"/>
                <w:lang w:eastAsia="zh-CN"/>
              </w:rPr>
              <w:t>]</w:t>
            </w:r>
            <w:r>
              <w:rPr>
                <w:rFonts w:hint="eastAsia" w:ascii="仿宋_GB2312" w:hAnsi="宋体" w:eastAsia="仿宋_GB2312" w:cs="仿宋_GB2312"/>
                <w:color w:val="000000"/>
                <w:sz w:val="20"/>
                <w:szCs w:val="20"/>
                <w:highlight w:val="none"/>
                <w:lang w:val="en-US" w:eastAsia="zh-CN"/>
              </w:rPr>
              <w:t>014</w:t>
            </w:r>
          </w:p>
        </w:tc>
      </w:tr>
      <w:tr>
        <w:tblPrEx>
          <w:tblLayout w:type="fixed"/>
          <w:tblCellMar>
            <w:top w:w="15" w:type="dxa"/>
            <w:left w:w="15" w:type="dxa"/>
            <w:bottom w:w="15" w:type="dxa"/>
            <w:right w:w="15" w:type="dxa"/>
          </w:tblCellMar>
        </w:tblPrEx>
        <w:trPr>
          <w:trHeight w:val="763"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黑体" w:hAnsi="黑体" w:eastAsia="黑体" w:cs="仿宋_GB2312"/>
                <w:color w:val="000000"/>
                <w:sz w:val="20"/>
                <w:szCs w:val="20"/>
                <w:lang w:val="en-US" w:eastAsia="zh-CN"/>
              </w:rPr>
              <w:t>主评人</w:t>
            </w:r>
            <w:r>
              <w:rPr>
                <w:rFonts w:hint="eastAsia" w:ascii="黑体" w:hAnsi="黑体" w:eastAsia="黑体" w:cs="仿宋_GB2312"/>
                <w:color w:val="000000"/>
                <w:sz w:val="20"/>
                <w:szCs w:val="20"/>
              </w:rPr>
              <w:t>及联系方式</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叶金玲13899129971</w:t>
            </w:r>
          </w:p>
        </w:tc>
      </w:tr>
    </w:tbl>
    <w:p>
      <w:pPr>
        <w:pStyle w:val="13"/>
        <w:tabs>
          <w:tab w:val="right" w:leader="dot" w:pos="8302"/>
        </w:tabs>
        <w:jc w:val="center"/>
        <w:rPr>
          <w:rFonts w:hint="eastAsia" w:ascii="方正黑体_GBK" w:hAnsi="方正黑体_GBK" w:eastAsia="方正黑体_GBK" w:cs="方正黑体_GBK"/>
          <w:sz w:val="44"/>
          <w:szCs w:val="44"/>
        </w:rPr>
      </w:pPr>
      <w:r>
        <w:rPr>
          <w:rFonts w:hint="eastAsia" w:ascii="方正黑体_GBK" w:hAnsi="方正黑体_GBK" w:eastAsia="方正黑体_GBK" w:cs="方正黑体_GBK"/>
          <w:sz w:val="44"/>
          <w:szCs w:val="44"/>
        </w:rPr>
        <w:t>摘要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疏附县财政局委托，中瑞诚会计师事务所（特殊普通合伙）喀什分所作为第三方评价机构于2023年06月01日至2023年07月10日对疏附县木什乡人民政府管理的疏附县木什乡易地扶贫搬迁产业发展项目（牛养殖小区）（以下简称“该项目”）开展了绩效评价，评价情况如下：</w:t>
      </w:r>
    </w:p>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rPr>
      </w:pPr>
      <w:bookmarkStart w:id="0" w:name="_Toc1784"/>
      <w:r>
        <w:rPr>
          <w:rFonts w:hint="eastAsia" w:ascii="方正黑体_GBK" w:hAnsi="方正黑体_GBK" w:eastAsia="方正黑体_GBK" w:cs="方正黑体_GBK"/>
          <w:sz w:val="32"/>
          <w:szCs w:val="32"/>
        </w:rPr>
        <w:t>一、项目概述</w:t>
      </w:r>
      <w:bookmarkEnd w:id="0"/>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eastAsia" w:ascii="仿宋_GB2312" w:hAnsi="仿宋_GB2312" w:eastAsia="仿宋_GB2312" w:cs="仿宋_GB2312"/>
          <w:sz w:val="32"/>
          <w:szCs w:val="32"/>
          <w:highlight w:val="none"/>
          <w:lang w:val="en-US" w:eastAsia="zh-CN"/>
        </w:rPr>
      </w:pPr>
      <w:bookmarkStart w:id="1" w:name="_Toc4382"/>
      <w:r>
        <w:rPr>
          <w:rFonts w:hint="eastAsia" w:ascii="仿宋_GB2312" w:hAnsi="仿宋_GB2312" w:eastAsia="仿宋_GB2312" w:cs="仿宋_GB2312"/>
          <w:sz w:val="32"/>
          <w:szCs w:val="32"/>
          <w:highlight w:val="none"/>
          <w:lang w:val="en-US" w:eastAsia="zh-CN"/>
        </w:rPr>
        <w:t>该项目主要以保障农民基本生活条件为底线，以科学发展观为指导，以“鼓励建立养殖小区”为指针，以市场为导向，以项目建设为契机，以科技为依托，以机制创新为动力，以经济效益为中心，以增加农民收入为目标，推广标准化生产，走产、加、销一条龙发展之路，集中财力、人力物力，做大做强畜牧产业，形成规模化、区域化、现代化的畜牧业发展格局，促进农牧业大县向经济强县转变。结合疏附县产业发展结构调整的需求，引导脱贫巩固户发展养殖小区建设。疏附县木什乡人民政府计划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项目的实施将有利于加快产业结构调整，增加农民收入，增加村集体收入5万元，带动已脱贫人口全年总收入预计能达到5万元，受益已脱贫户户数预计能达到25户，受益已脱贫人口数预计能达到100人，为构建和谐社会主义新农村奠定基础。</w:t>
      </w:r>
    </w:p>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highlight w:val="yellow"/>
          <w:lang w:eastAsia="zh-CN"/>
        </w:rPr>
      </w:pPr>
      <w:r>
        <w:rPr>
          <w:rFonts w:hint="eastAsia" w:ascii="方正黑体_GBK" w:hAnsi="方正黑体_GBK" w:eastAsia="方正黑体_GBK" w:cs="方正黑体_GBK"/>
          <w:sz w:val="32"/>
          <w:szCs w:val="32"/>
        </w:rPr>
        <w:t>二、评价工作简述</w:t>
      </w:r>
      <w:bookmarkEnd w:id="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eastAsia" w:ascii="仿宋_GB2312" w:hAnsi="仿宋_GB2312" w:eastAsia="仿宋_GB2312" w:cs="仿宋_GB2312"/>
          <w:sz w:val="32"/>
          <w:szCs w:val="32"/>
          <w:highlight w:val="none"/>
          <w:lang w:val="en-US" w:eastAsia="zh-CN"/>
        </w:rPr>
      </w:pPr>
      <w:bookmarkStart w:id="2" w:name="_Toc13087"/>
      <w:r>
        <w:rPr>
          <w:rFonts w:hint="eastAsia" w:ascii="仿宋_GB2312" w:hAnsi="仿宋_GB2312" w:eastAsia="仿宋_GB2312" w:cs="仿宋_GB2312"/>
          <w:sz w:val="32"/>
          <w:szCs w:val="32"/>
          <w:highlight w:val="none"/>
          <w:lang w:val="en-US" w:eastAsia="zh-CN"/>
        </w:rPr>
        <w:t>评价组自承接该项目后，立足于该项目特点，本次评价关注重点：一是针对预算编制、资金执行的相关情况评价项目预算编制、财务核算是否到位；二是评价项目实施单位的管理制度、监管考核机制是否健全；三是评价项目是否按照目标执行，项目实施效果是否达到预期目标。</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评价工作组通过前期调研，了解项目管理流程及效果，从项目决策、项目过程、项目产出和项目效益四个维度制定了工作方案，明确了评价的目的、方法、原则、指标、标准、社会调查方案等，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项目支出绩效评价管理办法》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经综合评价，项目得分为100分，其中：项目决策得分20分、项目过程得分20分；项目产出得分30分、项目效益得分30分，评价等级为优。</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519.36万元，实际支出519.36万元，预算资金执行率100%。通过文件研读、实地调研、数据分析等方式，全面了解该项目的使用效果，项目管理过程较规范；总的来看，该项目的实施带动增加就业人数45人，受益已脱贫人口数达到了100人，受益已脱贫户户数达到了25户，加快了产业结构调整，增加了农民收入，受益已脱贫人口满意度达到了95%。</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jc w:val="left"/>
        <w:textAlignment w:val="auto"/>
        <w:outlineLvl w:val="0"/>
        <w:rPr>
          <w:rFonts w:hint="eastAsia" w:ascii="方正黑体_GBK" w:hAnsi="方正黑体_GBK" w:eastAsia="方正黑体_GBK" w:cs="方正黑体_GBK"/>
          <w:sz w:val="32"/>
          <w:szCs w:val="32"/>
          <w:highlight w:val="none"/>
        </w:rPr>
      </w:pPr>
      <w:bookmarkStart w:id="5" w:name="_Toc25703"/>
      <w:r>
        <w:rPr>
          <w:rFonts w:hint="eastAsia" w:ascii="方正黑体_GBK" w:hAnsi="方正黑体_GBK" w:eastAsia="方正黑体_GBK" w:cs="方正黑体_GBK"/>
          <w:sz w:val="32"/>
          <w:szCs w:val="32"/>
          <w:highlight w:val="none"/>
          <w:lang w:val="en-US" w:eastAsia="zh-CN"/>
        </w:rPr>
        <w:t>五、</w:t>
      </w:r>
      <w:r>
        <w:rPr>
          <w:rFonts w:hint="eastAsia" w:ascii="方正黑体_GBK" w:hAnsi="方正黑体_GBK" w:eastAsia="方正黑体_GBK" w:cs="方正黑体_GBK"/>
          <w:sz w:val="32"/>
          <w:szCs w:val="32"/>
          <w:highlight w:val="none"/>
        </w:rPr>
        <w:t>问题</w:t>
      </w:r>
      <w:r>
        <w:rPr>
          <w:rFonts w:hint="eastAsia" w:ascii="方正黑体_GBK" w:hAnsi="方正黑体_GBK" w:eastAsia="方正黑体_GBK" w:cs="方正黑体_GBK"/>
          <w:sz w:val="32"/>
          <w:szCs w:val="32"/>
          <w:highlight w:val="none"/>
          <w:lang w:val="en-US" w:eastAsia="zh-CN"/>
        </w:rPr>
        <w:t>及</w:t>
      </w:r>
      <w:r>
        <w:rPr>
          <w:rFonts w:hint="eastAsia" w:ascii="方正黑体_GBK" w:hAnsi="方正黑体_GBK" w:eastAsia="方正黑体_GBK" w:cs="方正黑体_GBK"/>
          <w:sz w:val="32"/>
          <w:szCs w:val="32"/>
          <w:highlight w:val="none"/>
        </w:rPr>
        <w:t>建议</w:t>
      </w:r>
      <w:bookmarkEnd w:id="5"/>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6" w:name="_Toc22139"/>
      <w:bookmarkStart w:id="7" w:name="_Toc24350"/>
      <w:bookmarkStart w:id="8" w:name="_Toc19437"/>
      <w:bookmarkStart w:id="9" w:name="_Toc6009"/>
      <w:bookmarkStart w:id="10" w:name="_Toc11063"/>
      <w:bookmarkStart w:id="11" w:name="_Toc5400"/>
      <w:r>
        <w:rPr>
          <w:rFonts w:hint="eastAsia" w:ascii="方正楷体_GBK" w:hAnsi="方正楷体_GBK" w:eastAsia="方正楷体_GBK" w:cs="方正楷体_GBK"/>
          <w:b/>
          <w:bCs/>
          <w:sz w:val="32"/>
          <w:szCs w:val="32"/>
        </w:rPr>
        <w:t>（一）问题</w:t>
      </w:r>
      <w:bookmarkEnd w:id="6"/>
      <w:bookmarkEnd w:id="7"/>
      <w:bookmarkEnd w:id="8"/>
      <w:bookmarkEnd w:id="9"/>
      <w:bookmarkEnd w:id="10"/>
      <w:bookmarkEnd w:id="11"/>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kern w:val="2"/>
          <w:sz w:val="32"/>
          <w:szCs w:val="32"/>
          <w:highlight w:val="none"/>
          <w:lang w:val="en-US" w:eastAsia="zh-CN" w:bidi="ar-SA"/>
        </w:rPr>
      </w:pPr>
      <w:bookmarkStart w:id="12" w:name="_Toc13719"/>
      <w:bookmarkStart w:id="13" w:name="_Toc23428"/>
      <w:bookmarkStart w:id="14" w:name="_Toc21456"/>
      <w:bookmarkStart w:id="15" w:name="_Toc3933"/>
      <w:bookmarkStart w:id="16" w:name="_Toc32170"/>
      <w:bookmarkStart w:id="17" w:name="_Toc25341"/>
      <w:r>
        <w:rPr>
          <w:rFonts w:hint="eastAsia" w:ascii="仿宋_GB2312" w:hAnsi="仿宋_GB2312" w:eastAsia="仿宋_GB2312" w:cs="仿宋_GB2312"/>
          <w:kern w:val="2"/>
          <w:sz w:val="32"/>
          <w:szCs w:val="32"/>
          <w:highlight w:val="none"/>
          <w:lang w:val="en-US" w:eastAsia="zh-CN" w:bidi="ar-SA"/>
        </w:rPr>
        <w:t>无。</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w:t>
      </w:r>
      <w:r>
        <w:rPr>
          <w:rFonts w:hint="eastAsia" w:ascii="方正楷体_GBK" w:hAnsi="方正楷体_GBK" w:eastAsia="方正楷体_GBK" w:cs="方正楷体_GBK"/>
          <w:b/>
          <w:bCs/>
          <w:sz w:val="32"/>
          <w:szCs w:val="32"/>
          <w:lang w:eastAsia="zh-CN"/>
        </w:rPr>
        <w:t>二</w:t>
      </w:r>
      <w:r>
        <w:rPr>
          <w:rFonts w:hint="eastAsia" w:ascii="方正楷体_GBK" w:hAnsi="方正楷体_GBK" w:eastAsia="方正楷体_GBK" w:cs="方正楷体_GBK"/>
          <w:b/>
          <w:bCs/>
          <w:sz w:val="32"/>
          <w:szCs w:val="32"/>
        </w:rPr>
        <w:t>）意见和建议</w:t>
      </w:r>
      <w:bookmarkEnd w:id="12"/>
      <w:bookmarkEnd w:id="13"/>
      <w:bookmarkEnd w:id="14"/>
      <w:bookmarkEnd w:id="15"/>
      <w:bookmarkEnd w:id="16"/>
      <w:bookmarkEnd w:id="17"/>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无。</w:t>
      </w:r>
    </w:p>
    <w:p>
      <w:pPr>
        <w:jc w:val="center"/>
        <w:rPr>
          <w:rFonts w:hint="eastAsia" w:ascii="方正黑体_GBK" w:hAnsi="方正黑体_GBK" w:eastAsia="方正黑体_GBK" w:cs="方正黑体_GBK"/>
          <w:b w:val="0"/>
          <w:bCs w:val="0"/>
          <w:sz w:val="44"/>
          <w:szCs w:val="44"/>
        </w:rPr>
      </w:pPr>
      <w:r>
        <w:rPr>
          <w:rFonts w:hint="eastAsia" w:ascii="方正黑体_GBK" w:hAnsi="方正黑体_GBK" w:eastAsia="方正黑体_GBK" w:cs="方正黑体_GBK"/>
          <w:b w:val="0"/>
          <w:bCs w:val="0"/>
          <w:sz w:val="44"/>
          <w:szCs w:val="44"/>
        </w:rPr>
        <w:t>绩效评价工作组成员</w:t>
      </w: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8"/>
        <w:gridCol w:w="1364"/>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9" w:hRule="atLeast"/>
        </w:trPr>
        <w:tc>
          <w:tcPr>
            <w:tcW w:w="768"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364"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98" w:hRule="atLeast"/>
        </w:trPr>
        <w:tc>
          <w:tcPr>
            <w:tcW w:w="768"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364"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项目主审质量控制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68"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364"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曹唐哲</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68"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364"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孟凯</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2" w:hRule="atLeast"/>
        </w:trPr>
        <w:tc>
          <w:tcPr>
            <w:tcW w:w="768" w:type="dxa"/>
            <w:vAlign w:val="center"/>
          </w:tcPr>
          <w:p>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4</w:t>
            </w:r>
          </w:p>
        </w:tc>
        <w:tc>
          <w:tcPr>
            <w:tcW w:w="1364" w:type="dxa"/>
            <w:vAlign w:val="center"/>
          </w:tcPr>
          <w:p>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rPr>
              <w:t>项目组</w:t>
            </w:r>
            <w:r>
              <w:rPr>
                <w:rFonts w:hint="eastAsia" w:ascii="仿宋_GB2312" w:hAnsi="黑体" w:eastAsia="仿宋_GB2312" w:cs="宋体"/>
                <w:kern w:val="0"/>
                <w:sz w:val="24"/>
                <w:lang w:eastAsia="zh-CN"/>
              </w:rPr>
              <w:t>成员</w:t>
            </w:r>
          </w:p>
        </w:tc>
        <w:tc>
          <w:tcPr>
            <w:tcW w:w="1960"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热孜亚</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atLeast"/>
        </w:trPr>
        <w:tc>
          <w:tcPr>
            <w:tcW w:w="768" w:type="dxa"/>
            <w:vAlign w:val="center"/>
          </w:tcPr>
          <w:p>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5</w:t>
            </w:r>
          </w:p>
        </w:tc>
        <w:tc>
          <w:tcPr>
            <w:tcW w:w="1364" w:type="dxa"/>
            <w:vAlign w:val="center"/>
          </w:tcPr>
          <w:p>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rPr>
              <w:t>项目组</w:t>
            </w:r>
            <w:r>
              <w:rPr>
                <w:rFonts w:hint="eastAsia" w:ascii="仿宋_GB2312" w:hAnsi="黑体" w:eastAsia="仿宋_GB2312" w:cs="宋体"/>
                <w:kern w:val="0"/>
                <w:sz w:val="24"/>
                <w:lang w:eastAsia="zh-CN"/>
              </w:rPr>
              <w:t>成员</w:t>
            </w:r>
          </w:p>
        </w:tc>
        <w:tc>
          <w:tcPr>
            <w:tcW w:w="1960"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古力热依汗</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eastAsia="zh-CN"/>
              </w:rPr>
              <w:t>会计员</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0" w:hRule="atLeast"/>
        </w:trPr>
        <w:tc>
          <w:tcPr>
            <w:tcW w:w="768"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6</w:t>
            </w:r>
          </w:p>
        </w:tc>
        <w:tc>
          <w:tcPr>
            <w:tcW w:w="1364"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阿布都海比尔</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32" w:hRule="atLeast"/>
        </w:trPr>
        <w:tc>
          <w:tcPr>
            <w:tcW w:w="768"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7</w:t>
            </w:r>
          </w:p>
        </w:tc>
        <w:tc>
          <w:tcPr>
            <w:tcW w:w="1364"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项目组成员</w:t>
            </w:r>
          </w:p>
        </w:tc>
        <w:tc>
          <w:tcPr>
            <w:tcW w:w="1960"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马木江</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bl>
    <w:p>
      <w:pPr>
        <w:pStyle w:val="13"/>
        <w:keepNext w:val="0"/>
        <w:keepLines w:val="0"/>
        <w:pageBreakBefore w:val="0"/>
        <w:widowControl w:val="0"/>
        <w:tabs>
          <w:tab w:val="right" w:leader="dot" w:pos="8302"/>
        </w:tabs>
        <w:kinsoku/>
        <w:wordWrap/>
        <w:overflowPunct/>
        <w:topLinePunct w:val="0"/>
        <w:autoSpaceDE/>
        <w:autoSpaceDN/>
        <w:bidi w:val="0"/>
        <w:adjustRightInd/>
        <w:snapToGrid/>
        <w:spacing w:line="380" w:lineRule="exact"/>
        <w:jc w:val="both"/>
        <w:textAlignment w:val="auto"/>
        <w:rPr>
          <w:rFonts w:hint="eastAsia" w:ascii="方正黑体_GBK" w:hAnsi="方正黑体_GBK" w:eastAsia="方正黑体_GBK" w:cs="方正黑体_GBK"/>
          <w:b/>
          <w:sz w:val="36"/>
          <w:szCs w:val="36"/>
        </w:rPr>
      </w:pPr>
    </w:p>
    <w:p>
      <w:pPr>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13"/>
        <w:keepNext w:val="0"/>
        <w:keepLines w:val="0"/>
        <w:pageBreakBefore w:val="0"/>
        <w:widowControl w:val="0"/>
        <w:tabs>
          <w:tab w:val="right" w:leader="dot" w:pos="8302"/>
        </w:tabs>
        <w:kinsoku/>
        <w:wordWrap/>
        <w:overflowPunct/>
        <w:topLinePunct w:val="0"/>
        <w:autoSpaceDE/>
        <w:autoSpaceDN/>
        <w:bidi w:val="0"/>
        <w:adjustRightInd/>
        <w:snapToGrid/>
        <w:spacing w:line="380" w:lineRule="exact"/>
        <w:jc w:val="center"/>
        <w:textAlignment w:val="auto"/>
        <w:rPr>
          <w:rFonts w:hint="eastAsia" w:ascii="方正黑体_GBK" w:hAnsi="方正黑体_GBK" w:eastAsia="方正黑体_GBK" w:cs="方正黑体_GBK"/>
          <w:b/>
          <w:sz w:val="36"/>
          <w:szCs w:val="36"/>
        </w:rPr>
      </w:pPr>
    </w:p>
    <w:p>
      <w:pPr>
        <w:pStyle w:val="13"/>
        <w:keepNext w:val="0"/>
        <w:keepLines w:val="0"/>
        <w:pageBreakBefore w:val="0"/>
        <w:widowControl w:val="0"/>
        <w:tabs>
          <w:tab w:val="right" w:leader="dot" w:pos="8302"/>
        </w:tabs>
        <w:kinsoku/>
        <w:wordWrap/>
        <w:overflowPunct/>
        <w:topLinePunct w:val="0"/>
        <w:autoSpaceDE/>
        <w:autoSpaceDN/>
        <w:bidi w:val="0"/>
        <w:adjustRightInd/>
        <w:snapToGrid/>
        <w:spacing w:line="380" w:lineRule="exact"/>
        <w:jc w:val="center"/>
        <w:textAlignment w:val="auto"/>
        <w:rPr>
          <w:rFonts w:hint="eastAsia" w:ascii="方正黑体_GBK" w:hAnsi="方正黑体_GBK" w:eastAsia="方正黑体_GBK" w:cs="方正黑体_GBK"/>
          <w:b/>
          <w:sz w:val="36"/>
          <w:szCs w:val="36"/>
        </w:rPr>
      </w:pPr>
      <w:r>
        <w:rPr>
          <w:rFonts w:hint="eastAsia" w:ascii="方正黑体_GBK" w:hAnsi="方正黑体_GBK" w:eastAsia="方正黑体_GBK" w:cs="方正黑体_GBK"/>
          <w:b/>
          <w:sz w:val="36"/>
          <w:szCs w:val="36"/>
        </w:rPr>
        <w:t>目录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pPr>
            <w:keepNext w:val="0"/>
            <w:keepLines w:val="0"/>
            <w:pageBreakBefore w:val="0"/>
            <w:widowControl w:val="0"/>
            <w:kinsoku/>
            <w:wordWrap/>
            <w:overflowPunct/>
            <w:topLinePunct w:val="0"/>
            <w:autoSpaceDE/>
            <w:autoSpaceDN/>
            <w:bidi w:val="0"/>
            <w:adjustRightInd/>
            <w:snapToGrid/>
            <w:spacing w:before="0" w:beforeLines="0" w:after="0" w:afterLines="0" w:line="390" w:lineRule="exact"/>
            <w:ind w:left="0" w:leftChars="0" w:right="0" w:rightChars="0" w:firstLine="0" w:firstLineChars="0"/>
            <w:jc w:val="center"/>
            <w:textAlignment w:val="auto"/>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4</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11</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11</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13</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13</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22</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24</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24</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b/>
            </w:rPr>
            <w:t>错误！未定义书签。</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25</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rFonts w:hint="eastAsia" w:eastAsiaTheme="minorEastAsia"/>
              <w:highlight w:val="none"/>
              <w:lang w:val="en-US" w:eastAsia="zh-CN"/>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rFonts w:hint="eastAsia"/>
              <w:highlight w:val="none"/>
              <w:lang w:val="en-US" w:eastAsia="zh-CN"/>
            </w:rPr>
            <w:t>2</w:t>
          </w:r>
          <w:r>
            <w:rPr>
              <w:bCs w:val="0"/>
              <w:szCs w:val="24"/>
              <w:highlight w:val="none"/>
            </w:rPr>
            <w:fldChar w:fldCharType="end"/>
          </w:r>
          <w:r>
            <w:rPr>
              <w:rFonts w:hint="eastAsia"/>
              <w:bCs w:val="0"/>
              <w:szCs w:val="24"/>
              <w:highlight w:val="none"/>
              <w:lang w:val="en-US" w:eastAsia="zh-CN"/>
            </w:rPr>
            <w:t>0</w:t>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rFonts w:hint="eastAsia" w:eastAsiaTheme="minorEastAsia"/>
              <w:highlight w:val="none"/>
              <w:lang w:val="en-US" w:eastAsia="zh-CN"/>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rFonts w:hint="eastAsia"/>
              <w:highlight w:val="none"/>
              <w:lang w:val="en-US" w:eastAsia="zh-CN"/>
            </w:rPr>
            <w:t>2</w:t>
          </w:r>
          <w:r>
            <w:rPr>
              <w:bCs w:val="0"/>
              <w:szCs w:val="24"/>
              <w:highlight w:val="none"/>
            </w:rPr>
            <w:fldChar w:fldCharType="end"/>
          </w:r>
          <w:r>
            <w:rPr>
              <w:rFonts w:hint="eastAsia"/>
              <w:bCs w:val="0"/>
              <w:szCs w:val="24"/>
              <w:highlight w:val="none"/>
              <w:lang w:val="en-US" w:eastAsia="zh-CN"/>
            </w:rPr>
            <w:t>0</w:t>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25</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w:t>
          </w:r>
          <w:r>
            <w:rPr>
              <w:rFonts w:hint="eastAsia" w:ascii="仿宋_GB2312" w:hAnsi="仿宋" w:eastAsia="仿宋_GB2312" w:cs="宋体"/>
              <w:bCs/>
              <w:szCs w:val="32"/>
              <w:highlight w:val="none"/>
              <w:lang w:val="en-US" w:eastAsia="zh-CN"/>
            </w:rPr>
            <w:t>监督</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25</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25</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26</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26</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26</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27</w:t>
          </w:r>
          <w:r>
            <w:rPr>
              <w:highlight w:val="none"/>
            </w:rPr>
            <w:fldChar w:fldCharType="end"/>
          </w:r>
          <w:r>
            <w:rPr>
              <w:bCs w:val="0"/>
              <w:szCs w:val="24"/>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27</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lang w:eastAsia="zh-CN"/>
            </w:rPr>
            <w:t>其他需要说明的问题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27</w:t>
          </w:r>
          <w:r>
            <w:rPr>
              <w:highlight w:val="none"/>
            </w:rPr>
            <w:fldChar w:fldCharType="end"/>
          </w:r>
          <w:r>
            <w:rPr>
              <w:bCs w:val="0"/>
              <w:szCs w:val="24"/>
              <w:highlight w:val="none"/>
            </w:rPr>
            <w:fldChar w:fldCharType="end"/>
          </w:r>
        </w:p>
        <w:p>
          <w:pPr>
            <w:pStyle w:val="13"/>
            <w:keepNext w:val="0"/>
            <w:keepLines w:val="0"/>
            <w:pageBreakBefore w:val="0"/>
            <w:widowControl w:val="0"/>
            <w:tabs>
              <w:tab w:val="right" w:leader="dot" w:pos="8306"/>
            </w:tabs>
            <w:kinsoku/>
            <w:wordWrap/>
            <w:overflowPunct/>
            <w:topLinePunct w:val="0"/>
            <w:autoSpaceDE/>
            <w:autoSpaceDN/>
            <w:bidi w:val="0"/>
            <w:adjustRightInd/>
            <w:snapToGrid/>
            <w:spacing w:line="390" w:lineRule="exact"/>
            <w:textAlignment w:val="auto"/>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28</w:t>
          </w:r>
          <w:r>
            <w:rPr>
              <w:highlight w:val="none"/>
            </w:rPr>
            <w:fldChar w:fldCharType="end"/>
          </w:r>
          <w:r>
            <w:rPr>
              <w:bCs w:val="0"/>
              <w:szCs w:val="24"/>
              <w:highlight w:val="none"/>
            </w:rPr>
            <w:fldChar w:fldCharType="end"/>
          </w:r>
        </w:p>
        <w:p>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pPr>
        <w:pStyle w:val="13"/>
        <w:tabs>
          <w:tab w:val="right" w:leader="dot" w:pos="8302"/>
        </w:tabs>
        <w:spacing w:line="340" w:lineRule="exact"/>
        <w:rPr>
          <w:rFonts w:ascii="黑体" w:hAnsi="黑体" w:eastAsia="黑体" w:cs="宋体"/>
          <w:sz w:val="32"/>
          <w:szCs w:val="32"/>
        </w:rPr>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
      <w:pPr>
        <w:pStyle w:val="13"/>
        <w:tabs>
          <w:tab w:val="right" w:leader="dot" w:pos="8302"/>
        </w:tabs>
        <w:jc w:val="center"/>
        <w:rPr>
          <w:rFonts w:hint="eastAsia" w:ascii="微软雅黑" w:hAnsi="黑体" w:eastAsia="微软雅黑" w:cs="宋体"/>
          <w:b/>
          <w:bCs/>
          <w:sz w:val="44"/>
          <w:szCs w:val="44"/>
        </w:rPr>
      </w:pPr>
      <w:bookmarkStart w:id="18" w:name="_Toc28273"/>
      <w:bookmarkStart w:id="19" w:name="_Toc7636"/>
      <w:bookmarkStart w:id="20" w:name="_Toc16603"/>
      <w:bookmarkStart w:id="21" w:name="_Toc31819"/>
      <w:bookmarkStart w:id="22" w:name="_Toc14725"/>
      <w:bookmarkStart w:id="23" w:name="_Toc18687"/>
      <w:bookmarkStart w:id="24" w:name="_Toc24347"/>
      <w:bookmarkStart w:id="25" w:name="_Toc29218"/>
      <w:bookmarkStart w:id="26" w:name="_Toc19311"/>
      <w:bookmarkStart w:id="27" w:name="_Toc1397"/>
      <w:bookmarkStart w:id="28" w:name="_Toc12923"/>
      <w:r>
        <w:rPr>
          <w:rFonts w:hint="eastAsia" w:ascii="微软雅黑" w:hAnsi="黑体" w:eastAsia="微软雅黑" w:cs="宋体"/>
          <w:b/>
          <w:bCs/>
          <w:sz w:val="44"/>
          <w:szCs w:val="44"/>
          <w:lang w:eastAsia="zh-CN"/>
        </w:rPr>
        <w:t>疏附县木什乡易地扶贫搬迁产业发展项目（牛养殖小区）</w:t>
      </w:r>
      <w:r>
        <w:rPr>
          <w:rFonts w:hint="eastAsia" w:ascii="微软雅黑" w:hAnsi="黑体" w:eastAsia="微软雅黑" w:cs="宋体"/>
          <w:b/>
          <w:bCs/>
          <w:sz w:val="44"/>
          <w:szCs w:val="44"/>
        </w:rPr>
        <w:t>绩效评价报告</w:t>
      </w:r>
      <w:bookmarkEnd w:id="18"/>
      <w:bookmarkEnd w:id="19"/>
      <w:bookmarkEnd w:id="20"/>
      <w:bookmarkEnd w:id="21"/>
      <w:bookmarkEnd w:id="22"/>
      <w:bookmarkEnd w:id="23"/>
      <w:bookmarkEnd w:id="24"/>
      <w:bookmarkEnd w:id="25"/>
      <w:bookmarkEnd w:id="26"/>
      <w:bookmarkEnd w:id="27"/>
      <w:bookmarkEnd w:id="28"/>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jc w:val="left"/>
        <w:textAlignment w:val="auto"/>
        <w:outlineLvl w:val="0"/>
        <w:rPr>
          <w:rFonts w:hint="eastAsia" w:ascii="方正黑体_GBK" w:hAnsi="方正黑体_GBK" w:eastAsia="方正黑体_GBK" w:cs="方正黑体_GBK"/>
          <w:sz w:val="32"/>
          <w:szCs w:val="32"/>
        </w:rPr>
      </w:pPr>
      <w:bookmarkStart w:id="29" w:name="_Toc28183"/>
      <w:r>
        <w:rPr>
          <w:rFonts w:hint="eastAsia" w:ascii="方正黑体_GBK" w:hAnsi="方正黑体_GBK" w:eastAsia="方正黑体_GBK" w:cs="方正黑体_GBK"/>
          <w:sz w:val="32"/>
          <w:szCs w:val="32"/>
        </w:rPr>
        <w:t>一、项目概述</w:t>
      </w:r>
      <w:bookmarkEnd w:id="29"/>
    </w:p>
    <w:p>
      <w:pPr>
        <w:pStyle w:val="33"/>
        <w:keepNext w:val="0"/>
        <w:keepLines w:val="0"/>
        <w:pageBreakBefore w:val="0"/>
        <w:widowControl w:val="0"/>
        <w:numPr>
          <w:ilvl w:val="0"/>
          <w:numId w:val="3"/>
        </w:numPr>
        <w:kinsoku/>
        <w:wordWrap/>
        <w:overflowPunct/>
        <w:topLinePunct w:val="0"/>
        <w:autoSpaceDE/>
        <w:autoSpaceDN/>
        <w:bidi w:val="0"/>
        <w:adjustRightInd w:val="0"/>
        <w:snapToGrid w:val="0"/>
        <w:spacing w:line="560" w:lineRule="exact"/>
        <w:ind w:left="0" w:leftChars="0" w:firstLine="643" w:firstLineChars="200"/>
        <w:textAlignment w:val="auto"/>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31" w:name="_Toc27345"/>
      <w:r>
        <w:rPr>
          <w:rFonts w:hint="eastAsia" w:ascii="方正楷体_GBK" w:hAnsi="方正楷体_GBK" w:eastAsia="方正楷体_GBK" w:cs="方正楷体_GBK"/>
          <w:b/>
          <w:bCs/>
          <w:sz w:val="32"/>
          <w:szCs w:val="32"/>
        </w:rPr>
        <w:t>（一）项目基本情况</w:t>
      </w:r>
      <w:bookmarkEnd w:id="31"/>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highlight w:val="none"/>
        </w:rPr>
      </w:pPr>
      <w:r>
        <w:rPr>
          <w:rFonts w:hint="eastAsia" w:ascii="仿宋_GB2312" w:hAnsi="仿宋_GB2312" w:eastAsia="仿宋_GB2312" w:cs="仿宋_GB2312"/>
          <w:b/>
          <w:bCs w:val="0"/>
          <w:sz w:val="32"/>
          <w:szCs w:val="32"/>
          <w:highlight w:val="none"/>
        </w:rPr>
        <w:t>1.项目背景</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木什乡易地搬迁点以传统优势产业畜牧业为主，也是农民增收的主要产业。为做好易地扶贫搬迁安置点的后续扶持政策，进一步打造我乡易地扶贫搬迁点的设施产业，不断扩大我乡规模养殖的比重，促进我乡畜牧业发展从粗放、散养的模式逐渐向标准化、规模化的转变，提高养殖水平。进一步巩固脱贫攻坚成效，同时增加村集体收入。此外通过本项目的示范、引导和辐射作用,有效解决牛源不足的问题，有效缓解了市场供不应求的矛盾，平抑了牛肉价格，对推动我乡经济发展将起到作用。</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疏附县作为喀什市的两翼之一，羊肉等畜产品大多数销往喀什市场。喀什市作为南疆中心城市，羊肉需求和消费量大，羊肉主要以外调为主，不仅增加了外疫传入的风险，也提高了牛羊肉市场价格。通过项目的实施，可有效提高本地供给能力，缓解大喀什羊肉供需不足的矛盾，同时带动木什乡脱贫巩固户通过牛养殖提高收入，促进乡村畜牧业发展、还以此带动木什乡养殖业的科技化和规模化,带动经济发展，巩固脱贫攻坚成果。</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因此，根据疏附县发展和改革委员会下发的《关于疏附县木什乡易地扶贫搬迁产业发展项目（牛养殖小区）立项的复函》文件及经疏附县乡村振兴局会议研究决定，于2022年2月安排疏附县木什乡人民政府实施疏附县木什乡易地扶贫搬迁产业发展项目（牛养殖小区），资金投入共计519.36万元，资金来源为财政衔接推进乡村振兴补助资金。后根据《关于疏附县2021年第一批巩固拓展脱贫攻坚成果同乡村振兴有效衔接结余资金项目计划批复》文件内容，预算资金调整为519.36万元。</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该项目为发展壮大农村商贸流通，加强农产品交易，资产量化到村，增加村集体收入，促进巩固脱贫成果，牛养殖小区承包费将用于增加村集体收入，也可以帮助特困户，项目实施后带动已脱贫人口全年总收入预计能达到5万元，受益已脱贫人口数预计能达到100人。促进巩固脱贫成果、方便群众日常生活。可以逐步为疏附县畜牧养殖产业发展提供良种支撑，有利于畜牧业的可持续发展，逐步实现传统畜牧业向现代畜牧业的根本性转变；项目实施对于促进农牧区经济发展，拉动农村经济增长，增加农牧民收入。</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rPr>
        <w:t>2.项目实施主体</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该项目由疏附县木什乡人民政府负责实施，主要职能是：</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(1)认真贯彻执行党的路线、方针、政策，全面加强党的领导，巩固基层政权，把握农村改革发展稳定大局，充分发挥统揽全局的核心领导作用。</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(2)完善党政组织功能，强化干部的监督、教育和管理，建立廉洁高效、运转协调、行为规范、适应社会主义市场经济和社会发展需要的管理体制。</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(3)加强党的基层组织和农村基层政权建设。加强农村社会主义民主政治和法制建设，依法行政，坚持完善人民代表大会制度。</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(4)加快农村经济发展。制定和组织实施经济、科技和社会发展计划，制定资源开发、产业结构调整方案，落实强农惠农措施，培育主导产业和市场体系，抓好招商引资，保护各种经济组织的合法权益，组织经济运行，促进经济发展。</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(5)制定并组织实施乡、村建设规划，部署工程建设，地方道路建设及公共设施，水利设施的管理，负责土地、林木、水等自然资源和生态环境的保护，做好护林防火工作。</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(6)改进工作方式，运用经济、法律、行政的手段进行综合管理，强化示范、引导、服务、协调功能，转变工作职能，创新工作机制，推动农业农村经济发展。</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(7)负责行政区域内的文化、教育、卫生、体育、防灾减灾、低保、社会保障等社会公益事业的综合性工作和精神文明创建工作。</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(8)承办县委、县政府交办的其他事项。</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jc w:val="left"/>
        <w:textAlignment w:val="auto"/>
        <w:outlineLvl w:val="0"/>
        <w:rPr>
          <w:rFonts w:hint="eastAsia" w:ascii="仿宋_GB2312" w:hAnsi="仿宋_GB2312" w:eastAsia="仿宋_GB2312" w:cs="仿宋_GB2312"/>
          <w:b/>
          <w:bCs w:val="0"/>
          <w:sz w:val="32"/>
          <w:szCs w:val="32"/>
        </w:rPr>
      </w:pPr>
      <w:r>
        <w:rPr>
          <w:rFonts w:hint="eastAsia" w:ascii="仿宋_GB2312" w:hAnsi="仿宋_GB2312" w:eastAsia="仿宋_GB2312" w:cs="仿宋_GB2312"/>
          <w:b/>
          <w:bCs w:val="0"/>
          <w:sz w:val="32"/>
          <w:szCs w:val="32"/>
        </w:rPr>
        <w:t>3.项目内容</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通过引导农民由单一、分散的养殖方式向园区化、规模化、科学化养殖模式转变。由财政有效衔接资金建设棚圈及其附属配套设施，牛养殖小区收益不低于同期银行贷款利率。该项目资金主要用于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建成后预计养殖约200头牛，项目建成后资产归村集体所有。采取对外承包或自营的方式，增加村集体收入5万元左右，解决辖区内无法外出就业以及其他生活困难群众就业增收，巩固两不愁三保障。带动已脱贫人口全年总收入预计能达到5万元，受益已脱贫户户数预计能达到25户，带动增加就业人数预计能达到10人以上，项目受益已脱贫人口数预计能达到100人。</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highlight w:val="none"/>
          <w:lang w:eastAsia="zh-CN"/>
        </w:rPr>
      </w:pPr>
      <w:r>
        <w:rPr>
          <w:rFonts w:hint="eastAsia" w:ascii="仿宋_GB2312" w:hAnsi="仿宋_GB2312" w:eastAsia="仿宋_GB2312" w:cs="仿宋_GB2312"/>
          <w:b/>
          <w:bCs w:val="0"/>
          <w:sz w:val="32"/>
          <w:szCs w:val="32"/>
          <w:highlight w:val="none"/>
          <w:lang w:val="en-US" w:eastAsia="zh-CN"/>
        </w:rPr>
        <w:t>4</w:t>
      </w:r>
      <w:r>
        <w:rPr>
          <w:rFonts w:hint="eastAsia" w:ascii="仿宋_GB2312" w:hAnsi="仿宋_GB2312" w:eastAsia="仿宋_GB2312" w:cs="仿宋_GB2312"/>
          <w:b/>
          <w:bCs w:val="0"/>
          <w:sz w:val="32"/>
          <w:szCs w:val="32"/>
          <w:highlight w:val="none"/>
        </w:rPr>
        <w:t>.立项依据</w:t>
      </w:r>
    </w:p>
    <w:p>
      <w:pPr>
        <w:pStyle w:val="41"/>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依据疏附县发展和改革委员会下发的《关于疏附县木什乡易地扶贫搬迁产业发展项目（牛养殖小区）立项的复函》文件及经疏附县乡村振兴局会议研究决定，于2022年2月安排疏附县木什乡人民政府实施疏附县木什乡易地扶贫搬迁产业发展项目（牛养殖小区）等文件立项。</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highlight w:val="none"/>
        </w:rPr>
      </w:pPr>
      <w:bookmarkStart w:id="32" w:name="_Toc30597"/>
      <w:r>
        <w:rPr>
          <w:rFonts w:hint="eastAsia" w:ascii="方正楷体_GBK" w:hAnsi="方正楷体_GBK" w:eastAsia="方正楷体_GBK" w:cs="方正楷体_GBK"/>
          <w:b/>
          <w:bCs/>
          <w:sz w:val="32"/>
          <w:szCs w:val="32"/>
          <w:highlight w:val="none"/>
        </w:rPr>
        <w:t>（二）项目资金情况</w:t>
      </w:r>
      <w:bookmarkEnd w:id="32"/>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rPr>
      </w:pPr>
      <w:r>
        <w:rPr>
          <w:rFonts w:hint="eastAsia" w:ascii="仿宋_GB2312" w:hAnsi="仿宋_GB2312" w:eastAsia="仿宋_GB2312" w:cs="仿宋_GB2312"/>
          <w:b/>
          <w:bCs w:val="0"/>
          <w:sz w:val="32"/>
          <w:szCs w:val="32"/>
        </w:rPr>
        <w:t>1.项目资金预算及来源</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黑体" w:eastAsia="仿宋_GB2312" w:cs="宋体"/>
          <w:kern w:val="0"/>
          <w:sz w:val="32"/>
          <w:szCs w:val="32"/>
          <w:lang w:val="en-US" w:eastAsia="zh-CN" w:bidi="ar-SA"/>
        </w:rPr>
      </w:pPr>
      <w:r>
        <w:rPr>
          <w:rFonts w:hint="eastAsia" w:ascii="仿宋_GB2312" w:hAnsi="黑体" w:eastAsia="仿宋_GB2312" w:cs="宋体"/>
          <w:kern w:val="0"/>
          <w:sz w:val="32"/>
          <w:szCs w:val="32"/>
          <w:lang w:val="en-US" w:eastAsia="zh-CN" w:bidi="ar-SA"/>
        </w:rPr>
        <w:t>根据《</w:t>
      </w:r>
      <w:r>
        <w:rPr>
          <w:rStyle w:val="22"/>
          <w:rFonts w:hint="eastAsia" w:ascii="方正仿宋_GBK" w:hAnsi="方正仿宋_GBK" w:eastAsia="方正仿宋_GBK" w:cs="方正仿宋_GBK"/>
          <w:b w:val="0"/>
          <w:bCs w:val="0"/>
          <w:color w:val="auto"/>
          <w:spacing w:val="-4"/>
          <w:sz w:val="32"/>
          <w:szCs w:val="32"/>
          <w:highlight w:val="none"/>
          <w:lang w:val="en-US" w:eastAsia="zh-CN"/>
        </w:rPr>
        <w:t>关于疏附县木什乡易地扶贫搬迁产业发展项目（牛养殖小区）立项的复函</w:t>
      </w:r>
      <w:r>
        <w:rPr>
          <w:rFonts w:hint="eastAsia" w:ascii="仿宋_GB2312" w:hAnsi="黑体" w:eastAsia="仿宋_GB2312" w:cs="宋体"/>
          <w:kern w:val="0"/>
          <w:sz w:val="32"/>
          <w:szCs w:val="32"/>
          <w:lang w:val="en-US" w:eastAsia="zh-CN" w:bidi="ar-SA"/>
        </w:rPr>
        <w:t>》等文件内容，该项目预算资金为519.36万元，实际到位资金为519.36万元，资金来源为中央财政衔接推进乡村振兴补助资金，资金到位率100%。后根据《关于疏附县2021年第一批巩固拓展脱贫攻坚成果同乡村振兴有效衔接结余资金项目计划批复》文件内容，预算资金调整为519.36万元，资金到位率100%。</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rPr>
      </w:pPr>
      <w:r>
        <w:rPr>
          <w:rFonts w:hint="eastAsia" w:ascii="仿宋_GB2312" w:hAnsi="仿宋_GB2312" w:eastAsia="仿宋_GB2312" w:cs="仿宋_GB2312"/>
          <w:b/>
          <w:bCs w:val="0"/>
          <w:sz w:val="32"/>
          <w:szCs w:val="32"/>
        </w:rPr>
        <w:t>2.预算执行及结果</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eastAsia" w:ascii="仿宋_GB2312" w:hAnsi="宋体" w:eastAsia="仿宋_GB2312" w:cs="仿宋_GB2312"/>
          <w:color w:val="000000"/>
          <w:kern w:val="2"/>
          <w:sz w:val="32"/>
          <w:szCs w:val="32"/>
          <w:highlight w:val="none"/>
          <w:lang w:val="en-US" w:eastAsia="zh-CN" w:bidi="ar-SA"/>
        </w:rPr>
      </w:pPr>
      <w:r>
        <w:rPr>
          <w:rFonts w:hint="eastAsia" w:ascii="仿宋_GB2312" w:hAnsi="宋体" w:eastAsia="仿宋_GB2312" w:cs="仿宋_GB2312"/>
          <w:color w:val="000000"/>
          <w:kern w:val="2"/>
          <w:sz w:val="32"/>
          <w:szCs w:val="32"/>
          <w:highlight w:val="none"/>
          <w:lang w:val="en-US" w:eastAsia="zh-CN" w:bidi="ar-SA"/>
        </w:rPr>
        <w:t>截止绩效评价日，该项目调整后预算资金519.36万元，实际到位资金519.36万元，资金到位率100%，实际支出519.36万元，预算执行率100%，该项目资金主要用于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33" w:name="_Toc4656"/>
      <w:r>
        <w:rPr>
          <w:rFonts w:hint="eastAsia" w:ascii="方正楷体_GBK" w:hAnsi="方正楷体_GBK" w:eastAsia="方正楷体_GBK" w:cs="方正楷体_GBK"/>
          <w:b/>
          <w:bCs/>
          <w:sz w:val="32"/>
          <w:szCs w:val="32"/>
        </w:rPr>
        <w:t>（三）绩效目标设置情况</w:t>
      </w:r>
      <w:bookmarkEnd w:id="33"/>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color w:val="auto"/>
          <w:sz w:val="32"/>
          <w:szCs w:val="32"/>
          <w:lang w:val="en-US" w:eastAsia="zh-CN"/>
        </w:rPr>
      </w:pPr>
      <w:bookmarkStart w:id="34" w:name="_Toc1757"/>
      <w:bookmarkStart w:id="35" w:name="_Toc26467"/>
      <w:bookmarkStart w:id="36" w:name="_Toc8400"/>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8</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28</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92.86</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color w:val="auto"/>
          <w:sz w:val="32"/>
          <w:szCs w:val="32"/>
          <w:highlight w:val="none"/>
          <w:lang w:val="en-US" w:eastAsia="zh-CN"/>
        </w:rPr>
        <w:t>1.</w:t>
      </w:r>
      <w:r>
        <w:rPr>
          <w:rFonts w:hint="eastAsia" w:ascii="仿宋_GB2312" w:hAnsi="仿宋_GB2312" w:eastAsia="仿宋_GB2312" w:cs="仿宋_GB2312"/>
          <w:b/>
          <w:bCs w:val="0"/>
          <w:color w:val="auto"/>
          <w:sz w:val="32"/>
          <w:szCs w:val="32"/>
          <w:highlight w:val="none"/>
        </w:rPr>
        <w:t>年度总目标</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本项目计划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项目实施后预计养殖约200头牛，项目建成后资产归村集体所有。采取对外承包或自营的方式，增加村集体收入5万元左右，解决辖区内无法外出就业以及其他生活困难群众就业增收，巩固两不愁三保障。带动已脱贫人口全年总收入预计能达到5万元，受益已脱贫户户数预计能达到25户，带动增加就业人数预计能达到10人以上，项目受益已脱贫人口数预计能达到100人；受益脱贫巩固人口满意度达到95%以上。。</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color w:val="auto"/>
          <w:sz w:val="32"/>
          <w:szCs w:val="32"/>
          <w:highlight w:val="none"/>
          <w:lang w:val="en-US" w:eastAsia="zh-CN"/>
        </w:rPr>
      </w:pPr>
      <w:r>
        <w:rPr>
          <w:rFonts w:hint="eastAsia" w:ascii="仿宋_GB2312" w:hAnsi="仿宋_GB2312" w:eastAsia="仿宋_GB2312" w:cs="仿宋_GB2312"/>
          <w:b/>
          <w:bCs/>
          <w:color w:val="auto"/>
          <w:sz w:val="32"/>
          <w:szCs w:val="32"/>
          <w:lang w:val="en-US" w:eastAsia="zh-CN"/>
        </w:rPr>
        <w:t>2.</w:t>
      </w:r>
      <w:r>
        <w:rPr>
          <w:rFonts w:hint="eastAsia" w:ascii="仿宋_GB2312" w:hAnsi="仿宋_GB2312" w:eastAsia="仿宋_GB2312" w:cs="仿宋_GB2312"/>
          <w:b/>
          <w:bCs/>
          <w:color w:val="auto"/>
          <w:sz w:val="32"/>
          <w:szCs w:val="32"/>
          <w:highlight w:val="none"/>
          <w:lang w:val="en-US" w:eastAsia="zh-CN"/>
        </w:rPr>
        <w:t>阶段性绩效目标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根据《</w:t>
      </w:r>
      <w:r>
        <w:rPr>
          <w:rStyle w:val="22"/>
          <w:rFonts w:hint="eastAsia" w:ascii="方正仿宋_GBK" w:hAnsi="方正仿宋_GBK" w:eastAsia="方正仿宋_GBK" w:cs="方正仿宋_GBK"/>
          <w:b w:val="0"/>
          <w:bCs w:val="0"/>
          <w:color w:val="auto"/>
          <w:spacing w:val="-4"/>
          <w:sz w:val="32"/>
          <w:szCs w:val="32"/>
          <w:highlight w:val="none"/>
          <w:lang w:val="en-US" w:eastAsia="zh-CN"/>
        </w:rPr>
        <w:t>关于疏附县木什乡易地扶贫搬迁产业发展项目（牛养殖小区）立项的复函</w:t>
      </w:r>
      <w:r>
        <w:rPr>
          <w:rFonts w:hint="eastAsia" w:ascii="仿宋_GB2312" w:eastAsia="仿宋_GB2312" w:cs="宋体"/>
          <w:color w:val="auto"/>
          <w:kern w:val="2"/>
          <w:sz w:val="32"/>
          <w:szCs w:val="32"/>
          <w:lang w:val="en-US" w:eastAsia="zh-CN" w:bidi="ar-SA"/>
        </w:rPr>
        <w:t>》，疏附县木什乡易地扶贫搬迁产业发展项目（牛养殖小区）预算资金519.36万元。设置了三个一级指标，其中：</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80" w:lineRule="exact"/>
        <w:ind w:left="0" w:leftChars="0" w:firstLine="643" w:firstLineChars="200"/>
        <w:textAlignment w:val="auto"/>
        <w:outlineLvl w:val="2"/>
        <w:rPr>
          <w:rFonts w:hint="eastAsia" w:ascii="仿宋_GB2312" w:eastAsia="仿宋_GB2312" w:cs="宋体" w:hAnsiTheme="minorHAnsi"/>
          <w:b/>
          <w:bCs/>
          <w:color w:val="auto"/>
          <w:kern w:val="2"/>
          <w:sz w:val="32"/>
          <w:szCs w:val="32"/>
          <w:lang w:val="en-US" w:eastAsia="zh-CN" w:bidi="ar-SA"/>
        </w:rPr>
      </w:pPr>
      <w:r>
        <w:rPr>
          <w:rFonts w:hint="eastAsia" w:ascii="仿宋_GB2312" w:eastAsia="仿宋_GB2312" w:cs="宋体"/>
          <w:b/>
          <w:bCs/>
          <w:color w:val="auto"/>
          <w:kern w:val="2"/>
          <w:sz w:val="32"/>
          <w:szCs w:val="32"/>
          <w:lang w:val="en-US" w:eastAsia="zh-CN" w:bidi="ar-SA"/>
        </w:rPr>
        <w:t>（1）</w:t>
      </w:r>
      <w:r>
        <w:rPr>
          <w:rFonts w:hint="eastAsia" w:ascii="仿宋_GB2312" w:eastAsia="仿宋_GB2312" w:cs="宋体" w:hAnsiTheme="minorHAnsi"/>
          <w:b/>
          <w:bCs/>
          <w:color w:val="auto"/>
          <w:kern w:val="2"/>
          <w:sz w:val="32"/>
          <w:szCs w:val="32"/>
          <w:lang w:val="en-US" w:eastAsia="zh-CN" w:bidi="ar-SA"/>
        </w:rPr>
        <w:t>产出指标：</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0" w:leftChars="0" w:firstLine="640" w:firstLineChars="200"/>
        <w:textAlignment w:val="auto"/>
        <w:rPr>
          <w:rFonts w:hint="default"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该项目计划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0" w:leftChars="0" w:firstLine="643" w:firstLineChars="200"/>
        <w:textAlignment w:val="auto"/>
        <w:rPr>
          <w:rFonts w:hint="eastAsia" w:ascii="仿宋_GB2312" w:hAnsi="仿宋_GB2312" w:eastAsia="仿宋_GB2312" w:cs="仿宋_GB2312"/>
          <w:b/>
          <w:bCs/>
          <w:color w:val="auto"/>
          <w:kern w:val="2"/>
          <w:sz w:val="32"/>
          <w:szCs w:val="32"/>
          <w:lang w:val="en-US" w:eastAsia="zh-CN" w:bidi="ar-SA"/>
        </w:rPr>
      </w:pPr>
      <w:r>
        <w:rPr>
          <w:rFonts w:hint="eastAsia" w:ascii="仿宋_GB2312" w:hAnsi="仿宋_GB2312" w:eastAsia="仿宋_GB2312" w:cs="仿宋_GB2312"/>
          <w:b/>
          <w:bCs/>
          <w:color w:val="auto"/>
          <w:kern w:val="2"/>
          <w:sz w:val="32"/>
          <w:szCs w:val="32"/>
          <w:lang w:val="en-US" w:eastAsia="zh-CN" w:bidi="ar-SA"/>
        </w:rPr>
        <w:t>（2）效益指标：</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0" w:leftChars="0" w:firstLine="640" w:firstLineChars="200"/>
        <w:textAlignment w:val="auto"/>
        <w:rPr>
          <w:rFonts w:hint="eastAsia"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通过实施疏附县木什乡易地扶贫搬迁产业发展项目（牛养殖小区）受益已脱贫户户数25户，带动已脱贫人口全年总收入预计能达到5万元，带动增加就业人数预计能达到45人，受益已脱贫人口数预计能达到100人，项目的实施将有利于加快产业结构调整，增加农民收入。</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80" w:lineRule="exact"/>
        <w:ind w:left="0" w:leftChars="0" w:firstLine="627" w:firstLineChars="200"/>
        <w:textAlignment w:val="auto"/>
        <w:outlineLvl w:val="9"/>
        <w:rPr>
          <w:rStyle w:val="22"/>
          <w:rFonts w:hint="eastAsia" w:ascii="仿宋_GB2312" w:hAnsi="仿宋" w:eastAsia="仿宋_GB2312"/>
          <w:b/>
          <w:bCs/>
          <w:spacing w:val="-4"/>
          <w:sz w:val="32"/>
          <w:szCs w:val="32"/>
          <w:lang w:eastAsia="zh-CN"/>
        </w:rPr>
      </w:pPr>
      <w:r>
        <w:rPr>
          <w:rStyle w:val="22"/>
          <w:rFonts w:hint="eastAsia" w:ascii="仿宋_GB2312" w:hAnsi="仿宋" w:eastAsia="仿宋_GB2312"/>
          <w:b/>
          <w:bCs/>
          <w:spacing w:val="-4"/>
          <w:sz w:val="32"/>
          <w:szCs w:val="32"/>
          <w:lang w:eastAsia="zh-CN"/>
        </w:rPr>
        <w:t>（</w:t>
      </w:r>
      <w:r>
        <w:rPr>
          <w:rStyle w:val="22"/>
          <w:rFonts w:hint="eastAsia" w:ascii="仿宋_GB2312" w:hAnsi="仿宋" w:eastAsia="仿宋_GB2312"/>
          <w:b/>
          <w:bCs/>
          <w:spacing w:val="-4"/>
          <w:sz w:val="32"/>
          <w:szCs w:val="32"/>
          <w:lang w:val="en-US" w:eastAsia="zh-CN"/>
        </w:rPr>
        <w:t>3</w:t>
      </w:r>
      <w:r>
        <w:rPr>
          <w:rStyle w:val="22"/>
          <w:rFonts w:hint="eastAsia" w:ascii="仿宋_GB2312" w:hAnsi="仿宋" w:eastAsia="仿宋_GB2312"/>
          <w:b/>
          <w:bCs/>
          <w:spacing w:val="-4"/>
          <w:sz w:val="32"/>
          <w:szCs w:val="32"/>
          <w:lang w:eastAsia="zh-CN"/>
        </w:rPr>
        <w:t>）满意度指标：</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受益已脱贫人口对该项目实施效果的满意预计能达到95%。</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jc w:val="left"/>
        <w:textAlignment w:val="auto"/>
        <w:outlineLvl w:val="0"/>
        <w:rPr>
          <w:rFonts w:hint="eastAsia" w:ascii="方正黑体_GBK" w:hAnsi="方正黑体_GBK" w:eastAsia="方正黑体_GBK" w:cs="方正黑体_GBK"/>
          <w:sz w:val="32"/>
          <w:szCs w:val="32"/>
          <w:highlight w:val="none"/>
        </w:rPr>
      </w:pPr>
      <w:r>
        <w:rPr>
          <w:rFonts w:hint="eastAsia" w:ascii="方正黑体_GBK" w:hAnsi="方正黑体_GBK" w:eastAsia="方正黑体_GBK" w:cs="方正黑体_GBK"/>
          <w:sz w:val="32"/>
          <w:szCs w:val="32"/>
          <w:highlight w:val="none"/>
        </w:rPr>
        <w:t>二、评价工作简述</w:t>
      </w:r>
      <w:bookmarkEnd w:id="37"/>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7630"/>
      <w:bookmarkStart w:id="39" w:name="_Toc3416"/>
      <w:bookmarkStart w:id="40" w:name="_Toc19614"/>
      <w:r>
        <w:rPr>
          <w:rFonts w:hint="eastAsia" w:ascii="仿宋_GB2312" w:eastAsia="仿宋_GB2312" w:cs="宋体" w:hAnsiTheme="minorHAnsi"/>
          <w:color w:val="auto"/>
          <w:kern w:val="2"/>
          <w:sz w:val="32"/>
          <w:szCs w:val="32"/>
          <w:lang w:val="en-US" w:eastAsia="zh-CN" w:bidi="ar-SA"/>
        </w:rPr>
        <w:t>受疏附县财政局委托，中瑞诚会计师事务所（特殊普通合伙）喀什分所（以下简称“评价机构”）承担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疏附县木什乡易地扶贫搬迁产业发展项目（牛养殖小区）</w:t>
      </w:r>
      <w:r>
        <w:rPr>
          <w:rFonts w:hint="eastAsia" w:ascii="仿宋_GB2312" w:eastAsia="仿宋_GB2312" w:cs="宋体" w:hAnsiTheme="minorHAnsi"/>
          <w:color w:val="auto"/>
          <w:kern w:val="2"/>
          <w:sz w:val="32"/>
          <w:szCs w:val="32"/>
          <w:lang w:val="en-US" w:eastAsia="zh-CN" w:bidi="ar-SA"/>
        </w:rPr>
        <w:t>支出的绩效评价工作。为更好地保障绩效评价工作的顺利实施，根据财政部颁发的《项目支出绩效评价管理办法》、新疆维吾尔自治区财政厅颁发的《新疆维吾尔自治区财政衔接推进乡村振兴补助资金管理办法》、《关于转发&lt;新疆维吾尔自治区财政衔接推进乡村振兴补助资金管理办法&gt;的通知》等文件规定，评价机构成立绩效评价工作组（以下简称“评价工作组”）对专项资金投入、资金使用和资金使用效益等方面进行了绩效评价。</w:t>
      </w:r>
      <w:bookmarkEnd w:id="38"/>
      <w:bookmarkEnd w:id="39"/>
      <w:bookmarkEnd w:id="40"/>
    </w:p>
    <w:p>
      <w:pPr>
        <w:pStyle w:val="33"/>
        <w:keepNext w:val="0"/>
        <w:keepLines w:val="0"/>
        <w:pageBreakBefore w:val="0"/>
        <w:widowControl w:val="0"/>
        <w:numPr>
          <w:ilvl w:val="0"/>
          <w:numId w:val="3"/>
        </w:numPr>
        <w:kinsoku/>
        <w:wordWrap/>
        <w:overflowPunct/>
        <w:topLinePunct w:val="0"/>
        <w:autoSpaceDE/>
        <w:autoSpaceDN/>
        <w:bidi w:val="0"/>
        <w:adjustRightInd w:val="0"/>
        <w:snapToGrid w:val="0"/>
        <w:spacing w:line="580" w:lineRule="exact"/>
        <w:ind w:left="0" w:leftChars="0" w:firstLine="643" w:firstLineChars="200"/>
        <w:textAlignment w:val="auto"/>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41" w:name="_Toc8259"/>
      <w:r>
        <w:rPr>
          <w:rFonts w:hint="eastAsia" w:ascii="方正楷体_GBK" w:hAnsi="方正楷体_GBK" w:eastAsia="方正楷体_GBK" w:cs="方正楷体_GBK"/>
          <w:b/>
          <w:bCs/>
          <w:sz w:val="32"/>
          <w:szCs w:val="32"/>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rPr>
      </w:pPr>
      <w:bookmarkStart w:id="42" w:name="_Toc18186"/>
      <w:bookmarkStart w:id="43" w:name="_Toc22761"/>
      <w:r>
        <w:rPr>
          <w:rFonts w:hint="eastAsia" w:ascii="仿宋_GB2312" w:hAnsi="仿宋_GB2312" w:eastAsia="仿宋_GB2312" w:cs="仿宋_GB2312"/>
          <w:sz w:val="32"/>
          <w:szCs w:val="32"/>
        </w:rPr>
        <w:t>按照</w:t>
      </w:r>
      <w:r>
        <w:rPr>
          <w:rFonts w:hint="eastAsia" w:ascii="仿宋_GB2312" w:hAnsi="仿宋_GB2312" w:eastAsia="仿宋_GB2312" w:cs="仿宋_GB2312"/>
          <w:sz w:val="32"/>
          <w:szCs w:val="32"/>
          <w:lang w:eastAsia="zh-CN"/>
        </w:rPr>
        <w:t>新疆维吾尔自治区</w:t>
      </w:r>
      <w:r>
        <w:rPr>
          <w:rFonts w:hint="eastAsia" w:ascii="仿宋_GB2312" w:hAnsi="仿宋_GB2312" w:eastAsia="仿宋_GB2312" w:cs="仿宋_GB2312"/>
          <w:sz w:val="32"/>
          <w:szCs w:val="32"/>
        </w:rPr>
        <w:t>财政厅和喀什地区财政局“加强财政支出管理，强化支出责任，建立科学、合理的财政支出绩效评价管理体系，提高财政资金使用效益”的要求，通过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为优</w:t>
      </w:r>
      <w:r>
        <w:rPr>
          <w:rFonts w:hint="eastAsia" w:ascii="仿宋_GB2312" w:hAnsi="仿宋_GB2312" w:eastAsia="仿宋_GB2312" w:cs="仿宋_GB2312"/>
          <w:sz w:val="32"/>
          <w:szCs w:val="32"/>
          <w:lang w:val="en-US" w:eastAsia="zh-CN"/>
        </w:rPr>
        <w:t>化专项资金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（二）绩效评价工作</w:t>
      </w:r>
      <w:r>
        <w:rPr>
          <w:rFonts w:hint="eastAsia" w:ascii="方正楷体_GBK" w:hAnsi="方正楷体_GBK" w:eastAsia="方正楷体_GBK" w:cs="方正楷体_GBK"/>
          <w:b/>
          <w:bCs/>
          <w:sz w:val="32"/>
          <w:szCs w:val="32"/>
          <w:lang w:val="en-US" w:eastAsia="zh-CN"/>
        </w:rPr>
        <w:t>的基本</w:t>
      </w:r>
      <w:r>
        <w:rPr>
          <w:rFonts w:hint="eastAsia" w:ascii="方正楷体_GBK" w:hAnsi="方正楷体_GBK" w:eastAsia="方正楷体_GBK" w:cs="方正楷体_GBK"/>
          <w:b/>
          <w:bCs/>
          <w:sz w:val="32"/>
          <w:szCs w:val="32"/>
        </w:rPr>
        <w:t>思路</w:t>
      </w:r>
      <w:bookmarkEnd w:id="42"/>
      <w:bookmarkEnd w:id="43"/>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lang w:val="en-US" w:eastAsia="zh-CN"/>
        </w:rPr>
      </w:pPr>
      <w:bookmarkStart w:id="44" w:name="_Toc14072"/>
      <w:bookmarkStart w:id="45" w:name="_Toc7209"/>
      <w:bookmarkStart w:id="46" w:name="_Toc27493321"/>
      <w:bookmarkStart w:id="47" w:name="_Toc27648031"/>
      <w:bookmarkStart w:id="48" w:name="_Toc27651416"/>
      <w:r>
        <w:rPr>
          <w:rFonts w:hint="eastAsia" w:ascii="仿宋_GB2312" w:hAnsi="仿宋_GB2312" w:eastAsia="仿宋_GB2312" w:cs="仿宋_GB2312"/>
          <w:sz w:val="32"/>
          <w:szCs w:val="32"/>
          <w:lang w:val="en-US" w:eastAsia="zh-CN"/>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行评价。评价对象为疏附县木什乡易地扶贫搬迁产业发展项目（牛养殖小区）资金（519.36万元），评价核心为专项资金的支出完成情况和效果。</w:t>
      </w:r>
      <w:bookmarkEnd w:id="44"/>
      <w:bookmarkEnd w:id="45"/>
      <w:bookmarkEnd w:id="46"/>
      <w:bookmarkEnd w:id="47"/>
      <w:bookmarkEnd w:id="48"/>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49" w:name="_Toc7962"/>
      <w:r>
        <w:rPr>
          <w:rFonts w:hint="eastAsia" w:ascii="方正楷体_GBK" w:hAnsi="方正楷体_GBK" w:eastAsia="方正楷体_GBK" w:cs="方正楷体_GBK"/>
          <w:b/>
          <w:bCs/>
          <w:sz w:val="32"/>
          <w:szCs w:val="32"/>
        </w:rPr>
        <w:t>（三）评价原则</w:t>
      </w:r>
      <w:bookmarkEnd w:id="49"/>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0" w:name="_Toc1742"/>
      <w:r>
        <w:rPr>
          <w:rFonts w:hint="eastAsia" w:ascii="仿宋_GB2312" w:hAnsi="仿宋_GB2312" w:eastAsia="仿宋_GB2312" w:cs="仿宋_GB2312"/>
          <w:sz w:val="32"/>
          <w:szCs w:val="32"/>
          <w:lang w:val="en-US" w:eastAsia="zh-CN"/>
        </w:rPr>
        <w:t>根据《中华人民共和国预算法》、《中共中央国务院关于全面实施预算绩效管理的意见》及《项目支出绩效评价管理办法》等文件要求，本次绩效评价秉承科学公正、统筹兼顾、激励约束、公开透明等原则，按照从投入、过程到产出效果和影响的绩效逻辑路径，发现项目实施和管理中的问题，切实提高财政资源配置效率和使用效益。评价工作组本着科学公正、统筹兼顾、激励约束、公开透明的原则，采用全面评价和重点评价相结合、现场评价和非现场评价相结合的方式进行。</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（1）科学公正、科学规范原则。绩效评价应当运用科学合理的方法，按照规范的程序，对项目绩效进行客观、公正的反映，按照科学可行的要求，采用定量与定性分析相结合的方法。</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（2）分级分类原则。该单位根据“谁支出、谁自评”的原则，根据评价对象的特点分类组织实施绩效评价工作，与相关单位职责明确，各有侧重，相互衔接。</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（3）绩效相关原则。该单位绩效评价针对具体投入及其产出绩效进行，评价结果清晰反映了支出和产出绩效之间的紧密对应关系。</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（4）公正公开、透明原则。绩效评价结果应当符合真实、客观、公正的要求，依法依规公开，并自觉接受社会监督。</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根据以上原则，绩效评价应遵循如下要求：</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（1）在数据采集时，采取客观数据，主管部门审查、社会中介组织复查，与问卷调查相结合的形式，以保证各项指标的真实性。</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（2）保证评价结果的真实性、公正性，提高评价报告的公信力。</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（3）绩效评价报告应当简明扼要，除了对绩效评价的过程、结果描述外，还应总结经验，指出问题，并就共性问题提出可操作性改进建议。</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（四）评价方法</w:t>
      </w:r>
      <w:bookmarkEnd w:id="50"/>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80" w:lineRule="exact"/>
        <w:ind w:left="0" w:leftChars="0" w:firstLine="640" w:firstLineChars="200"/>
        <w:textAlignment w:val="auto"/>
        <w:outlineLvl w:val="1"/>
        <w:rPr>
          <w:rFonts w:hint="eastAsia" w:ascii="仿宋_GB2312" w:hAnsi="仿宋" w:eastAsia="仿宋_GB2312" w:cs="宋体"/>
          <w:b/>
          <w:bCs/>
          <w:sz w:val="32"/>
          <w:szCs w:val="32"/>
        </w:rPr>
      </w:pPr>
      <w:r>
        <w:rPr>
          <w:rFonts w:hint="eastAsia" w:ascii="仿宋_GB2312" w:hAnsi="仿宋_GB2312" w:eastAsia="仿宋_GB2312" w:cs="仿宋_GB2312"/>
          <w:sz w:val="32"/>
          <w:szCs w:val="32"/>
          <w:lang w:val="en-US" w:eastAsia="zh-CN"/>
        </w:rPr>
        <w:t>根据项目特点，本次评价重点采用比较法和公众评判法，分析项目总预算和明细预算的内容、标准、计划是否经济合理，实际产出和效益是否达到预期。</w:t>
      </w:r>
    </w:p>
    <w:p>
      <w:pPr>
        <w:pStyle w:val="33"/>
        <w:keepNext w:val="0"/>
        <w:keepLines w:val="0"/>
        <w:pageBreakBefore w:val="0"/>
        <w:widowControl w:val="0"/>
        <w:numPr>
          <w:ilvl w:val="0"/>
          <w:numId w:val="4"/>
        </w:numPr>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指标体系</w:t>
      </w:r>
      <w:bookmarkEnd w:id="51"/>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bookmarkStart w:id="52" w:name="_Toc22089"/>
      <w:bookmarkStart w:id="53" w:name="_Toc10934"/>
      <w:bookmarkStart w:id="54" w:name="_Toc986"/>
      <w:bookmarkStart w:id="55" w:name="_Toc8115"/>
      <w:bookmarkStart w:id="56" w:name="_Toc16677"/>
      <w:bookmarkStart w:id="57" w:name="_Toc32612"/>
      <w:bookmarkStart w:id="58" w:name="_Toc16367"/>
      <w:bookmarkStart w:id="59" w:name="_Toc31692"/>
      <w:r>
        <w:rPr>
          <w:rFonts w:hint="eastAsia" w:ascii="仿宋_GB2312" w:hAnsi="仿宋_GB2312" w:eastAsia="仿宋_GB2312" w:cs="仿宋_GB2312"/>
          <w:sz w:val="32"/>
          <w:szCs w:val="32"/>
          <w:highlight w:val="none"/>
          <w:lang w:val="en-US" w:eastAsia="zh-CN"/>
        </w:rPr>
        <w:t>根据财政部颁发的《项目支出绩效评价管理办法》等相关文件精神，结合重点项目特点，在与专家组、项目单位充分协商的基础上，评价工作组细化了该专项的绩效评价指标体系，详见附件一。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（六）评价等级划分</w:t>
      </w:r>
      <w:bookmarkEnd w:id="58"/>
      <w:bookmarkEnd w:id="59"/>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等相关文件精神，本次绩效评价结果主要采取评分和评级相结合的方式，具体分值和等级可根据不同评价的内容设定。总分一般设置为100分，其中项目决策20分、项目管理20分、项目产出30分、项目绩效30分。评价结果分为优、良、中、差四个等级：</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中（70分（含）—80分）；</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差（0分—70分）。</w:t>
      </w:r>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疏附县木什乡人民政府、疏附县财政局，并予以通报批评；情节严重的，绩效评价结果将直接判定为不合格等级。</w:t>
      </w:r>
    </w:p>
    <w:p>
      <w:pPr>
        <w:pStyle w:val="33"/>
        <w:keepNext w:val="0"/>
        <w:keepLines w:val="0"/>
        <w:pageBreakBefore w:val="0"/>
        <w:widowControl w:val="0"/>
        <w:kinsoku/>
        <w:wordWrap/>
        <w:overflowPunct/>
        <w:topLinePunct w:val="0"/>
        <w:autoSpaceDE/>
        <w:autoSpaceDN/>
        <w:bidi w:val="0"/>
        <w:adjustRightInd w:val="0"/>
        <w:snapToGrid w:val="0"/>
        <w:spacing w:line="580" w:lineRule="exact"/>
        <w:ind w:left="0" w:leftChars="0" w:firstLine="643" w:firstLineChars="200"/>
        <w:textAlignment w:val="auto"/>
        <w:outlineLvl w:val="1"/>
        <w:rPr>
          <w:rFonts w:hint="eastAsia" w:ascii="方正楷体_GBK" w:hAnsi="方正楷体_GBK" w:eastAsia="方正楷体_GBK" w:cs="方正楷体_GBK"/>
          <w:b/>
          <w:bCs/>
          <w:sz w:val="32"/>
          <w:szCs w:val="32"/>
        </w:rPr>
      </w:pPr>
      <w:bookmarkStart w:id="60" w:name="_Toc24267"/>
      <w:r>
        <w:rPr>
          <w:rFonts w:hint="eastAsia" w:ascii="方正楷体_GBK" w:hAnsi="方正楷体_GBK" w:eastAsia="方正楷体_GBK" w:cs="方正楷体_GBK"/>
          <w:b/>
          <w:bCs/>
          <w:sz w:val="32"/>
          <w:szCs w:val="32"/>
        </w:rPr>
        <w:t>（七）评价工作实施情况</w:t>
      </w:r>
      <w:bookmarkEnd w:id="60"/>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80" w:lineRule="exact"/>
        <w:ind w:left="0" w:leftChars="0" w:firstLine="643" w:firstLineChars="200"/>
        <w:textAlignment w:val="auto"/>
        <w:outlineLvl w:val="2"/>
        <w:rPr>
          <w:rFonts w:hint="eastAsia" w:ascii="仿宋_GB2312" w:hAnsi="仿宋_GB2312" w:eastAsia="仿宋_GB2312" w:cs="仿宋_GB2312"/>
          <w:b/>
          <w:bCs w:val="0"/>
          <w:sz w:val="32"/>
          <w:szCs w:val="32"/>
        </w:rPr>
      </w:pPr>
      <w:bookmarkStart w:id="61" w:name="_Toc8898"/>
      <w:bookmarkStart w:id="62" w:name="_Toc12973"/>
      <w:r>
        <w:rPr>
          <w:rFonts w:hint="eastAsia" w:ascii="仿宋_GB2312" w:hAnsi="仿宋_GB2312" w:eastAsia="仿宋_GB2312" w:cs="仿宋_GB2312"/>
          <w:b/>
          <w:bCs w:val="0"/>
          <w:sz w:val="32"/>
          <w:szCs w:val="32"/>
        </w:rPr>
        <w:t>1.评价工作程序和时间安排</w:t>
      </w:r>
      <w:bookmarkEnd w:id="61"/>
      <w:bookmarkEnd w:id="62"/>
    </w:p>
    <w:p>
      <w:pPr>
        <w:keepNext w:val="0"/>
        <w:keepLines w:val="0"/>
        <w:pageBreakBefore w:val="0"/>
        <w:widowControl w:val="0"/>
        <w:kinsoku/>
        <w:wordWrap/>
        <w:overflowPunct/>
        <w:topLinePunct w:val="0"/>
        <w:autoSpaceDE/>
        <w:autoSpaceDN/>
        <w:bidi w:val="0"/>
        <w:adjustRightInd w:val="0"/>
        <w:snapToGrid w:val="0"/>
        <w:spacing w:line="580" w:lineRule="exact"/>
        <w:ind w:left="0" w:leftChars="0"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_GB2312" w:hAnsi="仿宋_GB2312" w:eastAsia="仿宋_GB2312" w:cs="仿宋_GB2312"/>
          <w:sz w:val="32"/>
          <w:szCs w:val="32"/>
        </w:rPr>
        <w:t>下表：</w:t>
      </w:r>
    </w:p>
    <w:p>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p>
    <w:p>
      <w:pPr>
        <w:spacing w:after="156" w:afterLines="50" w:line="560" w:lineRule="exact"/>
        <w:jc w:val="center"/>
        <w:rPr>
          <w:rFonts w:ascii="Times New Roman" w:hAnsi="Times New Roman" w:eastAsia="黑体" w:cs="Times New Roman"/>
          <w:sz w:val="32"/>
          <w:szCs w:val="32"/>
          <w:highlight w:val="none"/>
        </w:rPr>
      </w:pPr>
      <w:r>
        <w:rPr>
          <w:rFonts w:ascii="Times New Roman" w:hAnsi="Times New Roman" w:eastAsia="黑体" w:cs="Times New Roman"/>
          <w:sz w:val="32"/>
          <w:szCs w:val="32"/>
          <w:highlight w:val="none"/>
        </w:rPr>
        <w:t>绩效评价工作程序和时间安排表</w:t>
      </w:r>
    </w:p>
    <w:tbl>
      <w:tblPr>
        <w:tblStyle w:val="19"/>
        <w:tblW w:w="85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color w:val="auto"/>
                <w:sz w:val="20"/>
                <w:szCs w:val="20"/>
                <w:highlight w:val="none"/>
              </w:rPr>
            </w:pPr>
            <w:r>
              <w:rPr>
                <w:rFonts w:hint="eastAsia" w:ascii="仿宋" w:hAnsi="仿宋" w:eastAsia="仿宋" w:cs="仿宋"/>
                <w:b/>
                <w:bCs/>
                <w:color w:val="auto"/>
                <w:sz w:val="20"/>
                <w:szCs w:val="20"/>
                <w:highlight w:val="none"/>
              </w:rPr>
              <w:t>阶段</w:t>
            </w:r>
          </w:p>
          <w:p>
            <w:pPr>
              <w:adjustRightInd w:val="0"/>
              <w:snapToGrid w:val="0"/>
              <w:jc w:val="distribute"/>
              <w:rPr>
                <w:rFonts w:hint="eastAsia" w:ascii="仿宋" w:hAnsi="仿宋" w:eastAsia="仿宋" w:cs="仿宋"/>
                <w:b/>
                <w:bCs/>
                <w:color w:val="auto"/>
                <w:sz w:val="20"/>
                <w:szCs w:val="20"/>
                <w:highlight w:val="none"/>
              </w:rPr>
            </w:pPr>
            <w:r>
              <w:rPr>
                <w:rFonts w:hint="eastAsia" w:ascii="仿宋" w:hAnsi="仿宋" w:eastAsia="仿宋" w:cs="仿宋"/>
                <w:b/>
                <w:bCs/>
                <w:color w:val="auto"/>
                <w:sz w:val="20"/>
                <w:szCs w:val="20"/>
                <w:highlight w:val="none"/>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color w:val="auto"/>
                <w:sz w:val="20"/>
                <w:szCs w:val="20"/>
                <w:highlight w:val="none"/>
              </w:rPr>
            </w:pPr>
            <w:r>
              <w:rPr>
                <w:rFonts w:hint="eastAsia" w:ascii="仿宋" w:hAnsi="仿宋" w:eastAsia="仿宋" w:cs="仿宋"/>
                <w:b/>
                <w:bCs/>
                <w:color w:val="auto"/>
                <w:sz w:val="20"/>
                <w:szCs w:val="20"/>
                <w:highlight w:val="none"/>
              </w:rPr>
              <w:t>工作内容</w:t>
            </w:r>
          </w:p>
        </w:tc>
        <w:tc>
          <w:tcPr>
            <w:tcW w:w="1814" w:type="dxa"/>
            <w:shd w:val="clear" w:color="auto" w:fill="C0C0C0"/>
            <w:vAlign w:val="center"/>
          </w:tcPr>
          <w:p>
            <w:pPr>
              <w:adjustRightInd w:val="0"/>
              <w:snapToGrid w:val="0"/>
              <w:jc w:val="center"/>
              <w:rPr>
                <w:rFonts w:hint="eastAsia" w:ascii="仿宋" w:hAnsi="仿宋" w:eastAsia="仿宋" w:cs="仿宋"/>
                <w:b/>
                <w:bCs/>
                <w:color w:val="auto"/>
                <w:sz w:val="20"/>
                <w:szCs w:val="20"/>
                <w:highlight w:val="none"/>
              </w:rPr>
            </w:pPr>
            <w:r>
              <w:rPr>
                <w:rFonts w:hint="eastAsia" w:ascii="仿宋" w:hAnsi="仿宋" w:eastAsia="仿宋" w:cs="仿宋"/>
                <w:b/>
                <w:bCs/>
                <w:color w:val="auto"/>
                <w:sz w:val="20"/>
                <w:szCs w:val="20"/>
                <w:highlight w:val="none"/>
              </w:rPr>
              <w:t>进度安排</w:t>
            </w:r>
          </w:p>
        </w:tc>
        <w:tc>
          <w:tcPr>
            <w:tcW w:w="1175" w:type="dxa"/>
            <w:shd w:val="clear" w:color="auto" w:fill="C0C0C0"/>
            <w:vAlign w:val="center"/>
          </w:tcPr>
          <w:p>
            <w:pPr>
              <w:adjustRightInd w:val="0"/>
              <w:snapToGrid w:val="0"/>
              <w:jc w:val="center"/>
              <w:rPr>
                <w:rFonts w:hint="eastAsia" w:ascii="仿宋" w:hAnsi="仿宋" w:eastAsia="仿宋" w:cs="仿宋"/>
                <w:b/>
                <w:bCs/>
                <w:color w:val="auto"/>
                <w:sz w:val="20"/>
                <w:szCs w:val="20"/>
                <w:highlight w:val="none"/>
              </w:rPr>
            </w:pPr>
            <w:r>
              <w:rPr>
                <w:rFonts w:hint="eastAsia" w:ascii="仿宋" w:hAnsi="仿宋" w:eastAsia="仿宋" w:cs="仿宋"/>
                <w:b/>
                <w:bCs/>
                <w:color w:val="auto"/>
                <w:sz w:val="20"/>
                <w:szCs w:val="20"/>
                <w:highlight w:val="none"/>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16"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color w:val="auto"/>
                <w:sz w:val="20"/>
                <w:szCs w:val="20"/>
                <w:highlight w:val="none"/>
              </w:rPr>
            </w:pPr>
            <w:r>
              <w:rPr>
                <w:rFonts w:hint="eastAsia" w:ascii="Times New Roman" w:hAnsi="Times New Roman" w:eastAsia="仿宋_GB2312" w:cs="仿宋"/>
                <w:b/>
                <w:bCs/>
                <w:color w:val="auto"/>
                <w:spacing w:val="40"/>
                <w:sz w:val="20"/>
                <w:szCs w:val="20"/>
                <w:highlight w:val="none"/>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color w:val="auto"/>
                <w:sz w:val="20"/>
                <w:szCs w:val="20"/>
                <w:highlight w:val="none"/>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01</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仿宋" w:hAnsi="仿宋" w:eastAsia="仿宋" w:cs="仿宋"/>
                <w:b/>
                <w:bCs/>
                <w:color w:val="auto"/>
                <w:sz w:val="20"/>
                <w:szCs w:val="20"/>
                <w:highlight w:val="none"/>
              </w:rPr>
            </w:pPr>
            <w:r>
              <w:rPr>
                <w:rFonts w:hint="eastAsia" w:ascii="Times New Roman" w:hAnsi="Times New Roman" w:eastAsia="仿宋_GB2312" w:cs="仿宋"/>
                <w:color w:val="auto"/>
                <w:sz w:val="20"/>
                <w:szCs w:val="20"/>
                <w:highlight w:val="none"/>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highlight w:val="none"/>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rPr>
              <w:t>编写相关文本</w:t>
            </w:r>
          </w:p>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rPr>
              <w:t>、</w:t>
            </w:r>
          </w:p>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b/>
                <w:bCs/>
                <w:color w:val="auto"/>
                <w:sz w:val="20"/>
                <w:szCs w:val="20"/>
                <w:highlight w:val="none"/>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rPr>
              <w:t>首轮提交文本及资料：</w:t>
            </w:r>
          </w:p>
          <w:p>
            <w:pPr>
              <w:adjustRightInd w:val="0"/>
              <w:snapToGrid w:val="0"/>
              <w:jc w:val="left"/>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1.项目单位提交自评绩效报告；</w:t>
            </w:r>
          </w:p>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项目单位</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highlight w:val="none"/>
              </w:rPr>
            </w:pPr>
          </w:p>
        </w:tc>
        <w:tc>
          <w:tcPr>
            <w:tcW w:w="534" w:type="dxa"/>
            <w:vMerge w:val="continue"/>
            <w:shd w:val="clear" w:color="auto" w:fill="auto"/>
            <w:vAlign w:val="center"/>
          </w:tcPr>
          <w:p>
            <w:pPr>
              <w:adjustRightInd w:val="0"/>
              <w:snapToGrid w:val="0"/>
              <w:jc w:val="left"/>
              <w:rPr>
                <w:rFonts w:hint="eastAsia" w:ascii="仿宋" w:hAnsi="仿宋" w:eastAsia="仿宋" w:cs="仿宋"/>
                <w:color w:val="auto"/>
                <w:sz w:val="20"/>
                <w:szCs w:val="20"/>
                <w:highlight w:val="none"/>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rPr>
              <w:t>修改文本及补充资料：</w:t>
            </w:r>
          </w:p>
          <w:p>
            <w:pPr>
              <w:adjustRightInd w:val="0"/>
              <w:snapToGrid w:val="0"/>
              <w:jc w:val="left"/>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1.评价工作组提出绩效报告修改意见，并反馈项目单位进行修改；</w:t>
            </w:r>
          </w:p>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08</w:t>
            </w:r>
            <w:r>
              <w:rPr>
                <w:rFonts w:hint="eastAsia" w:ascii="Times New Roman" w:hAnsi="Times New Roman" w:eastAsia="仿宋_GB2312" w:cs="仿宋"/>
                <w:color w:val="auto"/>
                <w:sz w:val="20"/>
                <w:szCs w:val="20"/>
                <w:highlight w:val="none"/>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color w:val="auto"/>
                <w:sz w:val="20"/>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color w:val="auto"/>
                <w:spacing w:val="40"/>
                <w:sz w:val="20"/>
                <w:szCs w:val="20"/>
                <w:highlight w:val="none"/>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color w:val="auto"/>
                <w:sz w:val="20"/>
                <w:szCs w:val="20"/>
                <w:highlight w:val="none"/>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rPr>
              <w:t>确定终版文本及资料：</w:t>
            </w:r>
          </w:p>
          <w:p>
            <w:pPr>
              <w:adjustRightInd w:val="0"/>
              <w:snapToGrid w:val="0"/>
              <w:jc w:val="left"/>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1.评价工作组再次审核绩效报告，项目单位参照修改意见进行修改并定稿；</w:t>
            </w:r>
          </w:p>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color w:val="auto"/>
                <w:sz w:val="20"/>
                <w:szCs w:val="20"/>
                <w:highlight w:val="none"/>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10</w:t>
            </w:r>
            <w:r>
              <w:rPr>
                <w:rFonts w:hint="eastAsia" w:ascii="Times New Roman" w:hAnsi="Times New Roman" w:eastAsia="仿宋_GB2312" w:cs="仿宋"/>
                <w:color w:val="auto"/>
                <w:sz w:val="20"/>
                <w:szCs w:val="20"/>
                <w:highlight w:val="none"/>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color w:val="auto"/>
                <w:sz w:val="20"/>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color w:val="auto"/>
                <w:spacing w:val="40"/>
                <w:sz w:val="20"/>
                <w:szCs w:val="20"/>
                <w:highlight w:val="none"/>
              </w:rPr>
            </w:pP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b/>
                <w:bCs/>
                <w:color w:val="auto"/>
                <w:sz w:val="20"/>
                <w:szCs w:val="20"/>
                <w:highlight w:val="none"/>
              </w:rPr>
              <w:t>整理、分析资料：</w:t>
            </w:r>
            <w:r>
              <w:rPr>
                <w:rFonts w:hint="eastAsia" w:ascii="Times New Roman" w:hAnsi="Times New Roman" w:eastAsia="仿宋_GB2312" w:cs="仿宋"/>
                <w:color w:val="auto"/>
                <w:sz w:val="20"/>
                <w:szCs w:val="20"/>
                <w:highlight w:val="none"/>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15</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评价机构</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color w:val="auto"/>
                <w:spacing w:val="40"/>
                <w:sz w:val="20"/>
                <w:szCs w:val="20"/>
                <w:highlight w:val="none"/>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b/>
                <w:bCs/>
                <w:color w:val="auto"/>
                <w:sz w:val="20"/>
                <w:szCs w:val="20"/>
                <w:highlight w:val="none"/>
              </w:rPr>
              <w:t>成立评价工作小组：</w:t>
            </w:r>
            <w:r>
              <w:rPr>
                <w:rFonts w:hint="eastAsia" w:ascii="Times New Roman" w:hAnsi="Times New Roman" w:eastAsia="仿宋_GB2312" w:cs="仿宋"/>
                <w:color w:val="auto"/>
                <w:sz w:val="20"/>
                <w:szCs w:val="20"/>
                <w:highlight w:val="none"/>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17</w:t>
            </w:r>
            <w:r>
              <w:rPr>
                <w:rFonts w:hint="eastAsia" w:ascii="Times New Roman" w:hAnsi="Times New Roman" w:eastAsia="仿宋_GB2312" w:cs="仿宋"/>
                <w:color w:val="auto"/>
                <w:sz w:val="20"/>
                <w:szCs w:val="20"/>
                <w:highlight w:val="none"/>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color w:val="auto"/>
                <w:spacing w:val="40"/>
                <w:sz w:val="20"/>
                <w:szCs w:val="20"/>
                <w:highlight w:val="none"/>
              </w:rPr>
            </w:pPr>
            <w:r>
              <w:rPr>
                <w:rFonts w:hint="eastAsia" w:ascii="Times New Roman" w:hAnsi="Times New Roman" w:eastAsia="仿宋_GB2312" w:cs="仿宋"/>
                <w:b/>
                <w:bCs/>
                <w:color w:val="auto"/>
                <w:spacing w:val="40"/>
                <w:sz w:val="20"/>
                <w:szCs w:val="20"/>
                <w:highlight w:val="none"/>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b/>
                <w:bCs/>
                <w:color w:val="auto"/>
                <w:sz w:val="20"/>
                <w:szCs w:val="20"/>
                <w:highlight w:val="none"/>
              </w:rPr>
              <w:t>现场调研：</w:t>
            </w:r>
            <w:r>
              <w:rPr>
                <w:rFonts w:hint="eastAsia" w:ascii="Times New Roman" w:hAnsi="Times New Roman" w:eastAsia="仿宋_GB2312" w:cs="仿宋"/>
                <w:color w:val="auto"/>
                <w:sz w:val="20"/>
                <w:szCs w:val="20"/>
                <w:highlight w:val="none"/>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21</w:t>
            </w:r>
            <w:r>
              <w:rPr>
                <w:rFonts w:hint="eastAsia" w:ascii="Times New Roman" w:hAnsi="Times New Roman" w:eastAsia="仿宋_GB2312" w:cs="仿宋"/>
                <w:color w:val="auto"/>
                <w:sz w:val="20"/>
                <w:szCs w:val="20"/>
                <w:highlight w:val="none"/>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项目单位</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color w:val="auto"/>
                <w:sz w:val="20"/>
                <w:szCs w:val="20"/>
                <w:highlight w:val="none"/>
              </w:rPr>
            </w:pPr>
          </w:p>
        </w:tc>
        <w:tc>
          <w:tcPr>
            <w:tcW w:w="4827" w:type="dxa"/>
            <w:gridSpan w:val="2"/>
            <w:shd w:val="clear" w:color="auto" w:fill="auto"/>
            <w:vAlign w:val="center"/>
          </w:tcPr>
          <w:p>
            <w:pPr>
              <w:rPr>
                <w:rFonts w:hint="eastAsia" w:ascii="仿宋" w:hAnsi="仿宋" w:eastAsia="仿宋" w:cs="仿宋"/>
                <w:b/>
                <w:bCs/>
                <w:color w:val="auto"/>
                <w:sz w:val="20"/>
                <w:szCs w:val="20"/>
                <w:highlight w:val="none"/>
              </w:rPr>
            </w:pPr>
            <w:r>
              <w:rPr>
                <w:rFonts w:hint="eastAsia" w:ascii="Times New Roman" w:hAnsi="Times New Roman" w:eastAsia="仿宋_GB2312" w:cs="仿宋"/>
                <w:b/>
                <w:bCs/>
                <w:color w:val="auto"/>
                <w:sz w:val="20"/>
                <w:szCs w:val="20"/>
                <w:highlight w:val="none"/>
              </w:rPr>
              <w:t>组织针对性培训：</w:t>
            </w:r>
            <w:r>
              <w:rPr>
                <w:rFonts w:hint="eastAsia" w:ascii="Times New Roman" w:hAnsi="Times New Roman" w:eastAsia="仿宋_GB2312" w:cs="仿宋"/>
                <w:color w:val="auto"/>
                <w:sz w:val="20"/>
                <w:szCs w:val="20"/>
                <w:highlight w:val="none"/>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22</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评价机构</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color w:val="auto"/>
                <w:sz w:val="20"/>
                <w:szCs w:val="20"/>
                <w:highlight w:val="none"/>
              </w:rPr>
            </w:pPr>
          </w:p>
        </w:tc>
        <w:tc>
          <w:tcPr>
            <w:tcW w:w="4827" w:type="dxa"/>
            <w:gridSpan w:val="2"/>
            <w:shd w:val="clear" w:color="auto" w:fill="auto"/>
            <w:vAlign w:val="center"/>
          </w:tcPr>
          <w:p>
            <w:pPr>
              <w:adjustRightInd w:val="0"/>
              <w:snapToGrid w:val="0"/>
              <w:jc w:val="left"/>
              <w:rPr>
                <w:rFonts w:hint="eastAsia" w:ascii="仿宋" w:hAnsi="仿宋" w:eastAsia="仿宋" w:cs="仿宋"/>
                <w:b/>
                <w:bCs/>
                <w:color w:val="auto"/>
                <w:sz w:val="20"/>
                <w:szCs w:val="20"/>
                <w:highlight w:val="none"/>
              </w:rPr>
            </w:pPr>
            <w:r>
              <w:rPr>
                <w:rFonts w:hint="eastAsia" w:ascii="Times New Roman" w:hAnsi="Times New Roman" w:eastAsia="仿宋_GB2312" w:cs="仿宋"/>
                <w:b/>
                <w:bCs/>
                <w:color w:val="auto"/>
                <w:sz w:val="20"/>
                <w:szCs w:val="20"/>
                <w:highlight w:val="none"/>
              </w:rPr>
              <w:t>现场评价会：</w:t>
            </w:r>
            <w:r>
              <w:rPr>
                <w:rFonts w:hint="eastAsia" w:ascii="Times New Roman" w:hAnsi="Times New Roman" w:eastAsia="仿宋_GB2312" w:cs="仿宋"/>
                <w:color w:val="auto"/>
                <w:sz w:val="20"/>
                <w:szCs w:val="20"/>
                <w:highlight w:val="none"/>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24</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评价机构</w:t>
            </w:r>
          </w:p>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项目单位</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color w:val="auto"/>
                <w:spacing w:val="20"/>
                <w:sz w:val="20"/>
                <w:szCs w:val="20"/>
                <w:highlight w:val="none"/>
              </w:rPr>
            </w:pPr>
            <w:r>
              <w:rPr>
                <w:rFonts w:hint="eastAsia" w:ascii="Times New Roman" w:hAnsi="Times New Roman" w:eastAsia="仿宋_GB2312" w:cs="仿宋"/>
                <w:b/>
                <w:bCs/>
                <w:color w:val="auto"/>
                <w:spacing w:val="20"/>
                <w:sz w:val="20"/>
                <w:szCs w:val="20"/>
                <w:highlight w:val="none"/>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b/>
                <w:bCs/>
                <w:color w:val="auto"/>
                <w:sz w:val="20"/>
                <w:szCs w:val="20"/>
                <w:highlight w:val="none"/>
              </w:rPr>
              <w:t>撰写报告：</w:t>
            </w:r>
            <w:r>
              <w:rPr>
                <w:rFonts w:hint="eastAsia" w:ascii="Times New Roman" w:hAnsi="Times New Roman" w:eastAsia="仿宋_GB2312" w:cs="仿宋"/>
                <w:color w:val="auto"/>
                <w:sz w:val="20"/>
                <w:szCs w:val="20"/>
                <w:highlight w:val="none"/>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25</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89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color w:val="auto"/>
                <w:sz w:val="20"/>
                <w:szCs w:val="20"/>
                <w:highlight w:val="none"/>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color w:val="auto"/>
                <w:sz w:val="20"/>
                <w:szCs w:val="20"/>
                <w:highlight w:val="none"/>
              </w:rPr>
            </w:pPr>
            <w:r>
              <w:rPr>
                <w:rFonts w:hint="eastAsia" w:ascii="Times New Roman" w:hAnsi="Times New Roman" w:eastAsia="仿宋_GB2312" w:cs="仿宋"/>
                <w:b/>
                <w:bCs/>
                <w:color w:val="auto"/>
                <w:sz w:val="20"/>
                <w:szCs w:val="20"/>
                <w:highlight w:val="none"/>
                <w:lang w:val="en-US" w:eastAsia="zh-CN"/>
              </w:rPr>
              <w:t>专家评审会：</w:t>
            </w:r>
            <w:r>
              <w:rPr>
                <w:rFonts w:hint="eastAsia" w:ascii="Times New Roman" w:hAnsi="Times New Roman" w:eastAsia="仿宋_GB2312" w:cs="仿宋"/>
                <w:color w:val="auto"/>
                <w:sz w:val="20"/>
                <w:szCs w:val="20"/>
                <w:highlight w:val="none"/>
                <w:lang w:val="en-US" w:eastAsia="zh-CN"/>
              </w:rPr>
              <w:t>行业专家，第三方专家以及财政部门，邀请人大代表监督全过程，对报告提出整改意见和需修改完善的内容，评价工作组及时作出整改。</w:t>
            </w:r>
          </w:p>
        </w:tc>
        <w:tc>
          <w:tcPr>
            <w:tcW w:w="1814"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lang w:eastAsia="zh-CN"/>
              </w:rPr>
            </w:pPr>
            <w:r>
              <w:rPr>
                <w:rFonts w:hint="eastAsia" w:ascii="Times New Roman" w:hAnsi="Times New Roman" w:eastAsia="仿宋_GB2312" w:cs="仿宋"/>
                <w:sz w:val="20"/>
                <w:szCs w:val="20"/>
                <w:highlight w:val="none"/>
                <w:lang w:eastAsia="zh-CN"/>
              </w:rPr>
              <w:t>202</w:t>
            </w:r>
            <w:r>
              <w:rPr>
                <w:rFonts w:hint="eastAsia" w:ascii="Times New Roman" w:hAnsi="Times New Roman" w:eastAsia="仿宋_GB2312" w:cs="仿宋"/>
                <w:sz w:val="20"/>
                <w:szCs w:val="20"/>
                <w:highlight w:val="none"/>
                <w:lang w:val="en-US" w:eastAsia="zh-CN"/>
              </w:rPr>
              <w:t>3</w:t>
            </w:r>
            <w:r>
              <w:rPr>
                <w:rFonts w:hint="eastAsia" w:ascii="Times New Roman" w:hAnsi="Times New Roman" w:eastAsia="仿宋_GB2312" w:cs="仿宋"/>
                <w:sz w:val="20"/>
                <w:szCs w:val="20"/>
                <w:highlight w:val="none"/>
              </w:rPr>
              <w:t>年</w:t>
            </w:r>
            <w:r>
              <w:rPr>
                <w:rFonts w:hint="eastAsia" w:ascii="Times New Roman" w:hAnsi="Times New Roman" w:eastAsia="仿宋_GB2312" w:cs="仿宋"/>
                <w:sz w:val="20"/>
                <w:szCs w:val="20"/>
                <w:highlight w:val="none"/>
                <w:lang w:val="en-US" w:eastAsia="zh-CN"/>
              </w:rPr>
              <w:t>06</w:t>
            </w:r>
            <w:r>
              <w:rPr>
                <w:rFonts w:hint="eastAsia" w:ascii="Times New Roman" w:hAnsi="Times New Roman" w:eastAsia="仿宋_GB2312" w:cs="仿宋"/>
                <w:sz w:val="20"/>
                <w:szCs w:val="20"/>
                <w:highlight w:val="none"/>
              </w:rPr>
              <w:t>月</w:t>
            </w:r>
            <w:r>
              <w:rPr>
                <w:rFonts w:hint="eastAsia" w:ascii="Times New Roman" w:hAnsi="Times New Roman" w:eastAsia="仿宋_GB2312" w:cs="仿宋"/>
                <w:sz w:val="20"/>
                <w:szCs w:val="20"/>
                <w:highlight w:val="none"/>
                <w:lang w:val="en-US" w:eastAsia="zh-CN"/>
              </w:rPr>
              <w:t>26</w:t>
            </w:r>
            <w:r>
              <w:rPr>
                <w:rFonts w:hint="eastAsia" w:ascii="Times New Roman" w:hAnsi="Times New Roman" w:eastAsia="仿宋_GB2312" w:cs="仿宋"/>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sz w:val="20"/>
                <w:szCs w:val="20"/>
                <w:highlight w:val="none"/>
                <w:lang w:val="en-US" w:eastAsia="zh-CN"/>
              </w:rPr>
              <w:t>邀请专家评价机构项目单位委托单位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89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color w:val="auto"/>
                <w:sz w:val="20"/>
                <w:szCs w:val="20"/>
                <w:highlight w:val="none"/>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b/>
                <w:bCs/>
                <w:color w:val="auto"/>
                <w:sz w:val="20"/>
                <w:szCs w:val="20"/>
                <w:highlight w:val="none"/>
              </w:rPr>
              <w:t>报告征求意见：</w:t>
            </w:r>
            <w:r>
              <w:rPr>
                <w:rFonts w:hint="eastAsia" w:ascii="Times New Roman" w:hAnsi="Times New Roman" w:eastAsia="仿宋_GB2312" w:cs="仿宋"/>
                <w:color w:val="auto"/>
                <w:sz w:val="20"/>
                <w:szCs w:val="20"/>
                <w:highlight w:val="none"/>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2</w:t>
            </w:r>
            <w:r>
              <w:rPr>
                <w:rFonts w:hint="eastAsia" w:ascii="Times New Roman" w:hAnsi="Times New Roman" w:eastAsia="仿宋_GB2312" w:cs="仿宋"/>
                <w:color w:val="auto"/>
                <w:sz w:val="20"/>
                <w:szCs w:val="20"/>
                <w:highlight w:val="none"/>
              </w:rPr>
              <w:t>年</w:t>
            </w:r>
            <w:r>
              <w:rPr>
                <w:rFonts w:hint="eastAsia" w:ascii="Times New Roman" w:hAnsi="Times New Roman" w:eastAsia="仿宋_GB2312" w:cs="仿宋"/>
                <w:color w:val="auto"/>
                <w:sz w:val="20"/>
                <w:szCs w:val="20"/>
                <w:highlight w:val="none"/>
                <w:lang w:val="en-US" w:eastAsia="zh-CN"/>
              </w:rPr>
              <w:t>06</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28</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评价机构</w:t>
            </w:r>
          </w:p>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项目单位</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54"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color w:val="auto"/>
                <w:sz w:val="20"/>
                <w:szCs w:val="20"/>
                <w:highlight w:val="none"/>
              </w:rPr>
            </w:pPr>
          </w:p>
        </w:tc>
        <w:tc>
          <w:tcPr>
            <w:tcW w:w="4827" w:type="dxa"/>
            <w:gridSpan w:val="2"/>
            <w:shd w:val="clear" w:color="auto" w:fill="auto"/>
            <w:vAlign w:val="center"/>
          </w:tcPr>
          <w:p>
            <w:pPr>
              <w:adjustRightInd w:val="0"/>
              <w:snapToGrid w:val="0"/>
              <w:jc w:val="left"/>
              <w:rPr>
                <w:rFonts w:hint="eastAsia" w:ascii="仿宋" w:hAnsi="仿宋" w:eastAsia="仿宋" w:cs="仿宋"/>
                <w:color w:val="auto"/>
                <w:sz w:val="20"/>
                <w:szCs w:val="20"/>
                <w:highlight w:val="none"/>
              </w:rPr>
            </w:pPr>
            <w:r>
              <w:rPr>
                <w:rFonts w:hint="eastAsia" w:ascii="Times New Roman" w:hAnsi="Times New Roman" w:eastAsia="仿宋_GB2312" w:cs="仿宋"/>
                <w:b/>
                <w:bCs/>
                <w:color w:val="auto"/>
                <w:sz w:val="20"/>
                <w:szCs w:val="20"/>
                <w:highlight w:val="none"/>
              </w:rPr>
              <w:t>报送报告：</w:t>
            </w:r>
            <w:r>
              <w:rPr>
                <w:rFonts w:hint="eastAsia" w:ascii="Times New Roman" w:hAnsi="Times New Roman" w:eastAsia="仿宋_GB2312" w:cs="仿宋"/>
                <w:color w:val="auto"/>
                <w:sz w:val="20"/>
                <w:szCs w:val="20"/>
                <w:highlight w:val="none"/>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lang w:eastAsia="zh-CN"/>
              </w:rPr>
              <w:t>202</w:t>
            </w:r>
            <w:r>
              <w:rPr>
                <w:rFonts w:hint="eastAsia" w:ascii="Times New Roman" w:hAnsi="Times New Roman" w:eastAsia="仿宋_GB2312" w:cs="仿宋"/>
                <w:color w:val="auto"/>
                <w:sz w:val="20"/>
                <w:szCs w:val="20"/>
                <w:highlight w:val="none"/>
                <w:lang w:val="en-US" w:eastAsia="zh-CN"/>
              </w:rPr>
              <w:t>3年07</w:t>
            </w:r>
            <w:r>
              <w:rPr>
                <w:rFonts w:hint="eastAsia" w:ascii="Times New Roman" w:hAnsi="Times New Roman" w:eastAsia="仿宋_GB2312" w:cs="仿宋"/>
                <w:color w:val="auto"/>
                <w:sz w:val="20"/>
                <w:szCs w:val="20"/>
                <w:highlight w:val="none"/>
              </w:rPr>
              <w:t>月</w:t>
            </w:r>
            <w:r>
              <w:rPr>
                <w:rFonts w:hint="eastAsia" w:ascii="Times New Roman" w:hAnsi="Times New Roman" w:eastAsia="仿宋_GB2312" w:cs="仿宋"/>
                <w:color w:val="auto"/>
                <w:sz w:val="20"/>
                <w:szCs w:val="20"/>
                <w:highlight w:val="none"/>
                <w:lang w:val="en-US" w:eastAsia="zh-CN"/>
              </w:rPr>
              <w:t>10</w:t>
            </w:r>
            <w:r>
              <w:rPr>
                <w:rFonts w:hint="eastAsia" w:ascii="Times New Roman" w:hAnsi="Times New Roman" w:eastAsia="仿宋_GB2312" w:cs="仿宋"/>
                <w:color w:val="auto"/>
                <w:sz w:val="20"/>
                <w:szCs w:val="20"/>
                <w:highlight w:val="none"/>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评价机构</w:t>
            </w:r>
          </w:p>
          <w:p>
            <w:pPr>
              <w:adjustRightInd w:val="0"/>
              <w:snapToGrid w:val="0"/>
              <w:jc w:val="center"/>
              <w:rPr>
                <w:rFonts w:hint="eastAsia" w:ascii="Times New Roman" w:hAnsi="Times New Roman" w:eastAsia="仿宋_GB2312" w:cs="仿宋"/>
                <w:color w:val="auto"/>
                <w:sz w:val="20"/>
                <w:szCs w:val="20"/>
                <w:highlight w:val="none"/>
              </w:rPr>
            </w:pPr>
            <w:r>
              <w:rPr>
                <w:rFonts w:hint="eastAsia" w:ascii="Times New Roman" w:hAnsi="Times New Roman" w:eastAsia="仿宋_GB2312" w:cs="仿宋"/>
                <w:color w:val="auto"/>
                <w:sz w:val="20"/>
                <w:szCs w:val="20"/>
                <w:highlight w:val="none"/>
              </w:rPr>
              <w:t>项目单位</w:t>
            </w:r>
          </w:p>
          <w:p>
            <w:pPr>
              <w:adjustRightInd w:val="0"/>
              <w:snapToGrid w:val="0"/>
              <w:jc w:val="center"/>
              <w:rPr>
                <w:rFonts w:hint="eastAsia" w:ascii="仿宋" w:hAnsi="仿宋" w:eastAsia="仿宋" w:cs="仿宋"/>
                <w:color w:val="auto"/>
                <w:sz w:val="20"/>
                <w:szCs w:val="20"/>
                <w:highlight w:val="none"/>
              </w:rPr>
            </w:pPr>
            <w:r>
              <w:rPr>
                <w:rFonts w:hint="eastAsia" w:ascii="Times New Roman" w:hAnsi="Times New Roman" w:eastAsia="仿宋_GB2312" w:cs="仿宋"/>
                <w:color w:val="auto"/>
                <w:sz w:val="20"/>
                <w:szCs w:val="20"/>
                <w:highlight w:val="none"/>
              </w:rPr>
              <w:t>委托单位</w:t>
            </w:r>
          </w:p>
        </w:tc>
      </w:tr>
    </w:tbl>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b/>
          <w:bCs w:val="0"/>
          <w:sz w:val="32"/>
          <w:szCs w:val="32"/>
        </w:rPr>
      </w:pPr>
      <w:r>
        <w:rPr>
          <w:rFonts w:hint="eastAsia" w:ascii="楷体" w:hAnsi="楷体" w:eastAsia="楷体" w:cs="楷体"/>
          <w:bCs/>
          <w:sz w:val="32"/>
          <w:szCs w:val="32"/>
        </w:rPr>
        <w:t>2</w:t>
      </w:r>
      <w:r>
        <w:rPr>
          <w:rFonts w:hint="eastAsia" w:ascii="仿宋_GB2312" w:hAnsi="仿宋_GB2312" w:eastAsia="仿宋_GB2312" w:cs="仿宋_GB2312"/>
          <w:b/>
          <w:bCs w:val="0"/>
          <w:sz w:val="32"/>
          <w:szCs w:val="32"/>
        </w:rPr>
        <w:t>.实地调研概况</w:t>
      </w:r>
      <w:bookmarkEnd w:id="63"/>
      <w:bookmarkEnd w:id="64"/>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jc w:val="left"/>
        <w:textAlignment w:val="auto"/>
        <w:outlineLvl w:val="0"/>
        <w:rPr>
          <w:rFonts w:hint="eastAsia" w:ascii="方正黑体_GBK" w:hAnsi="方正黑体_GBK" w:eastAsia="方正黑体_GBK" w:cs="方正黑体_GBK"/>
          <w:sz w:val="32"/>
          <w:szCs w:val="32"/>
        </w:rPr>
      </w:pPr>
      <w:bookmarkStart w:id="65" w:name="_Toc27359"/>
      <w:r>
        <w:rPr>
          <w:rFonts w:hint="eastAsia" w:ascii="方正黑体_GBK" w:hAnsi="方正黑体_GBK" w:eastAsia="方正黑体_GBK" w:cs="方正黑体_GBK"/>
          <w:sz w:val="32"/>
          <w:szCs w:val="32"/>
        </w:rPr>
        <w:t>三、绩效评价分析</w:t>
      </w:r>
      <w:bookmarkEnd w:id="65"/>
    </w:p>
    <w:p>
      <w:pPr>
        <w:pStyle w:val="33"/>
        <w:keepNext w:val="0"/>
        <w:keepLines w:val="0"/>
        <w:pageBreakBefore w:val="0"/>
        <w:widowControl w:val="0"/>
        <w:numPr>
          <w:ilvl w:val="0"/>
          <w:numId w:val="3"/>
        </w:numPr>
        <w:kinsoku/>
        <w:wordWrap/>
        <w:overflowPunct/>
        <w:topLinePunct w:val="0"/>
        <w:autoSpaceDE/>
        <w:autoSpaceDN/>
        <w:bidi w:val="0"/>
        <w:adjustRightInd w:val="0"/>
        <w:snapToGrid w:val="0"/>
        <w:spacing w:line="560" w:lineRule="exact"/>
        <w:ind w:left="0" w:leftChars="0" w:firstLine="643" w:firstLineChars="200"/>
        <w:textAlignment w:val="auto"/>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highlight w:val="none"/>
        </w:rPr>
      </w:pPr>
      <w:bookmarkStart w:id="66" w:name="_Toc5787"/>
      <w:r>
        <w:rPr>
          <w:rFonts w:hint="eastAsia" w:ascii="方正楷体_GBK" w:hAnsi="方正楷体_GBK" w:eastAsia="方正楷体_GBK" w:cs="方正楷体_GBK"/>
          <w:b/>
          <w:bCs/>
          <w:sz w:val="32"/>
          <w:szCs w:val="32"/>
          <w:highlight w:val="none"/>
        </w:rPr>
        <w:t>（一）项目决策分析</w:t>
      </w:r>
      <w:bookmarkEnd w:id="66"/>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highlight w:val="none"/>
          <w:lang w:val="en-US" w:eastAsia="zh-CN"/>
        </w:rPr>
      </w:pPr>
      <w:bookmarkStart w:id="67" w:name="_Toc27861"/>
      <w:r>
        <w:rPr>
          <w:rFonts w:hint="eastAsia" w:ascii="仿宋_GB2312" w:hAnsi="仿宋_GB2312" w:eastAsia="仿宋_GB2312" w:cs="仿宋_GB2312"/>
          <w:b/>
          <w:bCs w:val="0"/>
          <w:sz w:val="32"/>
          <w:szCs w:val="32"/>
          <w:highlight w:val="none"/>
        </w:rPr>
        <w:t>1.</w:t>
      </w:r>
      <w:r>
        <w:rPr>
          <w:rFonts w:hint="eastAsia" w:ascii="仿宋_GB2312" w:hAnsi="仿宋_GB2312" w:eastAsia="仿宋_GB2312" w:cs="仿宋_GB2312"/>
          <w:b/>
          <w:bCs w:val="0"/>
          <w:sz w:val="32"/>
          <w:szCs w:val="32"/>
          <w:highlight w:val="none"/>
          <w:lang w:val="en-US" w:eastAsia="zh-CN"/>
        </w:rPr>
        <w:t>项目立项情况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val="0"/>
          <w:sz w:val="32"/>
          <w:szCs w:val="32"/>
          <w:highlight w:val="yellow"/>
          <w:lang w:val="en-US" w:eastAsia="zh-CN"/>
        </w:rPr>
      </w:pPr>
      <w:r>
        <w:rPr>
          <w:rFonts w:hint="eastAsia" w:ascii="仿宋_GB2312" w:hAnsi="仿宋_GB2312" w:eastAsia="仿宋_GB2312" w:cs="仿宋_GB2312"/>
          <w:b/>
          <w:bCs w:val="0"/>
          <w:sz w:val="32"/>
          <w:szCs w:val="32"/>
          <w:lang w:eastAsia="zh-CN"/>
        </w:rPr>
        <w:t>（</w:t>
      </w:r>
      <w:r>
        <w:rPr>
          <w:rFonts w:hint="eastAsia" w:ascii="仿宋_GB2312" w:hAnsi="仿宋_GB2312" w:eastAsia="仿宋_GB2312" w:cs="仿宋_GB2312"/>
          <w:b/>
          <w:bCs w:val="0"/>
          <w:sz w:val="32"/>
          <w:szCs w:val="32"/>
          <w:lang w:val="en-US" w:eastAsia="zh-CN"/>
        </w:rPr>
        <w:t>1</w:t>
      </w:r>
      <w:r>
        <w:rPr>
          <w:rFonts w:hint="eastAsia" w:ascii="仿宋_GB2312" w:hAnsi="仿宋_GB2312" w:eastAsia="仿宋_GB2312" w:cs="仿宋_GB2312"/>
          <w:b/>
          <w:bCs w:val="0"/>
          <w:sz w:val="32"/>
          <w:szCs w:val="32"/>
          <w:lang w:eastAsia="zh-CN"/>
        </w:rPr>
        <w:t>）</w:t>
      </w:r>
      <w:r>
        <w:rPr>
          <w:rFonts w:hint="eastAsia" w:ascii="仿宋_GB2312" w:hAnsi="仿宋_GB2312" w:eastAsia="仿宋_GB2312" w:cs="仿宋_GB2312"/>
          <w:b/>
          <w:bCs w:val="0"/>
          <w:sz w:val="32"/>
          <w:szCs w:val="32"/>
          <w:lang w:val="en-US" w:eastAsia="zh-CN"/>
        </w:rPr>
        <w:t>立项依据的充分性</w:t>
      </w:r>
    </w:p>
    <w:p>
      <w:pPr>
        <w:pStyle w:val="41"/>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该项目依据</w:t>
      </w:r>
      <w:r>
        <w:rPr>
          <w:rFonts w:hint="eastAsia" w:ascii="仿宋_GB2312" w:hAnsi="黑体" w:eastAsia="仿宋_GB2312" w:cs="宋体"/>
          <w:kern w:val="0"/>
          <w:sz w:val="32"/>
          <w:szCs w:val="32"/>
          <w:highlight w:val="none"/>
          <w:lang w:val="en-US" w:eastAsia="zh-CN" w:bidi="ar-SA"/>
        </w:rPr>
        <w:t>《关于疏附县木什乡易地扶贫搬迁产业发展项目（牛养殖小区）立项的复函》</w:t>
      </w:r>
      <w:r>
        <w:rPr>
          <w:rFonts w:hint="eastAsia" w:ascii="仿宋_GB2312" w:hAnsi="仿宋_GB2312" w:eastAsia="仿宋_GB2312" w:cs="仿宋_GB2312"/>
          <w:kern w:val="2"/>
          <w:sz w:val="32"/>
          <w:szCs w:val="32"/>
          <w:highlight w:val="none"/>
          <w:lang w:val="en-US" w:eastAsia="zh-CN" w:bidi="ar-SA"/>
        </w:rPr>
        <w:t>及经疏附县乡村振兴局会议研究决定，按照以上文件要求进行立项；项目立项完全符合国家关于农牧业产业结构调整的政策要求，很好地解决了肉类产业发展面临的问题，加速了疏附县农牧业产业化的进程，是一项扩大劳动就业，增强造血功能、促进农畜产品转化增值的战略举措，抓住了农业发展转型期的战略契机，并且有区位优势、地理优势、最优惠的招商引资政策为保障，项目建设一定进展顺利，市场前景广阔。</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在资金投入方面，预算编制是经疏附县乡村振兴局会议研究决定，确保资金额度与2022年的年度绩效目标相适应，反映了项目预算编制的科学性、合理性，预算资金分配有测算依据，与疏附县的实际相适应。因此可见该项目立项依据较充分，</w:t>
      </w:r>
      <w:r>
        <w:rPr>
          <w:rFonts w:hint="eastAsia" w:ascii="仿宋_GB2312" w:hAnsi="仿宋_GB2312" w:eastAsia="仿宋_GB2312" w:cs="仿宋_GB2312"/>
          <w:color w:val="auto"/>
          <w:sz w:val="32"/>
          <w:szCs w:val="32"/>
          <w:highlight w:val="none"/>
          <w:lang w:val="en-US" w:eastAsia="zh-CN"/>
        </w:rPr>
        <w:t>根据评分标准，该指标分值为4分，实际得分为4分。</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（2）立项程序规范性</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决策依据情况：项目符合经济社会发展规划和部门年度工作计划，为全面贯彻落实中央、自治区、地区关于巩固拓展脱贫攻坚成果同乡村振兴有效衔接工作任务的决策部署，落实地委关于喀什地区巩固拓展脱贫攻坚成果同乡村振兴有效衔接工作的相关安排部署，制定《疏附县木什乡易地扶贫搬迁产业发展项目（牛养殖小区）》等指导性文件，总体把控项目实施情况，并编写立项请示报疏附县发改委，取得相关批复，立项程序较规范。</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决策程序情况：</w:t>
      </w:r>
      <w:bookmarkEnd w:id="67"/>
      <w:r>
        <w:rPr>
          <w:rFonts w:hint="eastAsia" w:ascii="仿宋_GB2312" w:hAnsi="仿宋_GB2312" w:eastAsia="仿宋_GB2312" w:cs="仿宋_GB2312"/>
          <w:color w:val="auto"/>
          <w:kern w:val="2"/>
          <w:sz w:val="32"/>
          <w:szCs w:val="32"/>
          <w:highlight w:val="none"/>
          <w:lang w:val="en-US" w:eastAsia="zh-CN" w:bidi="ar-SA"/>
        </w:rPr>
        <w:t>通过对项目前期工作进行调研并结合项目实施方案，成立了项目管理领导小组，对项目加强管理。由郭雪峰(疏附县木什乡人民政府副乡长）任组长，加强疏附县木什乡易地扶贫搬迁产业发展项目（牛养殖小区）管理工作的组织领导，并将疏附县木什乡易地扶贫搬迁产业发展项目（牛养殖小区）作为疏附县木什乡人民政府考评和绩效考核工作的重要内容。该项目属于基建类项目，由疏附县木什乡人民政府自行实施，实施过程均按照疏附县木什乡人民政府制定的管理制度执行，该项目按照规定的程序申请设立，审批文件、材料符合相关要求，项目决策程序比较规范，</w:t>
      </w:r>
      <w:r>
        <w:rPr>
          <w:rFonts w:hint="eastAsia" w:ascii="仿宋_GB2312" w:hAnsi="仿宋_GB2312" w:eastAsia="仿宋_GB2312" w:cs="仿宋_GB2312"/>
          <w:color w:val="auto"/>
          <w:sz w:val="32"/>
          <w:szCs w:val="32"/>
          <w:highlight w:val="none"/>
          <w:lang w:val="en-US" w:eastAsia="zh-CN"/>
        </w:rPr>
        <w:t>根据评分标准，该指标分值为4分，实际得分为4分</w:t>
      </w:r>
      <w:r>
        <w:rPr>
          <w:rFonts w:hint="eastAsia" w:ascii="仿宋_GB2312" w:hAnsi="仿宋_GB2312" w:eastAsia="仿宋_GB2312" w:cs="仿宋_GB2312"/>
          <w:color w:val="auto"/>
          <w:kern w:val="2"/>
          <w:sz w:val="32"/>
          <w:szCs w:val="32"/>
          <w:highlight w:val="none"/>
          <w:lang w:val="en-US" w:eastAsia="zh-CN" w:bidi="ar-SA"/>
        </w:rPr>
        <w:t>。</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kern w:val="2"/>
          <w:sz w:val="32"/>
          <w:szCs w:val="32"/>
          <w:lang w:val="en-US" w:eastAsia="zh-CN" w:bidi="ar-SA"/>
        </w:rPr>
      </w:pPr>
      <w:r>
        <w:rPr>
          <w:rFonts w:hint="eastAsia" w:ascii="仿宋_GB2312" w:hAnsi="仿宋_GB2312" w:eastAsia="仿宋_GB2312" w:cs="仿宋_GB2312"/>
          <w:b/>
          <w:bCs w:val="0"/>
          <w:kern w:val="2"/>
          <w:sz w:val="32"/>
          <w:szCs w:val="32"/>
          <w:lang w:val="en-US" w:eastAsia="zh-CN" w:bidi="ar-SA"/>
        </w:rPr>
        <w:t>2.绩效目标设立情况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（1）绩效目标合理性</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疏附县木什乡人民政府实施的疏附县木什乡易地扶贫搬迁产业发展项目（牛养殖小区）的业务工作。指标与评价对象密切相关，全面反映项目实施内容及项目预期绩效情况，绩效目标设立符合疏附县巩固脱贫政策要求和疏附县木什乡人民政府2022年工作计划，明确了项目产出数量和预期达到的效果。整体来看，绩效目标设立比较明确，</w:t>
      </w:r>
      <w:r>
        <w:rPr>
          <w:rFonts w:hint="eastAsia" w:ascii="仿宋_GB2312" w:hAnsi="仿宋_GB2312" w:eastAsia="仿宋_GB2312" w:cs="仿宋_GB2312"/>
          <w:color w:val="auto"/>
          <w:sz w:val="32"/>
          <w:szCs w:val="32"/>
          <w:highlight w:val="none"/>
          <w:lang w:val="en-US" w:eastAsia="zh-CN"/>
        </w:rPr>
        <w:t>根据评分标准，该指标分值为3分，实际得分为3分。</w:t>
      </w:r>
      <w:r>
        <w:rPr>
          <w:rFonts w:hint="eastAsia" w:ascii="仿宋_GB2312" w:hAnsi="仿宋_GB2312" w:eastAsia="仿宋_GB2312" w:cs="仿宋_GB231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（2）绩效指标明确性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该项目所设置绩效目标是：一级指标3条，二级指标8条，三级指标28条，可量化指标23条，指标量化率92.86%，该项目总体绩效目标明确，符合绩效目标明确、细化、量化条件，</w:t>
      </w:r>
      <w:r>
        <w:rPr>
          <w:rFonts w:hint="eastAsia" w:ascii="仿宋_GB2312" w:hAnsi="仿宋_GB2312" w:eastAsia="仿宋_GB2312" w:cs="仿宋_GB2312"/>
          <w:color w:val="auto"/>
          <w:sz w:val="32"/>
          <w:szCs w:val="32"/>
          <w:highlight w:val="none"/>
          <w:lang w:val="en-US" w:eastAsia="zh-CN"/>
        </w:rPr>
        <w:t>根据评分标准，该指标分值为3分，实际得分为3分。</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kern w:val="2"/>
          <w:sz w:val="32"/>
          <w:szCs w:val="32"/>
          <w:lang w:val="en-US" w:eastAsia="zh-CN" w:bidi="ar-SA"/>
        </w:rPr>
      </w:pPr>
      <w:r>
        <w:rPr>
          <w:rFonts w:hint="eastAsia" w:ascii="仿宋_GB2312" w:hAnsi="仿宋_GB2312" w:eastAsia="仿宋_GB2312" w:cs="仿宋_GB2312"/>
          <w:b/>
          <w:bCs w:val="0"/>
          <w:kern w:val="2"/>
          <w:sz w:val="32"/>
          <w:szCs w:val="32"/>
          <w:lang w:val="en-US" w:eastAsia="zh-CN" w:bidi="ar-SA"/>
        </w:rPr>
        <w:t>3.资金投入情况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val="0"/>
          <w:sz w:val="32"/>
          <w:szCs w:val="32"/>
          <w:highlight w:val="none"/>
          <w:lang w:val="en-US" w:eastAsia="zh-CN"/>
        </w:rPr>
      </w:pPr>
      <w:r>
        <w:rPr>
          <w:rFonts w:hint="eastAsia" w:ascii="仿宋_GB2312" w:hAnsi="仿宋_GB2312" w:eastAsia="仿宋_GB2312" w:cs="仿宋_GB2312"/>
          <w:b/>
          <w:bCs w:val="0"/>
          <w:sz w:val="32"/>
          <w:szCs w:val="32"/>
          <w:highlight w:val="none"/>
          <w:lang w:val="en-US" w:eastAsia="zh-CN"/>
        </w:rPr>
        <w:t>（1）预算编制科学性</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疏附县木什乡人民政府根据项目情况进行预算编制，使项目的资金额度与年度目标相适应，制定了明确详细的项目资金支出计划和进度，该项目预算编制比较科学合理，</w:t>
      </w:r>
      <w:r>
        <w:rPr>
          <w:rFonts w:hint="eastAsia" w:ascii="仿宋_GB2312" w:hAnsi="仿宋_GB2312" w:eastAsia="仿宋_GB2312" w:cs="仿宋_GB2312"/>
          <w:color w:val="auto"/>
          <w:sz w:val="32"/>
          <w:szCs w:val="32"/>
          <w:highlight w:val="none"/>
          <w:lang w:val="en-US" w:eastAsia="zh-CN"/>
        </w:rPr>
        <w:t>根据评分标准，该指标分值为3分，实际得分为3分</w:t>
      </w:r>
      <w:r>
        <w:rPr>
          <w:rFonts w:hint="eastAsia" w:ascii="仿宋_GB2312" w:hAnsi="仿宋_GB2312" w:eastAsia="仿宋_GB2312" w:cs="仿宋_GB231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（2）资金分配合理性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该项目调整后预算资金519.36万元，项目资金主要用于对已建成的牛养殖小区进行扩建，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项目预算资金分配具有测算依据，分配额度合理，与补助单位或地方实际相适应，与工作任务相匹配，充分体现了资金分配的合理性，</w:t>
      </w:r>
      <w:r>
        <w:rPr>
          <w:rFonts w:hint="eastAsia" w:ascii="仿宋_GB2312" w:hAnsi="仿宋_GB2312" w:eastAsia="仿宋_GB2312" w:cs="仿宋_GB2312"/>
          <w:color w:val="auto"/>
          <w:sz w:val="32"/>
          <w:szCs w:val="32"/>
          <w:highlight w:val="none"/>
          <w:lang w:val="en-US" w:eastAsia="zh-CN"/>
        </w:rPr>
        <w:t>根据评分标准，该指标分值为3分，实际得分为3分。</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（二）项目管理</w:t>
      </w:r>
      <w:r>
        <w:rPr>
          <w:rFonts w:hint="eastAsia" w:ascii="方正楷体_GBK" w:hAnsi="方正楷体_GBK" w:eastAsia="方正楷体_GBK" w:cs="方正楷体_GBK"/>
          <w:b/>
          <w:bCs/>
          <w:sz w:val="32"/>
          <w:szCs w:val="32"/>
          <w:lang w:val="en-US" w:eastAsia="zh-CN"/>
        </w:rPr>
        <w:t>过程</w:t>
      </w:r>
      <w:r>
        <w:rPr>
          <w:rFonts w:hint="eastAsia" w:ascii="方正楷体_GBK" w:hAnsi="方正楷体_GBK" w:eastAsia="方正楷体_GBK" w:cs="方正楷体_GBK"/>
          <w:b/>
          <w:bCs/>
          <w:sz w:val="32"/>
          <w:szCs w:val="32"/>
        </w:rPr>
        <w:t>情况分析</w:t>
      </w:r>
      <w:bookmarkEnd w:id="68"/>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kern w:val="2"/>
          <w:sz w:val="32"/>
          <w:szCs w:val="32"/>
          <w:highlight w:val="none"/>
          <w:lang w:val="en-US" w:eastAsia="zh-CN" w:bidi="ar-SA"/>
        </w:rPr>
      </w:pPr>
      <w:bookmarkStart w:id="69" w:name="_Toc11398"/>
      <w:r>
        <w:rPr>
          <w:rFonts w:hint="eastAsia" w:ascii="仿宋_GB2312" w:hAnsi="仿宋_GB2312" w:eastAsia="仿宋_GB2312" w:cs="仿宋_GB2312"/>
          <w:b/>
          <w:bCs/>
          <w:kern w:val="2"/>
          <w:sz w:val="32"/>
          <w:szCs w:val="32"/>
          <w:highlight w:val="none"/>
          <w:lang w:val="en-US" w:eastAsia="zh-CN" w:bidi="ar-SA"/>
        </w:rPr>
        <w:t>1.项目资金</w:t>
      </w:r>
      <w:bookmarkEnd w:id="69"/>
      <w:r>
        <w:rPr>
          <w:rFonts w:hint="eastAsia" w:ascii="仿宋_GB2312" w:hAnsi="仿宋_GB2312" w:eastAsia="仿宋_GB2312" w:cs="仿宋_GB2312"/>
          <w:b/>
          <w:bCs/>
          <w:kern w:val="2"/>
          <w:sz w:val="32"/>
          <w:szCs w:val="32"/>
          <w:highlight w:val="none"/>
          <w:lang w:val="en-US" w:eastAsia="zh-CN" w:bidi="ar-SA"/>
        </w:rPr>
        <w:t>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kern w:val="2"/>
          <w:sz w:val="32"/>
          <w:szCs w:val="32"/>
          <w:highlight w:val="none"/>
          <w:lang w:val="en-US" w:eastAsia="zh-CN" w:bidi="ar-SA"/>
        </w:rPr>
      </w:pPr>
      <w:r>
        <w:rPr>
          <w:rFonts w:hint="eastAsia" w:ascii="仿宋_GB2312" w:hAnsi="仿宋_GB2312" w:eastAsia="仿宋_GB2312" w:cs="仿宋_GB2312"/>
          <w:b/>
          <w:bCs/>
          <w:kern w:val="2"/>
          <w:sz w:val="32"/>
          <w:szCs w:val="32"/>
          <w:highlight w:val="none"/>
          <w:lang w:val="en-US" w:eastAsia="zh-CN" w:bidi="ar-SA"/>
        </w:rPr>
        <w:t>（1）资金到位情况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关于疏附县木什乡易地扶贫搬迁产业发展项目（牛养殖小区）立项的复函》等文件内容，该项目预算资金为519.36万元，实际到位资金为519.36万元，资金来源为财政衔接推进乡村振兴补助资金，资金到位率100%。后根据《关于疏附县2022年第一批巩固拓展脱贫攻坚成果同乡村振兴有效衔接结余资金项目计划批复》文件内容，预算资金调整为519.36万元，资金到位率100%，</w:t>
      </w:r>
      <w:r>
        <w:rPr>
          <w:rFonts w:hint="eastAsia" w:ascii="仿宋_GB2312" w:hAnsi="仿宋_GB2312" w:eastAsia="仿宋_GB2312" w:cs="仿宋_GB2312"/>
          <w:color w:val="auto"/>
          <w:sz w:val="32"/>
          <w:szCs w:val="32"/>
          <w:highlight w:val="none"/>
          <w:lang w:val="en-US" w:eastAsia="zh-CN"/>
        </w:rPr>
        <w:t>根据评分标准，该指标分值为3分，实际得分为3分。</w:t>
      </w:r>
      <w:r>
        <w:rPr>
          <w:rFonts w:hint="eastAsia" w:ascii="仿宋_GB2312" w:hAnsi="仿宋_GB2312" w:eastAsia="仿宋_GB2312" w:cs="仿宋_GB231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该项目预算执行与预算编制基本一致，项目调整后预算资金519.36万元，实际支出519.36万元，预算执行率100%，</w:t>
      </w:r>
      <w:r>
        <w:rPr>
          <w:rFonts w:hint="eastAsia" w:ascii="仿宋_GB2312" w:hAnsi="仿宋_GB2312" w:eastAsia="仿宋_GB2312" w:cs="仿宋_GB2312"/>
          <w:color w:val="auto"/>
          <w:sz w:val="32"/>
          <w:szCs w:val="32"/>
          <w:highlight w:val="none"/>
          <w:lang w:val="en-US" w:eastAsia="zh-CN"/>
        </w:rPr>
        <w:t>根据评分标准，该指标分值为3分，实际得分为3分。</w:t>
      </w:r>
      <w:r>
        <w:rPr>
          <w:rFonts w:hint="eastAsia" w:ascii="仿宋_GB2312" w:hAnsi="仿宋_GB2312" w:eastAsia="仿宋_GB2312" w:cs="仿宋_GB231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（3）资金使用合规性</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资金使用严格按照《中央财政衔接推进乡村振兴补助资金管理办法》、《新疆维吾尔自治区财政衔接推进乡村振兴补助资金管理办法》、《关于转发&lt;新疆维吾尔自治区财政衔接推进乡村振兴补助资金管理办法&gt;的通知》等文件规定，疏附县木什乡人民政府依据项目实施计划和实施进度提出支付申请并提供相关真实、合规的印证材料，制定资金使用计划，经相关部门审核后按照国库集中支付管理制度的规定和程序及时支付资金。项目资金支付后，在审计或检查中发现资金使用存在违法违规问题的，及时追回、收回。对资金使用严格监管，防止资金使用不精准、虚报冒领。资金的支付有完整的审批程序和手续，符合制度要求;项目资金进行单独核算，财务手续基本合理、完整，未发现专项资金有截留、挤占、挪用、虚列开支等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自项目预启动通知书下发后，项目严格程序实行“一项目一档案一台账”管理，收集项目各项资料，按要求及时将项目立项、推进进度、资金支付、监督检查、验收等信息录入全国扶贫开信息系统和自治区和新疆脱贫攻坚大数据平台。该项目资金严格执行国库集中支付，按照中央财政衔接推进乡村振兴补助资金有关管理规定收集整理报账资料，</w:t>
      </w:r>
      <w:r>
        <w:rPr>
          <w:rFonts w:hint="eastAsia" w:ascii="仿宋_GB2312" w:hAnsi="仿宋_GB2312" w:eastAsia="仿宋_GB2312" w:cs="仿宋_GB2312"/>
          <w:color w:val="auto"/>
          <w:sz w:val="32"/>
          <w:szCs w:val="32"/>
          <w:highlight w:val="none"/>
          <w:lang w:val="en-US" w:eastAsia="zh-CN"/>
        </w:rPr>
        <w:t>根据评分标准，该指标分值为3分，实际得分为3分。</w:t>
      </w:r>
      <w:r>
        <w:rPr>
          <w:rFonts w:hint="eastAsia" w:ascii="仿宋_GB2312" w:hAnsi="仿宋_GB2312" w:eastAsia="仿宋_GB2312" w:cs="仿宋_GB2312"/>
          <w:sz w:val="32"/>
          <w:szCs w:val="32"/>
          <w:highlight w:val="none"/>
          <w:lang w:val="en-US" w:eastAsia="zh-CN"/>
        </w:rPr>
        <w:t>。</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2</w:t>
      </w:r>
      <w:r>
        <w:rPr>
          <w:rFonts w:hint="eastAsia" w:ascii="仿宋_GB2312" w:hAnsi="仿宋_GB2312" w:eastAsia="仿宋_GB2312" w:cs="仿宋_GB2312"/>
          <w:b/>
          <w:bCs w:val="0"/>
          <w:sz w:val="32"/>
          <w:szCs w:val="32"/>
        </w:rPr>
        <w:t>.</w:t>
      </w:r>
      <w:r>
        <w:rPr>
          <w:rFonts w:hint="eastAsia" w:ascii="仿宋_GB2312" w:hAnsi="仿宋_GB2312" w:eastAsia="仿宋_GB2312" w:cs="仿宋_GB2312"/>
          <w:b/>
          <w:bCs w:val="0"/>
          <w:sz w:val="32"/>
          <w:szCs w:val="32"/>
          <w:lang w:val="en-US" w:eastAsia="zh-CN"/>
        </w:rPr>
        <w:t>组织实施情况</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val="0"/>
          <w:sz w:val="32"/>
          <w:szCs w:val="32"/>
          <w:highlight w:val="none"/>
          <w:lang w:val="en-US" w:eastAsia="zh-CN"/>
        </w:rPr>
      </w:pPr>
      <w:r>
        <w:rPr>
          <w:rFonts w:hint="eastAsia" w:ascii="仿宋_GB2312" w:hAnsi="仿宋_GB2312" w:eastAsia="仿宋_GB2312" w:cs="仿宋_GB2312"/>
          <w:b/>
          <w:bCs w:val="0"/>
          <w:sz w:val="32"/>
          <w:szCs w:val="32"/>
          <w:highlight w:val="none"/>
          <w:lang w:val="en-US" w:eastAsia="zh-CN"/>
        </w:rPr>
        <w:t>（1）管理制度健全性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根据《中华人民共和国预算法》、《自治区党委自治区人民政府关于全面实施预算绩效管理的实施意见》、《自治区全面实施预算绩效管理的工作方案》、《关于印发〈自治区财政支出绩效评价管理暂行办法〉的通知》、《关于转发&lt;中共中央国务院关于实现巩固拓展脱贫攻坚成果同乡村振兴有效衔接的意见&gt;的通知》、《关于印发&lt;新疆维吾尔自治区财政资金衔接推进乡村振兴补助资金（巩固拓展脱贫攻坚成果和乡村振兴任务）项目管理办法（暂行）&gt;的通知》等相关文件，该项目预算资金安排专人管理。并要建立健全内部财务管理制度、《疏附县木什乡人民政府工程建设管理制度》及《疏附县木什乡人民政府工作制度》，加强会计日常核算和监督，加强资金的预算、控制、分析和检查工作，做好项目财务管理基础工作；项目实行审计制度，由相关部门对项目采取审计，同时按照《疏附县木什乡人民政府财务管理制度》要求执行，该制度规范了项目资金使用标准，确保项目实施单位的资金预算申请、资金执行、资金调整、监督检查等过程在相关制度和流程的有效监督管控之下，</w:t>
      </w:r>
      <w:r>
        <w:rPr>
          <w:rFonts w:hint="eastAsia" w:ascii="仿宋_GB2312" w:hAnsi="仿宋_GB2312" w:eastAsia="仿宋_GB2312" w:cs="仿宋_GB2312"/>
          <w:color w:val="auto"/>
          <w:sz w:val="32"/>
          <w:szCs w:val="32"/>
          <w:highlight w:val="none"/>
          <w:lang w:val="en-US" w:eastAsia="zh-CN"/>
        </w:rPr>
        <w:t>根据评分标准，该指标分值为5分，实际得分为5分。</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rPr>
          <w:rFonts w:hint="eastAsia" w:ascii="仿宋_GB2312" w:hAnsi="仿宋_GB2312" w:eastAsia="仿宋_GB2312" w:cs="仿宋_GB2312"/>
          <w:b/>
          <w:bCs/>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（2）制度执行有效性</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highlight w:val="none"/>
          <w:lang w:val="en-US" w:eastAsia="zh-CN"/>
        </w:rPr>
      </w:pPr>
      <w:bookmarkStart w:id="70" w:name="_Toc31015"/>
      <w:r>
        <w:rPr>
          <w:rFonts w:hint="eastAsia" w:ascii="仿宋_GB2312" w:hAnsi="仿宋_GB2312" w:eastAsia="仿宋_GB2312" w:cs="仿宋_GB2312"/>
          <w:sz w:val="32"/>
          <w:szCs w:val="32"/>
          <w:highlight w:val="none"/>
          <w:lang w:val="en-US" w:eastAsia="zh-CN"/>
        </w:rPr>
        <w:t>该项目管理依据《中华人民共和国预算法》、新疆维吾尔自治区财政厅下发的《自治区党委自治区人民政府关于全面实施预算绩效管理的实施意见》、《自治区全面实施预算绩效管理的工作方案》和《项目支出绩效评价管理办法》、关于印发《自治区财政支出绩效评价管理暂行办法》的通知、《关于转发&lt;中共中央国务院关于实现巩固拓展脱贫攻坚成果同乡村振兴有效衔接的意见&gt;的通知》、《关于印发&lt;新疆维吾尔自治区财政资金衔接推进乡村振兴补助资金（巩固拓展脱贫攻坚成果和乡村振兴任务）项目管理办法（暂行）&gt;的通知》等相关文件要求，</w:t>
      </w:r>
      <w:r>
        <w:rPr>
          <w:rFonts w:hint="eastAsia" w:ascii="仿宋_GB2312" w:hAnsi="仿宋_GB2312" w:eastAsia="仿宋_GB2312" w:cs="仿宋_GB2312"/>
          <w:b/>
          <w:bCs/>
          <w:sz w:val="32"/>
          <w:szCs w:val="32"/>
          <w:highlight w:val="none"/>
          <w:lang w:val="en-US" w:eastAsia="zh-CN"/>
        </w:rPr>
        <w:t>一是</w:t>
      </w:r>
      <w:r>
        <w:rPr>
          <w:rFonts w:hint="eastAsia" w:ascii="仿宋_GB2312" w:hAnsi="仿宋_GB2312" w:eastAsia="仿宋_GB2312" w:cs="仿宋_GB2312"/>
          <w:sz w:val="32"/>
          <w:szCs w:val="32"/>
          <w:highlight w:val="none"/>
          <w:lang w:val="en-US" w:eastAsia="zh-CN"/>
        </w:rPr>
        <w:t>采取现场调研的方式，对疏附县木什乡易地扶贫搬迁产业发展项目（牛养殖小区）管理工作进行监督检查。对资金执行及项目实施情况进行监督，及时对发现的问题进行反馈，督促指导项目运行管理，确保项目的高效运行；</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二是</w:t>
      </w:r>
      <w:r>
        <w:rPr>
          <w:rFonts w:hint="eastAsia" w:ascii="仿宋_GB2312" w:hAnsi="仿宋_GB2312" w:eastAsia="仿宋_GB2312" w:cs="仿宋_GB2312"/>
          <w:sz w:val="32"/>
          <w:szCs w:val="32"/>
          <w:highlight w:val="none"/>
          <w:lang w:val="en-US" w:eastAsia="zh-CN"/>
        </w:rPr>
        <w:t>为加快推进该项目的实施，该单位成立疏附县木什乡易地扶贫搬迁产业发展项目（牛养殖小区）管理领导小组，负责对项目建设、组织协调、运转服务，研究解决项目实施中的困难和问题，创造良好的项目实施环境。领导小组成员名单如下：</w:t>
      </w:r>
    </w:p>
    <w:p>
      <w:pPr>
        <w:keepNext w:val="0"/>
        <w:keepLines w:val="0"/>
        <w:pageBreakBefore w:val="0"/>
        <w:widowControl w:val="0"/>
        <w:kinsoku/>
        <w:wordWrap/>
        <w:overflowPunct/>
        <w:topLinePunct w:val="0"/>
        <w:autoSpaceDE/>
        <w:autoSpaceDN/>
        <w:bidi w:val="0"/>
        <w:adjustRightInd/>
        <w:snapToGrid/>
        <w:spacing w:line="570" w:lineRule="exact"/>
        <w:ind w:left="0" w:leftChars="0" w:right="0" w:rightChars="0"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组长：郭雪峰（疏附县木什乡人民政府党委委员、政府副乡长）负责建立健全工作机制，组织、协调项目实施过程相关管理工作，对项目实施全过程进行管控；</w:t>
      </w:r>
    </w:p>
    <w:p>
      <w:pPr>
        <w:keepNext w:val="0"/>
        <w:keepLines w:val="0"/>
        <w:pageBreakBefore w:val="0"/>
        <w:widowControl w:val="0"/>
        <w:kinsoku/>
        <w:wordWrap/>
        <w:overflowPunct/>
        <w:topLinePunct w:val="0"/>
        <w:autoSpaceDE/>
        <w:autoSpaceDN/>
        <w:bidi w:val="0"/>
        <w:adjustRightInd/>
        <w:snapToGrid/>
        <w:spacing w:line="570" w:lineRule="exact"/>
        <w:ind w:left="0" w:leftChars="0" w:right="0" w:rightChars="0"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副组长：李亚峰（疏附县木什乡人民政府政府副乡长）负责保障项目的有效运行、对项目实施全过程进行有效监督，掌握项目的具体实施进度；</w:t>
      </w:r>
    </w:p>
    <w:p>
      <w:pPr>
        <w:keepNext w:val="0"/>
        <w:keepLines w:val="0"/>
        <w:pageBreakBefore w:val="0"/>
        <w:widowControl w:val="0"/>
        <w:kinsoku/>
        <w:wordWrap/>
        <w:overflowPunct/>
        <w:topLinePunct w:val="0"/>
        <w:autoSpaceDE/>
        <w:autoSpaceDN/>
        <w:bidi w:val="0"/>
        <w:adjustRightInd/>
        <w:snapToGrid/>
        <w:spacing w:line="570" w:lineRule="exact"/>
        <w:ind w:left="0" w:leftChars="0" w:right="0" w:rightChars="0"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组员：张芬（疏附县木什乡人民政府干部）、罗海峰（疏附县木什乡人民政府干部）负责项目管理、委托实施、工程建设、竣工验收、综合经营以及采购事项等的管理工作。本项目组织机构健全，分工明确，责任清晰，对工程的委托实施、工程建设、竣工验收的管理工作。该项目组织机构健全，分工明确，责任清晰。</w:t>
      </w:r>
    </w:p>
    <w:p>
      <w:pPr>
        <w:keepNext w:val="0"/>
        <w:keepLines w:val="0"/>
        <w:pageBreakBefore w:val="0"/>
        <w:widowControl w:val="0"/>
        <w:kinsoku/>
        <w:wordWrap/>
        <w:overflowPunct/>
        <w:topLinePunct w:val="0"/>
        <w:autoSpaceDE/>
        <w:autoSpaceDN/>
        <w:bidi w:val="0"/>
        <w:adjustRightInd w:val="0"/>
        <w:snapToGrid w:val="0"/>
        <w:spacing w:line="560" w:lineRule="exact"/>
        <w:ind w:firstLine="643"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b/>
          <w:bCs/>
          <w:sz w:val="32"/>
          <w:szCs w:val="32"/>
          <w:highlight w:val="none"/>
          <w:lang w:val="en-US" w:eastAsia="zh-CN"/>
        </w:rPr>
        <w:t>三是</w:t>
      </w:r>
      <w:r>
        <w:rPr>
          <w:rFonts w:hint="eastAsia" w:ascii="仿宋_GB2312" w:hAnsi="仿宋_GB2312" w:eastAsia="仿宋_GB2312" w:cs="仿宋_GB2312"/>
          <w:sz w:val="32"/>
          <w:szCs w:val="32"/>
          <w:highlight w:val="none"/>
          <w:lang w:val="en-US" w:eastAsia="zh-CN"/>
        </w:rPr>
        <w:t>加强对项目资金的预算执行及日常监督管理，确保每个项目按照规定的用途实施。资金拨付坚持按项目、预算、进度、指定用途拨款，确保财政专项资金规范使用。项目实施过程中各级单位履行监管职能，各项制度执行有效，</w:t>
      </w:r>
      <w:r>
        <w:rPr>
          <w:rFonts w:hint="eastAsia" w:ascii="仿宋_GB2312" w:hAnsi="仿宋_GB2312" w:eastAsia="仿宋_GB2312" w:cs="仿宋_GB2312"/>
          <w:color w:val="auto"/>
          <w:sz w:val="32"/>
          <w:szCs w:val="32"/>
          <w:highlight w:val="none"/>
          <w:lang w:val="en-US" w:eastAsia="zh-CN"/>
        </w:rPr>
        <w:t>根据评分标准，该指标分值为5分，实际得分为5分。</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3" w:firstLineChars="200"/>
        <w:textAlignment w:val="auto"/>
        <w:outlineLvl w:val="1"/>
        <w:rPr>
          <w:rFonts w:hint="eastAsia" w:ascii="方正楷体_GBK" w:hAnsi="方正楷体_GBK" w:eastAsia="方正楷体_GBK" w:cs="方正楷体_GBK"/>
          <w:bCs/>
          <w:sz w:val="32"/>
          <w:szCs w:val="32"/>
          <w:lang w:val="en-US" w:eastAsia="zh-CN"/>
        </w:rPr>
      </w:pPr>
      <w:r>
        <w:rPr>
          <w:rFonts w:hint="eastAsia" w:ascii="方正楷体_GBK" w:hAnsi="方正楷体_GBK" w:eastAsia="方正楷体_GBK" w:cs="方正楷体_GBK"/>
          <w:b/>
          <w:bCs/>
          <w:sz w:val="32"/>
          <w:szCs w:val="32"/>
        </w:rPr>
        <w:t>（</w:t>
      </w:r>
      <w:r>
        <w:rPr>
          <w:rFonts w:hint="eastAsia" w:ascii="方正楷体_GBK" w:hAnsi="方正楷体_GBK" w:eastAsia="方正楷体_GBK" w:cs="方正楷体_GBK"/>
          <w:b/>
          <w:bCs/>
          <w:sz w:val="32"/>
          <w:szCs w:val="32"/>
          <w:lang w:val="en-US" w:eastAsia="zh-CN"/>
        </w:rPr>
        <w:t>三</w:t>
      </w:r>
      <w:r>
        <w:rPr>
          <w:rFonts w:hint="eastAsia" w:ascii="方正楷体_GBK" w:hAnsi="方正楷体_GBK" w:eastAsia="方正楷体_GBK" w:cs="方正楷体_GBK"/>
          <w:b/>
          <w:bCs/>
          <w:sz w:val="32"/>
          <w:szCs w:val="32"/>
        </w:rPr>
        <w:t>）项目</w:t>
      </w:r>
      <w:r>
        <w:rPr>
          <w:rFonts w:hint="eastAsia" w:ascii="方正楷体_GBK" w:hAnsi="方正楷体_GBK" w:eastAsia="方正楷体_GBK" w:cs="方正楷体_GBK"/>
          <w:b/>
          <w:bCs/>
          <w:sz w:val="32"/>
          <w:szCs w:val="32"/>
          <w:lang w:val="en-US" w:eastAsia="zh-CN"/>
        </w:rPr>
        <w:t>产出</w:t>
      </w:r>
      <w:r>
        <w:rPr>
          <w:rFonts w:hint="eastAsia" w:ascii="方正楷体_GBK" w:hAnsi="方正楷体_GBK" w:eastAsia="方正楷体_GBK" w:cs="方正楷体_GBK"/>
          <w:b/>
          <w:bCs/>
          <w:sz w:val="32"/>
          <w:szCs w:val="32"/>
        </w:rPr>
        <w:t>情况分析</w:t>
      </w:r>
      <w:bookmarkEnd w:id="70"/>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1.产出数量情况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kern w:val="2"/>
          <w:sz w:val="32"/>
          <w:szCs w:val="32"/>
          <w:highlight w:val="none"/>
          <w:lang w:val="en-US" w:eastAsia="zh-CN" w:bidi="ar-SA"/>
        </w:rPr>
        <w:t>截止绩效自评日，该项目已完成，“建设牛舍数量”</w:t>
      </w:r>
      <w:r>
        <w:rPr>
          <w:rFonts w:hint="eastAsia" w:ascii="仿宋_GB2312" w:hAnsi="仿宋_GB2312" w:eastAsia="仿宋_GB2312" w:cs="仿宋_GB2312"/>
          <w:color w:val="auto"/>
          <w:sz w:val="32"/>
          <w:szCs w:val="32"/>
          <w:highlight w:val="none"/>
          <w:lang w:val="en-US" w:eastAsia="zh-CN"/>
        </w:rPr>
        <w:t>指标预期值为2个，实际完成值为2个，与预期目标指标一致，该指标分值为1分，实际得分1分；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kern w:val="2"/>
          <w:sz w:val="32"/>
          <w:szCs w:val="32"/>
          <w:highlight w:val="none"/>
          <w:lang w:val="en-US" w:eastAsia="zh-CN" w:bidi="ar-SA"/>
        </w:rPr>
        <w:t>“建设牛舍总面积”</w:t>
      </w:r>
      <w:r>
        <w:rPr>
          <w:rFonts w:hint="eastAsia" w:ascii="仿宋_GB2312" w:hAnsi="仿宋_GB2312" w:eastAsia="仿宋_GB2312" w:cs="仿宋_GB2312"/>
          <w:color w:val="auto"/>
          <w:sz w:val="32"/>
          <w:szCs w:val="32"/>
          <w:highlight w:val="none"/>
          <w:lang w:val="en-US" w:eastAsia="zh-CN"/>
        </w:rPr>
        <w:t>指标预期值为3000平方米，实际完成值为3000平方米，与预期目标指标一致，该指标分值为1分，实际得分1分；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kern w:val="2"/>
          <w:sz w:val="32"/>
          <w:szCs w:val="32"/>
          <w:highlight w:val="none"/>
          <w:lang w:val="en-US" w:eastAsia="zh-CN" w:bidi="ar-SA"/>
        </w:rPr>
        <w:t>“建设草料棚总面积”</w:t>
      </w:r>
      <w:r>
        <w:rPr>
          <w:rFonts w:hint="eastAsia" w:ascii="仿宋_GB2312" w:hAnsi="仿宋_GB2312" w:eastAsia="仿宋_GB2312" w:cs="仿宋_GB2312"/>
          <w:color w:val="auto"/>
          <w:sz w:val="32"/>
          <w:szCs w:val="32"/>
          <w:highlight w:val="none"/>
          <w:lang w:val="en-US" w:eastAsia="zh-CN"/>
        </w:rPr>
        <w:t>指标预期值为450平方米，实际完成值为450平方米，与预期目标指标一致，该指标分值为1分，实际得分1分；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“建设青储池数量”指标预期值为1个，实际完成值为1个，与预期目标指标一致，该指标分值为0.5分，实际得分0.5分；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“采购12立方立式TMR”指标预期值为1套，实际完成值为1套，与预期目标指标一致，该指标分值为0.5分，实际得分0.5分；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“采购精饲料加工机组”指标预期值为1套，实际完成值为1套，与预期目标指标一致，该指标分值为0.5分，实际得分0.5分；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“采购装载机数量”</w:t>
      </w:r>
      <w:r>
        <w:rPr>
          <w:rFonts w:hint="eastAsia" w:ascii="仿宋_GB2312" w:hAnsi="仿宋_GB2312" w:eastAsia="仿宋_GB2312" w:cs="仿宋_GB2312"/>
          <w:color w:val="auto"/>
          <w:sz w:val="32"/>
          <w:szCs w:val="32"/>
          <w:highlight w:val="none"/>
          <w:lang w:val="en-US" w:eastAsia="zh-CN"/>
        </w:rPr>
        <w:t>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“采购消毒机数量”指标预期值为1台，实际完成值为1台，与预期目标指标一致，该指标分值为0.5分，实际得分0.5分；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“采购6、8t-10t/h草粉机数量”指标预期值为1台，实际完成值为1台，与预期目标指标一致，该指标分值为0.5分，实际得分0.5分；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“采购25马力柴油运料设备数量”指标预期值为1台，实际完成值为1台，与预期目标指标一致，该指标分值为0.5分，实际得分0.5分；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“采购5m³柴油投料设备数量”指标预期值为1台，实际完成值为1台，与预期目标指标一致，该指标分值为0.5分，实际得分0.5分；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“采购20L雾化消毒机数量”指标预期值为1台，实际完成值为1台，与预期目标指标一致，该指标分值为0.5分，实际得分0.5分；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“采购3m³清粪设备数量”指标预期值为1台，实际完成值为1台，与预期目标指标一致，该指标分值为0.5分，实际得分0.5分；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kern w:val="2"/>
          <w:sz w:val="32"/>
          <w:szCs w:val="32"/>
          <w:highlight w:val="none"/>
          <w:lang w:val="en-US" w:eastAsia="zh-CN" w:bidi="ar-SA"/>
        </w:rPr>
      </w:pPr>
      <w:r>
        <w:rPr>
          <w:rFonts w:hint="eastAsia" w:ascii="仿宋_GB2312" w:hAnsi="仿宋_GB2312" w:eastAsia="仿宋_GB2312" w:cs="仿宋_GB2312"/>
          <w:b/>
          <w:bCs/>
          <w:kern w:val="2"/>
          <w:sz w:val="32"/>
          <w:szCs w:val="32"/>
          <w:highlight w:val="none"/>
          <w:lang w:val="en-US" w:eastAsia="zh-CN" w:bidi="ar-SA"/>
        </w:rPr>
        <w:t>2.产出质量情况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该项目2022年7月30日由疏附县木什乡人民政府对项目进行验收，工程（项目）验收合格率100%，验收合格率达到了100%，根据评分标准，该指标分值为7分，实际得分为7分。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3.产出时效情况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该项目于2022年月开工，2022年7月完工。项目开工及完工及时率达到了100%，达到了年初预期指标，根据评分标准，该指标分值为6分，实际得分为6分。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3" w:firstLineChars="200"/>
        <w:textAlignment w:val="auto"/>
        <w:outlineLvl w:val="2"/>
        <w:rPr>
          <w:rFonts w:hint="eastAsia" w:ascii="仿宋_GB2312" w:hAnsi="仿宋_GB2312" w:eastAsia="仿宋_GB2312" w:cs="仿宋_GB2312"/>
          <w:b/>
          <w:bCs w:val="0"/>
          <w:sz w:val="32"/>
          <w:szCs w:val="32"/>
          <w:highlight w:val="yellow"/>
          <w:lang w:val="en-US" w:eastAsia="zh-CN"/>
        </w:rPr>
      </w:pPr>
      <w:r>
        <w:rPr>
          <w:rFonts w:hint="eastAsia" w:ascii="仿宋_GB2312" w:hAnsi="仿宋_GB2312" w:eastAsia="仿宋_GB2312" w:cs="仿宋_GB2312"/>
          <w:b/>
          <w:bCs w:val="0"/>
          <w:sz w:val="32"/>
          <w:szCs w:val="32"/>
          <w:highlight w:val="none"/>
          <w:lang w:val="en-US" w:eastAsia="zh-CN"/>
        </w:rPr>
        <w:t>4.产出成本情况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该项目调整后预算资金519.36万元，项目实际支出金额为519.36万元，该项目资金主要用于建设2个牛舍，总建筑面积约2400平米；建设1个草料棚，建筑面积不小于450平米；建设1个青储池，存放饲草料不小于1500立方。采购设备：12立方立式TMR一套（含上料，出料输送机）、产量为2.5T/h的精饲料加工机组一套、75KW装载机、消毒机1台（m3：40）、500L消毒设备（配套相关附属）、6、8t-10t/h草粉机、25马力柴油运料设备、5m³柴油投料设备、20L雾化消毒机、3m³清粪设备各一台。项目支出有效控制在预算范围内，根据评分标准，该指标分值为9分，实际得分为9分。</w:t>
      </w:r>
    </w:p>
    <w:p>
      <w:pPr>
        <w:pStyle w:val="7"/>
        <w:ind w:firstLine="321" w:firstLineChars="100"/>
        <w:rPr>
          <w:rFonts w:hint="eastAsia" w:ascii="方正楷体_GBK" w:hAnsi="方正楷体_GBK" w:eastAsia="方正楷体_GBK" w:cs="方正楷体_GBK"/>
          <w:b/>
          <w:bCs/>
          <w:sz w:val="32"/>
          <w:szCs w:val="32"/>
          <w:lang w:val="en-US" w:eastAsia="zh-CN"/>
        </w:rPr>
      </w:pPr>
      <w:r>
        <w:rPr>
          <w:rFonts w:hint="eastAsia" w:ascii="方正楷体_GBK" w:hAnsi="方正楷体_GBK" w:eastAsia="方正楷体_GBK" w:cs="方正楷体_GBK"/>
          <w:b/>
          <w:bCs/>
          <w:sz w:val="32"/>
          <w:szCs w:val="32"/>
          <w:lang w:val="en-US" w:eastAsia="zh-CN"/>
        </w:rPr>
        <w:t>（四）项目效益评价分析</w:t>
      </w:r>
      <w:bookmarkEnd w:id="71"/>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
          <w:bCs/>
          <w:kern w:val="2"/>
          <w:sz w:val="32"/>
          <w:szCs w:val="32"/>
          <w:highlight w:val="none"/>
          <w:lang w:val="en-US" w:eastAsia="zh-CN" w:bidi="ar-SA"/>
        </w:rPr>
      </w:pPr>
      <w:r>
        <w:rPr>
          <w:rFonts w:hint="eastAsia" w:ascii="仿宋_GB2312" w:hAnsi="仿宋_GB2312" w:eastAsia="仿宋_GB2312" w:cs="仿宋_GB2312"/>
          <w:b/>
          <w:bCs/>
          <w:kern w:val="2"/>
          <w:sz w:val="32"/>
          <w:szCs w:val="32"/>
          <w:highlight w:val="none"/>
          <w:lang w:val="en-US" w:eastAsia="zh-CN" w:bidi="ar-SA"/>
        </w:rPr>
        <w:t>1.经济效益情况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根据</w:t>
      </w:r>
      <w:r>
        <w:rPr>
          <w:rFonts w:hint="eastAsia" w:ascii="仿宋_GB2312" w:hAnsi="仿宋_GB2312" w:eastAsia="仿宋_GB2312" w:cs="仿宋_GB2312"/>
          <w:sz w:val="32"/>
          <w:szCs w:val="32"/>
          <w:lang w:eastAsia="zh-CN"/>
        </w:rPr>
        <w:t>疏附县木什乡易地扶贫搬迁产业发展项目（牛养殖小区）</w:t>
      </w:r>
      <w:r>
        <w:rPr>
          <w:rFonts w:hint="eastAsia" w:ascii="仿宋_GB2312" w:hAnsi="仿宋_GB2312" w:eastAsia="仿宋_GB2312" w:cs="仿宋_GB2312"/>
          <w:sz w:val="32"/>
          <w:szCs w:val="32"/>
          <w:lang w:val="en-US" w:eastAsia="zh-CN"/>
        </w:rPr>
        <w:t>项目的实施增加了村集体收入5万元，</w:t>
      </w:r>
      <w:r>
        <w:rPr>
          <w:rFonts w:hint="eastAsia" w:ascii="仿宋_GB2312" w:hAnsi="仿宋_GB2312" w:eastAsia="仿宋_GB2312" w:cs="仿宋_GB2312"/>
          <w:kern w:val="2"/>
          <w:sz w:val="32"/>
          <w:szCs w:val="32"/>
          <w:highlight w:val="none"/>
          <w:lang w:val="en-US" w:eastAsia="zh-CN" w:bidi="ar-SA"/>
        </w:rPr>
        <w:t>带动增加脱贫巩固人口全年总收入达到了5万元，增加了村集体收入，根据评分标准，该指标分值为8分，实际得分为8分。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
          <w:bCs/>
          <w:kern w:val="2"/>
          <w:sz w:val="32"/>
          <w:szCs w:val="32"/>
          <w:highlight w:val="none"/>
          <w:lang w:val="en-US" w:eastAsia="zh-CN" w:bidi="ar-SA"/>
        </w:rPr>
      </w:pPr>
      <w:r>
        <w:rPr>
          <w:rFonts w:hint="eastAsia" w:ascii="仿宋_GB2312" w:hAnsi="仿宋_GB2312" w:eastAsia="仿宋_GB2312" w:cs="仿宋_GB2312"/>
          <w:b/>
          <w:bCs/>
          <w:kern w:val="2"/>
          <w:sz w:val="32"/>
          <w:szCs w:val="32"/>
          <w:highlight w:val="none"/>
          <w:lang w:val="en-US" w:eastAsia="zh-CN" w:bidi="ar-SA"/>
        </w:rPr>
        <w:t>2.社会效益情况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的实施后受益已脱贫户户数达到了25户，项目带动增加就业人数45人，受益已脱贫人口数100人，在项目建设期间用到了大量的工人，吸收了部分富余劳动力就业；同时带动了项目所在地周边的产业发展与繁荣，解决了脱贫巩固户就业，壮大村集体收入，增强了村委会凝聚力和号召力，根据评分标准，该指标分值为6分，实际得分为6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3.生态效益情况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该项目未涉及生态效益指标。</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4.可持续影响情况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根据《疏附县木什乡易地扶贫搬迁产业发展项目（牛养殖小区）》可知，该项目工程设计使用年限20年，对延长产业链提供了可能，为当地社会经济建设发展创造了有利条件，根据评分标准，该指标分值为6分，实际得分为6分。</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
          <w:bCs w:val="0"/>
          <w:sz w:val="32"/>
          <w:szCs w:val="32"/>
          <w:lang w:val="en-US" w:eastAsia="zh-CN"/>
        </w:rPr>
      </w:pPr>
      <w:r>
        <w:rPr>
          <w:rFonts w:hint="eastAsia" w:ascii="仿宋_GB2312" w:hAnsi="仿宋_GB2312" w:eastAsia="仿宋_GB2312" w:cs="仿宋_GB2312"/>
          <w:b/>
          <w:bCs w:val="0"/>
          <w:sz w:val="32"/>
          <w:szCs w:val="32"/>
          <w:lang w:val="en-US" w:eastAsia="zh-CN"/>
        </w:rPr>
        <w:t>5.服务对象满意度情况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left="0" w:leftChars="0" w:firstLine="640" w:firstLineChars="200"/>
        <w:textAlignment w:val="auto"/>
        <w:outlineLvl w:val="2"/>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通过走访受益对象，发放调查问卷一共100份，回收有效问卷共计100份，按照调查问卷来看，受益已脱贫人口满意度达到了95%，根据评分标准，该指标分值为10分，实际得分为10分。</w:t>
      </w:r>
    </w:p>
    <w:p>
      <w:pPr>
        <w:numPr>
          <w:ilvl w:val="0"/>
          <w:numId w:val="0"/>
        </w:num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highlight w:val="none"/>
        </w:rPr>
      </w:pPr>
      <w:r>
        <w:rPr>
          <w:rFonts w:hint="eastAsia" w:ascii="方正黑体_GBK" w:hAnsi="方正黑体_GBK" w:eastAsia="方正黑体_GBK" w:cs="方正黑体_GBK"/>
          <w:sz w:val="32"/>
          <w:szCs w:val="32"/>
          <w:highlight w:val="none"/>
          <w:lang w:val="en-US" w:eastAsia="zh-CN"/>
        </w:rPr>
        <w:t>四、</w:t>
      </w:r>
      <w:r>
        <w:rPr>
          <w:rFonts w:hint="eastAsia" w:ascii="方正黑体_GBK" w:hAnsi="方正黑体_GBK" w:eastAsia="方正黑体_GBK" w:cs="方正黑体_GBK"/>
          <w:sz w:val="32"/>
          <w:szCs w:val="32"/>
          <w:highlight w:val="none"/>
        </w:rPr>
        <w:t>评价结论</w:t>
      </w:r>
      <w:bookmarkEnd w:id="72"/>
    </w:p>
    <w:p>
      <w:pPr>
        <w:pStyle w:val="33"/>
        <w:adjustRightInd w:val="0"/>
        <w:snapToGrid w:val="0"/>
        <w:spacing w:line="560" w:lineRule="exact"/>
        <w:ind w:firstLine="643"/>
        <w:outlineLvl w:val="1"/>
        <w:rPr>
          <w:rFonts w:hint="eastAsia" w:ascii="方正楷体_GBK" w:hAnsi="方正楷体_GBK" w:eastAsia="方正楷体_GBK" w:cs="方正楷体_GBK"/>
          <w:b/>
          <w:bCs/>
          <w:sz w:val="32"/>
          <w:szCs w:val="32"/>
        </w:rPr>
      </w:pPr>
      <w:bookmarkStart w:id="73" w:name="_Toc13481"/>
      <w:r>
        <w:rPr>
          <w:rFonts w:hint="eastAsia" w:ascii="方正楷体_GBK" w:hAnsi="方正楷体_GBK" w:eastAsia="方正楷体_GBK" w:cs="方正楷体_GBK"/>
          <w:b/>
          <w:bCs/>
          <w:sz w:val="32"/>
          <w:szCs w:val="32"/>
        </w:rPr>
        <w:t>（一）评分结果</w:t>
      </w:r>
      <w:bookmarkEnd w:id="73"/>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经综合评价，项目得分为100分，评价等级为优，一级指标各项得分情况见下表：</w:t>
      </w:r>
    </w:p>
    <w:p>
      <w:pPr>
        <w:pStyle w:val="40"/>
      </w:pPr>
      <w:r>
        <w:rPr>
          <w:rFonts w:hint="eastAsia"/>
          <w:lang w:eastAsia="zh-CN"/>
        </w:rPr>
        <w:t>202</w:t>
      </w:r>
      <w:r>
        <w:rPr>
          <w:rFonts w:hint="eastAsia"/>
          <w:lang w:val="en-US" w:eastAsia="zh-CN"/>
        </w:rPr>
        <w:t>2</w:t>
      </w:r>
      <w:r>
        <w:rPr>
          <w:rFonts w:hint="eastAsia"/>
        </w:rPr>
        <w:t>年度该项目绩效评价</w:t>
      </w:r>
      <w:r>
        <w:t>得分情况表</w:t>
      </w:r>
    </w:p>
    <w:tbl>
      <w:tblPr>
        <w:tblStyle w:val="19"/>
        <w:tblW w:w="830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16" w:hRule="atLeast"/>
          <w:jc w:val="center"/>
        </w:trPr>
        <w:tc>
          <w:tcPr>
            <w:tcW w:w="1517" w:type="dxa"/>
            <w:tcBorders>
              <w:bottom w:val="single" w:color="auto" w:sz="4" w:space="0"/>
            </w:tcBorders>
            <w:shd w:val="clear" w:color="auto" w:fill="A6A6A6"/>
            <w:vAlign w:val="center"/>
          </w:tcPr>
          <w:p>
            <w:pPr>
              <w:pStyle w:val="40"/>
              <w:rPr>
                <w:rFonts w:ascii="仿宋" w:hAnsi="仿宋" w:eastAsia="仿宋" w:cs="仿宋"/>
                <w:sz w:val="21"/>
                <w:szCs w:val="21"/>
              </w:rPr>
            </w:pPr>
            <w:r>
              <w:rPr>
                <w:rFonts w:hint="eastAsia" w:ascii="仿宋" w:hAnsi="仿宋" w:eastAsia="仿宋" w:cs="仿宋"/>
                <w:sz w:val="21"/>
                <w:szCs w:val="21"/>
              </w:rPr>
              <w:t>指标</w:t>
            </w:r>
          </w:p>
        </w:tc>
        <w:tc>
          <w:tcPr>
            <w:tcW w:w="1543" w:type="dxa"/>
            <w:tcBorders>
              <w:bottom w:val="single" w:color="auto" w:sz="4" w:space="0"/>
            </w:tcBorders>
            <w:shd w:val="clear" w:color="auto" w:fill="A6A6A6"/>
            <w:vAlign w:val="center"/>
          </w:tcPr>
          <w:p>
            <w:pPr>
              <w:pStyle w:val="40"/>
              <w:rPr>
                <w:rFonts w:ascii="仿宋" w:hAnsi="仿宋" w:eastAsia="仿宋" w:cs="仿宋"/>
                <w:sz w:val="21"/>
                <w:szCs w:val="21"/>
              </w:rPr>
            </w:pPr>
            <w:r>
              <w:rPr>
                <w:rFonts w:hint="eastAsia" w:ascii="仿宋" w:hAnsi="仿宋" w:eastAsia="仿宋" w:cs="仿宋"/>
                <w:sz w:val="21"/>
                <w:szCs w:val="21"/>
              </w:rPr>
              <w:t>项目决策</w:t>
            </w:r>
          </w:p>
        </w:tc>
        <w:tc>
          <w:tcPr>
            <w:tcW w:w="1413" w:type="dxa"/>
            <w:tcBorders>
              <w:bottom w:val="single" w:color="auto" w:sz="4" w:space="0"/>
            </w:tcBorders>
            <w:shd w:val="clear" w:color="auto" w:fill="A6A6A6"/>
            <w:vAlign w:val="center"/>
          </w:tcPr>
          <w:p>
            <w:pPr>
              <w:pStyle w:val="40"/>
              <w:rPr>
                <w:rFonts w:hint="eastAsia" w:ascii="仿宋" w:hAnsi="仿宋" w:eastAsia="仿宋" w:cs="仿宋"/>
                <w:sz w:val="21"/>
                <w:szCs w:val="21"/>
                <w:lang w:eastAsia="zh-CN"/>
              </w:rPr>
            </w:pPr>
            <w:r>
              <w:rPr>
                <w:rFonts w:hint="eastAsia" w:ascii="仿宋" w:hAnsi="仿宋" w:eastAsia="仿宋" w:cs="仿宋"/>
                <w:sz w:val="21"/>
                <w:szCs w:val="21"/>
              </w:rPr>
              <w:t>项目</w:t>
            </w:r>
            <w:r>
              <w:rPr>
                <w:rFonts w:hint="eastAsia" w:ascii="仿宋" w:hAnsi="仿宋" w:eastAsia="仿宋" w:cs="仿宋"/>
                <w:sz w:val="21"/>
                <w:szCs w:val="21"/>
                <w:lang w:val="en-US" w:eastAsia="zh-CN"/>
              </w:rPr>
              <w:t>过程</w:t>
            </w:r>
          </w:p>
        </w:tc>
        <w:tc>
          <w:tcPr>
            <w:tcW w:w="1152" w:type="dxa"/>
            <w:tcBorders>
              <w:bottom w:val="single" w:color="auto" w:sz="4" w:space="0"/>
            </w:tcBorders>
            <w:shd w:val="clear" w:color="auto" w:fill="A6A6A6"/>
            <w:vAlign w:val="center"/>
          </w:tcPr>
          <w:p>
            <w:pPr>
              <w:pStyle w:val="40"/>
              <w:rPr>
                <w:rFonts w:hint="default" w:ascii="仿宋" w:hAnsi="仿宋" w:eastAsia="仿宋" w:cs="仿宋"/>
                <w:sz w:val="21"/>
                <w:szCs w:val="21"/>
                <w:lang w:val="en-US" w:eastAsia="zh-CN"/>
              </w:rPr>
            </w:pPr>
            <w:r>
              <w:rPr>
                <w:rFonts w:hint="eastAsia" w:ascii="仿宋" w:hAnsi="仿宋" w:eastAsia="仿宋" w:cs="仿宋"/>
                <w:sz w:val="21"/>
                <w:szCs w:val="21"/>
                <w:lang w:val="en-US" w:eastAsia="zh-CN"/>
              </w:rPr>
              <w:t>项目产出</w:t>
            </w:r>
          </w:p>
        </w:tc>
        <w:tc>
          <w:tcPr>
            <w:tcW w:w="1290" w:type="dxa"/>
            <w:tcBorders>
              <w:bottom w:val="single" w:color="auto" w:sz="4" w:space="0"/>
            </w:tcBorders>
            <w:shd w:val="clear" w:color="auto" w:fill="A6A6A6"/>
            <w:vAlign w:val="center"/>
          </w:tcPr>
          <w:p>
            <w:pPr>
              <w:pStyle w:val="40"/>
              <w:rPr>
                <w:rFonts w:hint="eastAsia" w:ascii="仿宋" w:hAnsi="仿宋" w:eastAsia="仿宋" w:cs="仿宋"/>
                <w:sz w:val="21"/>
                <w:szCs w:val="21"/>
                <w:lang w:eastAsia="zh-CN"/>
              </w:rPr>
            </w:pPr>
            <w:r>
              <w:rPr>
                <w:rFonts w:hint="eastAsia" w:ascii="仿宋" w:hAnsi="仿宋" w:eastAsia="仿宋" w:cs="仿宋"/>
                <w:sz w:val="21"/>
                <w:szCs w:val="21"/>
              </w:rPr>
              <w:t>项目</w:t>
            </w:r>
            <w:r>
              <w:rPr>
                <w:rFonts w:hint="eastAsia" w:ascii="仿宋" w:hAnsi="仿宋" w:eastAsia="仿宋" w:cs="仿宋"/>
                <w:sz w:val="21"/>
                <w:szCs w:val="21"/>
                <w:lang w:val="en-US" w:eastAsia="zh-CN"/>
              </w:rPr>
              <w:t>效益</w:t>
            </w:r>
          </w:p>
        </w:tc>
        <w:tc>
          <w:tcPr>
            <w:tcW w:w="1388" w:type="dxa"/>
            <w:tcBorders>
              <w:bottom w:val="single" w:color="auto" w:sz="4" w:space="0"/>
            </w:tcBorders>
            <w:shd w:val="clear" w:color="auto" w:fill="A6A6A6"/>
            <w:vAlign w:val="center"/>
          </w:tcPr>
          <w:p>
            <w:pPr>
              <w:pStyle w:val="40"/>
              <w:rPr>
                <w:rFonts w:ascii="仿宋" w:hAnsi="仿宋" w:eastAsia="仿宋" w:cs="仿宋"/>
                <w:sz w:val="21"/>
                <w:szCs w:val="21"/>
              </w:rPr>
            </w:pPr>
            <w:r>
              <w:rPr>
                <w:rFonts w:hint="eastAsia" w:ascii="仿宋" w:hAnsi="仿宋" w:eastAsia="仿宋" w:cs="仿宋"/>
                <w:sz w:val="21"/>
                <w:szCs w:val="21"/>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sz w:val="21"/>
                <w:szCs w:val="21"/>
              </w:rPr>
            </w:pPr>
            <w:r>
              <w:rPr>
                <w:rFonts w:hint="eastAsia" w:ascii="仿宋" w:hAnsi="仿宋" w:eastAsia="仿宋" w:cs="仿宋"/>
                <w:sz w:val="21"/>
                <w:szCs w:val="21"/>
              </w:rPr>
              <w:t>权重</w:t>
            </w:r>
          </w:p>
        </w:tc>
        <w:tc>
          <w:tcPr>
            <w:tcW w:w="1543" w:type="dxa"/>
            <w:vAlign w:val="center"/>
          </w:tcPr>
          <w:p>
            <w:pPr>
              <w:pStyle w:val="40"/>
              <w:rPr>
                <w:rFonts w:hint="eastAsia" w:ascii="仿宋" w:hAnsi="仿宋" w:eastAsia="仿宋" w:cs="仿宋"/>
                <w:b w:val="0"/>
                <w:sz w:val="21"/>
                <w:szCs w:val="21"/>
                <w:lang w:eastAsia="zh-CN"/>
              </w:rPr>
            </w:pPr>
            <w:r>
              <w:rPr>
                <w:rFonts w:hint="eastAsia" w:ascii="仿宋" w:hAnsi="仿宋" w:eastAsia="仿宋" w:cs="仿宋"/>
                <w:b w:val="0"/>
                <w:sz w:val="21"/>
                <w:szCs w:val="21"/>
              </w:rPr>
              <w:t>2</w:t>
            </w:r>
            <w:r>
              <w:rPr>
                <w:rFonts w:hint="eastAsia" w:ascii="仿宋" w:hAnsi="仿宋" w:eastAsia="仿宋" w:cs="仿宋"/>
                <w:b w:val="0"/>
                <w:sz w:val="21"/>
                <w:szCs w:val="21"/>
                <w:lang w:val="en-US" w:eastAsia="zh-CN"/>
              </w:rPr>
              <w:t>0</w:t>
            </w:r>
          </w:p>
        </w:tc>
        <w:tc>
          <w:tcPr>
            <w:tcW w:w="1413"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20</w:t>
            </w:r>
          </w:p>
        </w:tc>
        <w:tc>
          <w:tcPr>
            <w:tcW w:w="1152"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30</w:t>
            </w:r>
          </w:p>
        </w:tc>
        <w:tc>
          <w:tcPr>
            <w:tcW w:w="1290"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30</w:t>
            </w:r>
          </w:p>
        </w:tc>
        <w:tc>
          <w:tcPr>
            <w:tcW w:w="1388" w:type="dxa"/>
            <w:vAlign w:val="center"/>
          </w:tcPr>
          <w:p>
            <w:pPr>
              <w:pStyle w:val="40"/>
              <w:rPr>
                <w:rFonts w:ascii="仿宋" w:hAnsi="仿宋" w:eastAsia="仿宋" w:cs="仿宋"/>
                <w:b w:val="0"/>
                <w:sz w:val="21"/>
                <w:szCs w:val="21"/>
              </w:rPr>
            </w:pPr>
            <w:r>
              <w:rPr>
                <w:rFonts w:hint="eastAsia" w:ascii="仿宋" w:hAnsi="仿宋" w:eastAsia="仿宋" w:cs="仿宋"/>
                <w:b w:val="0"/>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sz w:val="21"/>
                <w:szCs w:val="21"/>
              </w:rPr>
            </w:pPr>
            <w:r>
              <w:rPr>
                <w:rFonts w:hint="eastAsia" w:ascii="仿宋" w:hAnsi="仿宋" w:eastAsia="仿宋" w:cs="仿宋"/>
                <w:sz w:val="21"/>
                <w:szCs w:val="21"/>
              </w:rPr>
              <w:t>分值</w:t>
            </w:r>
          </w:p>
        </w:tc>
        <w:tc>
          <w:tcPr>
            <w:tcW w:w="1543"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20</w:t>
            </w:r>
          </w:p>
        </w:tc>
        <w:tc>
          <w:tcPr>
            <w:tcW w:w="1413"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20</w:t>
            </w:r>
          </w:p>
        </w:tc>
        <w:tc>
          <w:tcPr>
            <w:tcW w:w="1152"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30</w:t>
            </w:r>
          </w:p>
        </w:tc>
        <w:tc>
          <w:tcPr>
            <w:tcW w:w="1290"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30</w:t>
            </w:r>
          </w:p>
        </w:tc>
        <w:tc>
          <w:tcPr>
            <w:tcW w:w="1388" w:type="dxa"/>
            <w:vAlign w:val="center"/>
          </w:tcPr>
          <w:p>
            <w:pPr>
              <w:pStyle w:val="40"/>
              <w:rPr>
                <w:rFonts w:hint="default" w:ascii="仿宋" w:hAnsi="仿宋" w:eastAsia="仿宋" w:cs="仿宋"/>
                <w:b w:val="0"/>
                <w:sz w:val="21"/>
                <w:szCs w:val="21"/>
                <w:lang w:val="en-US" w:eastAsia="zh-CN"/>
              </w:rPr>
            </w:pPr>
            <w:r>
              <w:rPr>
                <w:rFonts w:hint="eastAsia" w:ascii="仿宋" w:hAnsi="仿宋" w:eastAsia="仿宋" w:cs="仿宋"/>
                <w:b w:val="0"/>
                <w:sz w:val="21"/>
                <w:szCs w:val="21"/>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517" w:type="dxa"/>
            <w:vAlign w:val="center"/>
          </w:tcPr>
          <w:p>
            <w:pPr>
              <w:pStyle w:val="40"/>
              <w:rPr>
                <w:rFonts w:ascii="仿宋" w:hAnsi="仿宋" w:eastAsia="仿宋" w:cs="仿宋"/>
                <w:sz w:val="21"/>
                <w:szCs w:val="21"/>
              </w:rPr>
            </w:pPr>
            <w:r>
              <w:rPr>
                <w:rFonts w:hint="eastAsia" w:ascii="仿宋" w:hAnsi="仿宋" w:eastAsia="仿宋" w:cs="仿宋"/>
                <w:sz w:val="21"/>
                <w:szCs w:val="21"/>
              </w:rPr>
              <w:t>得分率</w:t>
            </w:r>
          </w:p>
        </w:tc>
        <w:tc>
          <w:tcPr>
            <w:tcW w:w="1543" w:type="dxa"/>
            <w:vAlign w:val="center"/>
          </w:tcPr>
          <w:p>
            <w:pPr>
              <w:pStyle w:val="40"/>
              <w:rPr>
                <w:rFonts w:ascii="仿宋" w:hAnsi="仿宋" w:eastAsia="仿宋" w:cs="仿宋"/>
                <w:b w:val="0"/>
                <w:sz w:val="21"/>
                <w:szCs w:val="21"/>
              </w:rPr>
            </w:pPr>
            <w:r>
              <w:rPr>
                <w:rFonts w:hint="eastAsia" w:ascii="仿宋" w:hAnsi="仿宋" w:eastAsia="仿宋" w:cs="仿宋"/>
                <w:b w:val="0"/>
                <w:sz w:val="21"/>
                <w:szCs w:val="21"/>
                <w:lang w:val="en-US" w:eastAsia="zh-CN"/>
              </w:rPr>
              <w:t>100</w:t>
            </w:r>
            <w:r>
              <w:rPr>
                <w:rFonts w:hint="eastAsia" w:ascii="仿宋" w:hAnsi="仿宋" w:eastAsia="仿宋" w:cs="仿宋"/>
                <w:b w:val="0"/>
                <w:sz w:val="21"/>
                <w:szCs w:val="21"/>
              </w:rPr>
              <w:t>%</w:t>
            </w:r>
          </w:p>
        </w:tc>
        <w:tc>
          <w:tcPr>
            <w:tcW w:w="1413" w:type="dxa"/>
            <w:vAlign w:val="center"/>
          </w:tcPr>
          <w:p>
            <w:pPr>
              <w:pStyle w:val="40"/>
              <w:rPr>
                <w:rFonts w:ascii="仿宋" w:hAnsi="仿宋" w:eastAsia="仿宋" w:cs="仿宋"/>
                <w:b w:val="0"/>
                <w:sz w:val="21"/>
                <w:szCs w:val="21"/>
              </w:rPr>
            </w:pPr>
            <w:r>
              <w:rPr>
                <w:rFonts w:hint="eastAsia" w:ascii="仿宋" w:hAnsi="仿宋" w:eastAsia="仿宋" w:cs="仿宋"/>
                <w:b w:val="0"/>
                <w:sz w:val="21"/>
                <w:szCs w:val="21"/>
                <w:lang w:val="en-US" w:eastAsia="zh-CN"/>
              </w:rPr>
              <w:t>100</w:t>
            </w:r>
            <w:r>
              <w:rPr>
                <w:rFonts w:hint="eastAsia" w:ascii="仿宋" w:hAnsi="仿宋" w:eastAsia="仿宋" w:cs="仿宋"/>
                <w:b w:val="0"/>
                <w:sz w:val="21"/>
                <w:szCs w:val="21"/>
              </w:rPr>
              <w:t>%</w:t>
            </w:r>
          </w:p>
        </w:tc>
        <w:tc>
          <w:tcPr>
            <w:tcW w:w="1152" w:type="dxa"/>
            <w:vAlign w:val="center"/>
          </w:tcPr>
          <w:p>
            <w:pPr>
              <w:pStyle w:val="40"/>
              <w:rPr>
                <w:rFonts w:hint="eastAsia" w:ascii="仿宋" w:hAnsi="仿宋" w:eastAsia="仿宋" w:cs="仿宋"/>
                <w:b w:val="0"/>
                <w:sz w:val="21"/>
                <w:szCs w:val="21"/>
              </w:rPr>
            </w:pPr>
            <w:r>
              <w:rPr>
                <w:rFonts w:hint="eastAsia" w:ascii="仿宋" w:hAnsi="仿宋" w:eastAsia="仿宋" w:cs="仿宋"/>
                <w:b w:val="0"/>
                <w:sz w:val="21"/>
                <w:szCs w:val="21"/>
                <w:lang w:val="en-US" w:eastAsia="zh-CN"/>
              </w:rPr>
              <w:t>100</w:t>
            </w:r>
            <w:r>
              <w:rPr>
                <w:rFonts w:hint="eastAsia" w:ascii="仿宋" w:hAnsi="仿宋" w:eastAsia="仿宋" w:cs="仿宋"/>
                <w:b w:val="0"/>
                <w:sz w:val="21"/>
                <w:szCs w:val="21"/>
              </w:rPr>
              <w:t>%</w:t>
            </w:r>
          </w:p>
        </w:tc>
        <w:tc>
          <w:tcPr>
            <w:tcW w:w="1290" w:type="dxa"/>
            <w:vAlign w:val="center"/>
          </w:tcPr>
          <w:p>
            <w:pPr>
              <w:pStyle w:val="40"/>
              <w:rPr>
                <w:rFonts w:ascii="仿宋" w:hAnsi="仿宋" w:eastAsia="仿宋" w:cs="仿宋"/>
                <w:b w:val="0"/>
                <w:sz w:val="21"/>
                <w:szCs w:val="21"/>
              </w:rPr>
            </w:pPr>
            <w:r>
              <w:rPr>
                <w:rFonts w:hint="eastAsia" w:ascii="仿宋" w:hAnsi="仿宋" w:eastAsia="仿宋" w:cs="仿宋"/>
                <w:b w:val="0"/>
                <w:sz w:val="21"/>
                <w:szCs w:val="21"/>
                <w:lang w:val="en-US" w:eastAsia="zh-CN"/>
              </w:rPr>
              <w:t>100</w:t>
            </w:r>
            <w:r>
              <w:rPr>
                <w:rFonts w:hint="eastAsia" w:ascii="仿宋" w:hAnsi="仿宋" w:eastAsia="仿宋" w:cs="仿宋"/>
                <w:b w:val="0"/>
                <w:sz w:val="21"/>
                <w:szCs w:val="21"/>
              </w:rPr>
              <w:t>%</w:t>
            </w:r>
          </w:p>
        </w:tc>
        <w:tc>
          <w:tcPr>
            <w:tcW w:w="1388" w:type="dxa"/>
            <w:vAlign w:val="center"/>
          </w:tcPr>
          <w:p>
            <w:pPr>
              <w:pStyle w:val="40"/>
              <w:rPr>
                <w:rFonts w:ascii="仿宋" w:hAnsi="仿宋" w:eastAsia="仿宋" w:cs="仿宋"/>
                <w:b w:val="0"/>
                <w:sz w:val="21"/>
                <w:szCs w:val="21"/>
              </w:rPr>
            </w:pPr>
            <w:r>
              <w:rPr>
                <w:rFonts w:hint="eastAsia" w:ascii="仿宋" w:hAnsi="仿宋" w:eastAsia="仿宋" w:cs="仿宋"/>
                <w:b w:val="0"/>
                <w:sz w:val="21"/>
                <w:szCs w:val="21"/>
                <w:lang w:val="en-US" w:eastAsia="zh-CN"/>
              </w:rPr>
              <w:t>100</w:t>
            </w:r>
            <w:r>
              <w:rPr>
                <w:rFonts w:hint="eastAsia" w:ascii="仿宋" w:hAnsi="仿宋" w:eastAsia="仿宋" w:cs="仿宋"/>
                <w:b w:val="0"/>
                <w:sz w:val="21"/>
                <w:szCs w:val="21"/>
              </w:rPr>
              <w:t>%</w:t>
            </w:r>
          </w:p>
        </w:tc>
      </w:tr>
    </w:tbl>
    <w:p>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firstLine="643" w:firstLineChars="200"/>
        <w:textAlignment w:val="auto"/>
        <w:outlineLvl w:val="1"/>
        <w:rPr>
          <w:rFonts w:hint="eastAsia" w:ascii="方正楷体_GBK" w:hAnsi="方正楷体_GBK" w:eastAsia="方正楷体_GBK" w:cs="方正楷体_GBK"/>
          <w:b/>
          <w:bCs/>
          <w:color w:val="auto"/>
          <w:sz w:val="32"/>
          <w:szCs w:val="32"/>
          <w:highlight w:val="none"/>
          <w:lang w:val="en-US" w:eastAsia="zh-CN"/>
        </w:rPr>
      </w:pPr>
      <w:bookmarkStart w:id="74" w:name="_Toc5939"/>
      <w:r>
        <w:rPr>
          <w:rFonts w:hint="eastAsia" w:ascii="方正楷体_GBK" w:hAnsi="方正楷体_GBK" w:eastAsia="方正楷体_GBK" w:cs="方正楷体_GBK"/>
          <w:b/>
          <w:bCs/>
          <w:color w:val="auto"/>
          <w:sz w:val="32"/>
          <w:szCs w:val="32"/>
          <w:highlight w:val="none"/>
          <w:lang w:val="en-US" w:eastAsia="zh-CN"/>
        </w:rPr>
        <w:t>（二）综合分析评价</w:t>
      </w:r>
    </w:p>
    <w:p>
      <w:pPr>
        <w:pStyle w:val="33"/>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textAlignment w:val="auto"/>
        <w:outlineLvl w:val="1"/>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一是根据所收集的资料，结合现场勘查等有关情况，整理出绩效评价所需要的基本资料和数据。二是按照确定的评价指标、评价标准和评价方法，对评价对象的绩效情况进行全面的定量定性分析和综合评价，量化评分，形成评价初步结论。三是根据本次绩效评价开展情况和初步评价结果，形成绩效评价报告初稿。四是开展专家评审会，行业专家、第三方专家以及财政部门，邀请人大代表监督全过程，对报告提出整改意见和需修改完善的内容，评价工作组及时作出整改。五是征求</w:t>
      </w:r>
      <w:r>
        <w:rPr>
          <w:rFonts w:hint="eastAsia" w:ascii="仿宋_GB2312" w:hAnsi="仿宋_GB2312" w:eastAsia="仿宋_GB2312" w:cs="仿宋_GB2312"/>
          <w:color w:val="auto"/>
          <w:kern w:val="2"/>
          <w:sz w:val="32"/>
          <w:szCs w:val="32"/>
          <w:highlight w:val="none"/>
          <w:lang w:val="en-US" w:eastAsia="zh-CN" w:bidi="ar-SA"/>
        </w:rPr>
        <w:t>疏附</w:t>
      </w:r>
      <w:r>
        <w:rPr>
          <w:rFonts w:hint="default" w:ascii="仿宋_GB2312" w:hAnsi="仿宋_GB2312" w:eastAsia="仿宋_GB2312" w:cs="仿宋_GB2312"/>
          <w:color w:val="auto"/>
          <w:kern w:val="2"/>
          <w:sz w:val="32"/>
          <w:szCs w:val="32"/>
          <w:highlight w:val="none"/>
          <w:lang w:val="en-US" w:eastAsia="zh-CN" w:bidi="ar-SA"/>
        </w:rPr>
        <w:t>县财政局和项目实施单位的意见，并结合反馈意见形成正式报告。</w:t>
      </w:r>
    </w:p>
    <w:p>
      <w:pPr>
        <w:pStyle w:val="33"/>
        <w:keepNext w:val="0"/>
        <w:keepLines w:val="0"/>
        <w:pageBreakBefore w:val="0"/>
        <w:widowControl w:val="0"/>
        <w:kinsoku/>
        <w:wordWrap/>
        <w:overflowPunct/>
        <w:topLinePunct w:val="0"/>
        <w:autoSpaceDE/>
        <w:autoSpaceDN/>
        <w:bidi w:val="0"/>
        <w:adjustRightInd w:val="0"/>
        <w:snapToGrid w:val="0"/>
        <w:spacing w:line="600" w:lineRule="exact"/>
        <w:ind w:left="0" w:leftChars="0" w:firstLine="643" w:firstLineChars="200"/>
        <w:textAlignment w:val="auto"/>
        <w:outlineLvl w:val="1"/>
        <w:rPr>
          <w:rFonts w:hint="eastAsia" w:ascii="方正楷体_GBK" w:hAnsi="方正楷体_GBK" w:eastAsia="方正楷体_GBK" w:cs="方正楷体_GBK"/>
          <w:b/>
          <w:bCs/>
          <w:color w:val="auto"/>
          <w:sz w:val="32"/>
          <w:szCs w:val="32"/>
          <w:highlight w:val="none"/>
        </w:rPr>
      </w:pPr>
      <w:r>
        <w:rPr>
          <w:rFonts w:hint="eastAsia" w:ascii="方正楷体_GBK" w:hAnsi="方正楷体_GBK" w:eastAsia="方正楷体_GBK" w:cs="方正楷体_GBK"/>
          <w:b/>
          <w:bCs/>
          <w:color w:val="auto"/>
          <w:sz w:val="32"/>
          <w:szCs w:val="32"/>
          <w:highlight w:val="none"/>
        </w:rPr>
        <w:t>（</w:t>
      </w:r>
      <w:r>
        <w:rPr>
          <w:rFonts w:hint="eastAsia" w:ascii="方正楷体_GBK" w:hAnsi="方正楷体_GBK" w:eastAsia="方正楷体_GBK" w:cs="方正楷体_GBK"/>
          <w:b/>
          <w:bCs/>
          <w:color w:val="auto"/>
          <w:sz w:val="32"/>
          <w:szCs w:val="32"/>
          <w:highlight w:val="none"/>
          <w:lang w:val="en-US" w:eastAsia="zh-CN"/>
        </w:rPr>
        <w:t>三</w:t>
      </w:r>
      <w:r>
        <w:rPr>
          <w:rFonts w:hint="eastAsia" w:ascii="方正楷体_GBK" w:hAnsi="方正楷体_GBK" w:eastAsia="方正楷体_GBK" w:cs="方正楷体_GBK"/>
          <w:b/>
          <w:bCs/>
          <w:color w:val="auto"/>
          <w:sz w:val="32"/>
          <w:szCs w:val="32"/>
          <w:highlight w:val="none"/>
        </w:rPr>
        <w:t>）项目总体评价结论</w:t>
      </w:r>
      <w:bookmarkEnd w:id="7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调整后预算资金519.36万元，财政资金到位率100%，实际支出519.36万元，预算资金执行率100%。资金使用程序较规范，能够做到专项资金专款专用，未发现截留、挤占、挪用、虚列支出等情况。项目的实施带动增加了45人就业，受益已脱贫人口数100人，受益已脱贫户户数达到了25户，推进了产业化进程，推动疏附县经济发展起到了作用，加快了产业结构调整，增加了农民收入，受益脱贫巩固人口满意度达到了95%。</w:t>
      </w:r>
    </w:p>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highlight w:val="none"/>
          <w:lang w:val="en-US" w:eastAsia="zh-CN"/>
        </w:rPr>
      </w:pPr>
      <w:bookmarkStart w:id="75" w:name="_Toc7267"/>
      <w:r>
        <w:rPr>
          <w:rFonts w:hint="eastAsia" w:ascii="方正黑体_GBK" w:hAnsi="方正黑体_GBK" w:eastAsia="方正黑体_GBK" w:cs="方正黑体_GBK"/>
          <w:sz w:val="32"/>
          <w:szCs w:val="32"/>
          <w:highlight w:val="none"/>
        </w:rPr>
        <w:t>五、问题</w:t>
      </w:r>
      <w:bookmarkEnd w:id="75"/>
      <w:r>
        <w:rPr>
          <w:rFonts w:hint="eastAsia" w:ascii="方正黑体_GBK" w:hAnsi="方正黑体_GBK" w:eastAsia="方正黑体_GBK" w:cs="方正黑体_GBK"/>
          <w:sz w:val="32"/>
          <w:szCs w:val="32"/>
          <w:highlight w:val="none"/>
          <w:lang w:val="en-US" w:eastAsia="zh-CN"/>
        </w:rPr>
        <w:t>及建议</w:t>
      </w:r>
    </w:p>
    <w:p>
      <w:pPr>
        <w:pStyle w:val="33"/>
        <w:adjustRightInd w:val="0"/>
        <w:snapToGrid w:val="0"/>
        <w:spacing w:line="560" w:lineRule="exact"/>
        <w:ind w:left="420" w:leftChars="200" w:firstLine="321" w:firstLineChars="100"/>
        <w:outlineLvl w:val="1"/>
        <w:rPr>
          <w:rFonts w:hint="eastAsia" w:ascii="方正楷体_GBK" w:hAnsi="方正楷体_GBK" w:eastAsia="方正楷体_GBK" w:cs="方正楷体_GBK"/>
          <w:b/>
          <w:bCs/>
          <w:sz w:val="32"/>
          <w:szCs w:val="32"/>
        </w:rPr>
      </w:pPr>
      <w:bookmarkStart w:id="76" w:name="_Toc17475"/>
      <w:bookmarkStart w:id="77" w:name="_Toc14039"/>
      <w:r>
        <w:rPr>
          <w:rFonts w:hint="eastAsia" w:ascii="方正楷体_GBK" w:hAnsi="方正楷体_GBK" w:eastAsia="方正楷体_GBK" w:cs="方正楷体_GBK"/>
          <w:b/>
          <w:bCs/>
          <w:sz w:val="32"/>
          <w:szCs w:val="32"/>
        </w:rPr>
        <w:t>（一）问题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无。</w:t>
      </w:r>
    </w:p>
    <w:p>
      <w:pPr>
        <w:pStyle w:val="33"/>
        <w:adjustRightInd w:val="0"/>
        <w:snapToGrid w:val="0"/>
        <w:spacing w:line="560" w:lineRule="exact"/>
        <w:ind w:left="420" w:leftChars="200" w:firstLine="321" w:firstLineChars="100"/>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（二）意见和建议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无。</w:t>
      </w:r>
    </w:p>
    <w:p>
      <w:pPr>
        <w:adjustRightInd w:val="0"/>
        <w:snapToGrid w:val="0"/>
        <w:spacing w:line="560" w:lineRule="exact"/>
        <w:ind w:firstLine="640" w:firstLineChars="200"/>
        <w:jc w:val="left"/>
        <w:outlineLvl w:val="0"/>
        <w:rPr>
          <w:rFonts w:hint="eastAsia" w:ascii="方正黑体_GBK" w:hAnsi="方正黑体_GBK" w:eastAsia="方正黑体_GBK" w:cs="方正黑体_GBK"/>
          <w:sz w:val="32"/>
          <w:szCs w:val="32"/>
          <w:highlight w:val="none"/>
        </w:rPr>
      </w:pPr>
      <w:r>
        <w:rPr>
          <w:rFonts w:hint="eastAsia" w:ascii="方正黑体_GBK" w:hAnsi="方正黑体_GBK" w:eastAsia="方正黑体_GBK" w:cs="方正黑体_GBK"/>
          <w:sz w:val="32"/>
          <w:szCs w:val="32"/>
          <w:highlight w:val="none"/>
        </w:rPr>
        <w:t>六、主要经验及做法</w:t>
      </w:r>
      <w:bookmarkEnd w:id="76"/>
      <w:bookmarkEnd w:id="77"/>
    </w:p>
    <w:p>
      <w:pPr>
        <w:pStyle w:val="33"/>
        <w:adjustRightInd w:val="0"/>
        <w:snapToGrid w:val="0"/>
        <w:spacing w:line="560" w:lineRule="exact"/>
        <w:ind w:left="0" w:leftChars="0" w:firstLine="643" w:firstLineChars="200"/>
        <w:outlineLvl w:val="1"/>
        <w:rPr>
          <w:rFonts w:hint="eastAsia" w:ascii="方正楷体_GBK" w:hAnsi="方正楷体_GBK" w:eastAsia="方正楷体_GBK" w:cs="方正楷体_GBK"/>
          <w:b/>
          <w:bCs/>
          <w:sz w:val="32"/>
          <w:szCs w:val="32"/>
          <w:lang w:val="en-US" w:eastAsia="zh-CN"/>
        </w:rPr>
      </w:pPr>
      <w:bookmarkStart w:id="78" w:name="_Toc25465"/>
      <w:bookmarkStart w:id="79" w:name="_Toc32230"/>
      <w:bookmarkStart w:id="80" w:name="_Toc16919"/>
      <w:r>
        <w:rPr>
          <w:rFonts w:hint="eastAsia" w:ascii="方正楷体_GBK" w:hAnsi="方正楷体_GBK" w:eastAsia="方正楷体_GBK" w:cs="方正楷体_GBK"/>
          <w:b/>
          <w:bCs/>
          <w:sz w:val="32"/>
          <w:szCs w:val="32"/>
        </w:rPr>
        <w:t>（一）项目实施过程有效</w:t>
      </w:r>
      <w:bookmarkEnd w:id="78"/>
      <w:bookmarkEnd w:id="79"/>
      <w:r>
        <w:rPr>
          <w:rFonts w:hint="eastAsia" w:ascii="方正楷体_GBK" w:hAnsi="方正楷体_GBK" w:eastAsia="方正楷体_GBK" w:cs="方正楷体_GBK"/>
          <w:b/>
          <w:bCs/>
          <w:sz w:val="32"/>
          <w:szCs w:val="32"/>
          <w:lang w:val="en-US" w:eastAsia="zh-CN"/>
        </w:rPr>
        <w:t>监督</w:t>
      </w:r>
      <w:bookmarkStart w:id="119" w:name="_GoBack"/>
      <w:bookmarkEnd w:id="11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rPr>
      </w:pPr>
      <w:bookmarkStart w:id="81" w:name="_Toc191"/>
      <w:bookmarkStart w:id="82" w:name="_Toc22631"/>
      <w:r>
        <w:rPr>
          <w:rFonts w:hint="eastAsia" w:ascii="仿宋_GB2312" w:hAnsi="仿宋_GB2312" w:eastAsia="仿宋_GB2312" w:cs="仿宋_GB2312"/>
          <w:sz w:val="32"/>
          <w:szCs w:val="32"/>
          <w:highlight w:val="none"/>
          <w:lang w:val="en-US" w:eastAsia="zh-CN"/>
        </w:rPr>
        <w:t>疏附县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w:t>
      </w:r>
      <w:r>
        <w:rPr>
          <w:rFonts w:hint="eastAsia" w:ascii="仿宋_GB2312" w:hAnsi="仿宋_GB2312" w:eastAsia="仿宋_GB2312" w:cs="仿宋_GB2312"/>
          <w:sz w:val="32"/>
          <w:szCs w:val="32"/>
          <w:highlight w:val="none"/>
          <w:lang w:val="en-US" w:eastAsia="zh-CN"/>
        </w:rPr>
        <w:t>工作</w:t>
      </w:r>
      <w:r>
        <w:rPr>
          <w:rFonts w:hint="eastAsia" w:ascii="仿宋_GB2312" w:hAnsi="仿宋_GB2312" w:eastAsia="仿宋_GB2312" w:cs="仿宋_GB2312"/>
          <w:sz w:val="32"/>
          <w:szCs w:val="32"/>
          <w:highlight w:val="none"/>
        </w:rPr>
        <w:t>，实行项目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w:t>
      </w:r>
      <w:r>
        <w:rPr>
          <w:rFonts w:hint="eastAsia" w:ascii="仿宋_GB2312" w:hAnsi="仿宋_GB2312" w:eastAsia="仿宋_GB2312" w:cs="仿宋_GB2312"/>
          <w:sz w:val="32"/>
          <w:szCs w:val="32"/>
          <w:highlight w:val="none"/>
          <w:lang w:val="en-US" w:eastAsia="zh-CN"/>
        </w:rPr>
        <w:t>监督</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pPr>
        <w:adjustRightInd w:val="0"/>
        <w:snapToGrid w:val="0"/>
        <w:spacing w:line="560" w:lineRule="exact"/>
        <w:ind w:firstLine="640"/>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（二）强化领导，明确职责，合理安排使用资金</w:t>
      </w:r>
      <w:bookmarkEnd w:id="81"/>
      <w:bookmarkEnd w:id="82"/>
    </w:p>
    <w:bookmarkEnd w:id="80"/>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83" w:name="_Toc31915"/>
      <w:bookmarkStart w:id="84" w:name="_Toc20562"/>
      <w:bookmarkStart w:id="85" w:name="_Toc13108"/>
      <w:bookmarkStart w:id="86" w:name="_Toc14650"/>
      <w:bookmarkStart w:id="87" w:name="_Toc30107"/>
      <w:bookmarkStart w:id="88" w:name="_Toc24288"/>
      <w:bookmarkStart w:id="89" w:name="_Toc7837"/>
      <w:bookmarkStart w:id="90" w:name="_Toc14723"/>
      <w:bookmarkStart w:id="91"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3"/>
      <w:bookmarkEnd w:id="84"/>
      <w:bookmarkEnd w:id="85"/>
    </w:p>
    <w:p>
      <w:pPr>
        <w:tabs>
          <w:tab w:val="left" w:pos="938"/>
        </w:tabs>
        <w:spacing w:line="560" w:lineRule="exact"/>
        <w:ind w:firstLine="640" w:firstLineChars="200"/>
        <w:outlineLvl w:val="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七、评价结果应用建议</w:t>
      </w:r>
      <w:bookmarkEnd w:id="86"/>
      <w:bookmarkEnd w:id="87"/>
    </w:p>
    <w:p>
      <w:pPr>
        <w:spacing w:line="560" w:lineRule="exact"/>
        <w:ind w:firstLine="643" w:firstLineChars="200"/>
        <w:outlineLvl w:val="1"/>
        <w:rPr>
          <w:rFonts w:hint="eastAsia" w:ascii="方正楷体_GBK" w:hAnsi="方正楷体_GBK" w:eastAsia="方正楷体_GBK" w:cs="方正楷体_GBK"/>
          <w:b/>
          <w:bCs/>
          <w:sz w:val="32"/>
          <w:szCs w:val="32"/>
        </w:rPr>
      </w:pPr>
      <w:bookmarkStart w:id="92" w:name="_Toc6072"/>
      <w:r>
        <w:rPr>
          <w:rFonts w:hint="eastAsia" w:ascii="方正楷体_GBK" w:hAnsi="方正楷体_GBK" w:eastAsia="方正楷体_GBK" w:cs="方正楷体_GBK"/>
          <w:b/>
          <w:bCs/>
          <w:sz w:val="32"/>
          <w:szCs w:val="32"/>
        </w:rPr>
        <w:t>（一）及时对发现的问题进行整改</w:t>
      </w:r>
      <w:bookmarkEnd w:id="88"/>
      <w:bookmarkEnd w:id="9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93" w:name="_Toc20240"/>
      <w:bookmarkStart w:id="94"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5"/>
        </w:numPr>
        <w:spacing w:line="560" w:lineRule="exact"/>
        <w:ind w:firstLine="643" w:firstLineChars="200"/>
        <w:outlineLvl w:val="1"/>
        <w:rPr>
          <w:rFonts w:hint="eastAsia" w:ascii="方正楷体_GBK" w:hAnsi="方正楷体_GBK" w:eastAsia="方正楷体_GBK" w:cs="方正楷体_GBK"/>
          <w:b/>
          <w:bCs/>
          <w:sz w:val="32"/>
          <w:szCs w:val="32"/>
        </w:rPr>
      </w:pPr>
      <w:r>
        <w:rPr>
          <w:rFonts w:hint="eastAsia" w:ascii="方正楷体_GBK" w:hAnsi="方正楷体_GBK" w:eastAsia="方正楷体_GBK" w:cs="方正楷体_GBK"/>
          <w:b/>
          <w:bCs/>
          <w:sz w:val="32"/>
          <w:szCs w:val="32"/>
        </w:rPr>
        <w:t>建立绩效评价结果应用制度</w:t>
      </w:r>
      <w:bookmarkEnd w:id="93"/>
      <w:bookmarkEnd w:id="94"/>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pPr>
        <w:spacing w:line="560" w:lineRule="exact"/>
        <w:ind w:firstLine="643" w:firstLineChars="200"/>
        <w:outlineLvl w:val="1"/>
        <w:rPr>
          <w:rFonts w:hint="eastAsia" w:ascii="方正楷体_GBK" w:hAnsi="方正楷体_GBK" w:eastAsia="方正楷体_GBK" w:cs="方正楷体_GBK"/>
          <w:b/>
          <w:bCs/>
          <w:sz w:val="32"/>
          <w:szCs w:val="32"/>
        </w:rPr>
      </w:pPr>
      <w:bookmarkStart w:id="95" w:name="_Toc5443"/>
      <w:bookmarkStart w:id="96" w:name="_Toc10628"/>
      <w:r>
        <w:rPr>
          <w:rFonts w:hint="eastAsia" w:ascii="方正楷体_GBK" w:hAnsi="方正楷体_GBK" w:eastAsia="方正楷体_GBK" w:cs="方正楷体_GBK"/>
          <w:b/>
          <w:bCs/>
          <w:sz w:val="32"/>
          <w:szCs w:val="32"/>
        </w:rPr>
        <w:t>（三）</w:t>
      </w:r>
      <w:r>
        <w:rPr>
          <w:rFonts w:hint="eastAsia" w:ascii="方正楷体_GBK" w:hAnsi="方正楷体_GBK" w:eastAsia="方正楷体_GBK" w:cs="方正楷体_GBK"/>
          <w:b/>
          <w:bCs/>
          <w:sz w:val="32"/>
          <w:szCs w:val="32"/>
          <w:lang w:val="en-US" w:eastAsia="zh-CN"/>
        </w:rPr>
        <w:t>强化</w:t>
      </w:r>
      <w:r>
        <w:rPr>
          <w:rFonts w:hint="eastAsia" w:ascii="方正楷体_GBK" w:hAnsi="方正楷体_GBK" w:eastAsia="方正楷体_GBK" w:cs="方正楷体_GBK"/>
          <w:b/>
          <w:bCs/>
          <w:sz w:val="32"/>
          <w:szCs w:val="32"/>
        </w:rPr>
        <w:t>绩效评价结果应用</w:t>
      </w:r>
      <w:bookmarkEnd w:id="95"/>
      <w:bookmarkEnd w:id="96"/>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一是严格落实评价结果与预算安排挂钩制度。要严格执行《喀什地区财政支出绩效评价结果应用暂行办法》文件规定，充分应用评价结果，对低效无效资金一律削减或取消。</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二是将此次评价工作开展情况及评价结果纳入喀什地区全面实施预算绩效管理年度综合评价考核范畴，年终形成总结报告，上报地委、行署和地区人大。</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三是进一步加大对评价结果的应用，疏附县2022年度项目绩效评价情况，可作为以后年度部门单位项目预算编制和安排财政资金的重要依据。</w:t>
      </w:r>
    </w:p>
    <w:p>
      <w:pPr>
        <w:spacing w:line="560" w:lineRule="exact"/>
        <w:ind w:firstLine="643" w:firstLineChars="200"/>
        <w:outlineLvl w:val="1"/>
        <w:rPr>
          <w:rFonts w:hint="eastAsia" w:ascii="方正楷体_GBK" w:hAnsi="方正楷体_GBK" w:eastAsia="方正楷体_GBK" w:cs="方正楷体_GBK"/>
          <w:b/>
          <w:bCs/>
          <w:sz w:val="32"/>
          <w:szCs w:val="32"/>
        </w:rPr>
      </w:pPr>
      <w:bookmarkStart w:id="97" w:name="_Toc4069"/>
      <w:bookmarkStart w:id="98" w:name="_Toc13172"/>
      <w:r>
        <w:rPr>
          <w:rFonts w:hint="eastAsia" w:ascii="方正楷体_GBK" w:hAnsi="方正楷体_GBK" w:eastAsia="方正楷体_GBK" w:cs="方正楷体_GBK"/>
          <w:b/>
          <w:bCs/>
          <w:sz w:val="32"/>
          <w:szCs w:val="32"/>
        </w:rPr>
        <w:t>（四）评价结果公开</w:t>
      </w:r>
      <w:bookmarkEnd w:id="97"/>
      <w:bookmarkEnd w:id="98"/>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建议按照政府信息公开管理的相关规定将绩效评价结果向社会公开评价结果，提高工作透明度，接受社会公众的监督。</w:t>
      </w:r>
      <w:bookmarkEnd w:id="89"/>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方正黑体_GBK" w:hAnsi="方正黑体_GBK" w:eastAsia="方正黑体_GBK" w:cs="方正黑体_GBK"/>
          <w:kern w:val="2"/>
          <w:sz w:val="32"/>
          <w:szCs w:val="32"/>
          <w:highlight w:val="none"/>
          <w:lang w:val="en-US" w:eastAsia="zh-CN" w:bidi="ar-SA"/>
        </w:rPr>
      </w:pPr>
      <w:bookmarkStart w:id="99" w:name="_Toc17018"/>
      <w:r>
        <w:rPr>
          <w:rFonts w:hint="eastAsia" w:ascii="方正黑体_GBK" w:hAnsi="方正黑体_GBK" w:eastAsia="方正黑体_GBK" w:cs="方正黑体_GBK"/>
          <w:kern w:val="2"/>
          <w:sz w:val="32"/>
          <w:szCs w:val="32"/>
          <w:highlight w:val="none"/>
          <w:lang w:val="en-US" w:eastAsia="zh-CN" w:bidi="ar-SA"/>
        </w:rPr>
        <w:t>八、</w:t>
      </w:r>
      <w:bookmarkEnd w:id="90"/>
      <w:bookmarkEnd w:id="91"/>
      <w:bookmarkEnd w:id="99"/>
      <w:r>
        <w:rPr>
          <w:rFonts w:hint="eastAsia" w:ascii="方正黑体_GBK" w:hAnsi="方正黑体_GBK" w:eastAsia="方正黑体_GBK" w:cs="方正黑体_GBK"/>
          <w:kern w:val="2"/>
          <w:sz w:val="32"/>
          <w:szCs w:val="32"/>
          <w:highlight w:val="none"/>
          <w:lang w:val="en-US" w:eastAsia="zh-CN" w:bidi="ar-SA"/>
        </w:rPr>
        <w:t>其他需要说明的问题</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ascii="黑体" w:hAnsi="黑体" w:eastAsia="黑体" w:cs="宋体"/>
          <w:sz w:val="32"/>
          <w:szCs w:val="32"/>
        </w:rPr>
      </w:pPr>
      <w:bookmarkStart w:id="100" w:name="_Toc25791"/>
      <w:r>
        <w:rPr>
          <w:rFonts w:hint="eastAsia" w:ascii="黑体" w:hAnsi="黑体" w:eastAsia="黑体" w:cs="宋体"/>
          <w:sz w:val="32"/>
          <w:szCs w:val="32"/>
        </w:rPr>
        <w:t>九、附件</w:t>
      </w:r>
      <w:bookmarkEnd w:id="100"/>
    </w:p>
    <w:bookmarkEnd w:id="30"/>
    <w:p>
      <w:pPr>
        <w:pStyle w:val="33"/>
        <w:keepNext w:val="0"/>
        <w:keepLines w:val="0"/>
        <w:pageBreakBefore w:val="0"/>
        <w:widowControl w:val="0"/>
        <w:numPr>
          <w:ilvl w:val="0"/>
          <w:numId w:val="3"/>
        </w:numPr>
        <w:kinsoku/>
        <w:wordWrap/>
        <w:overflowPunct/>
        <w:topLinePunct w:val="0"/>
        <w:autoSpaceDE/>
        <w:autoSpaceDN/>
        <w:bidi w:val="0"/>
        <w:adjustRightInd w:val="0"/>
        <w:snapToGrid w:val="0"/>
        <w:spacing w:line="560" w:lineRule="exact"/>
        <w:ind w:left="0" w:firstLine="643"/>
        <w:textAlignment w:val="auto"/>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pPr>
        <w:pStyle w:val="33"/>
        <w:keepNext w:val="0"/>
        <w:keepLines w:val="0"/>
        <w:pageBreakBefore w:val="0"/>
        <w:widowControl w:val="0"/>
        <w:kinsoku/>
        <w:wordWrap/>
        <w:overflowPunct/>
        <w:topLinePunct w:val="0"/>
        <w:autoSpaceDE/>
        <w:autoSpaceDN/>
        <w:bidi w:val="0"/>
        <w:spacing w:line="560" w:lineRule="exact"/>
        <w:ind w:firstLine="640"/>
        <w:textAlignment w:val="auto"/>
        <w:outlineLvl w:val="0"/>
        <w:rPr>
          <w:rFonts w:hint="default" w:ascii="仿宋_GB2312" w:hAnsi="仿宋_GB2312" w:eastAsia="仿宋_GB2312" w:cs="仿宋_GB2312"/>
          <w:kern w:val="2"/>
          <w:sz w:val="32"/>
          <w:szCs w:val="32"/>
          <w:highlight w:val="none"/>
          <w:lang w:val="en-US" w:eastAsia="zh-CN" w:bidi="ar-SA"/>
        </w:rPr>
      </w:pPr>
      <w:bookmarkStart w:id="101" w:name="_Toc3379"/>
      <w:bookmarkStart w:id="102" w:name="_Toc5066"/>
      <w:bookmarkStart w:id="103" w:name="_Toc13969"/>
      <w:bookmarkStart w:id="104" w:name="_Toc11156"/>
      <w:bookmarkStart w:id="105" w:name="_Toc9070"/>
      <w:r>
        <w:rPr>
          <w:rFonts w:hint="eastAsia" w:ascii="仿宋_GB2312" w:hAnsi="仿宋_GB2312" w:eastAsia="仿宋_GB2312" w:cs="仿宋_GB2312"/>
          <w:kern w:val="2"/>
          <w:sz w:val="32"/>
          <w:szCs w:val="32"/>
          <w:highlight w:val="none"/>
          <w:lang w:val="en-US" w:eastAsia="zh-CN" w:bidi="ar-SA"/>
        </w:rPr>
        <w:t>附件一、疏附县木什乡易地扶贫搬迁产业发展项目（牛养殖小区）支出绩效评价指标体系</w:t>
      </w:r>
      <w:bookmarkEnd w:id="101"/>
      <w:bookmarkEnd w:id="102"/>
      <w:bookmarkEnd w:id="103"/>
      <w:bookmarkEnd w:id="104"/>
      <w:bookmarkEnd w:id="105"/>
    </w:p>
    <w:p>
      <w:pPr>
        <w:pStyle w:val="33"/>
        <w:keepNext w:val="0"/>
        <w:keepLines w:val="0"/>
        <w:pageBreakBefore w:val="0"/>
        <w:widowControl w:val="0"/>
        <w:kinsoku/>
        <w:wordWrap/>
        <w:overflowPunct/>
        <w:topLinePunct w:val="0"/>
        <w:autoSpaceDE/>
        <w:autoSpaceDN/>
        <w:bidi w:val="0"/>
        <w:spacing w:line="560" w:lineRule="exact"/>
        <w:ind w:firstLine="640"/>
        <w:textAlignment w:val="auto"/>
        <w:outlineLvl w:val="0"/>
        <w:rPr>
          <w:rFonts w:hint="default" w:ascii="仿宋_GB2312" w:hAnsi="仿宋_GB2312" w:eastAsia="仿宋_GB2312" w:cs="仿宋_GB2312"/>
          <w:kern w:val="2"/>
          <w:sz w:val="32"/>
          <w:szCs w:val="32"/>
          <w:highlight w:val="none"/>
          <w:lang w:val="en-US" w:eastAsia="zh-CN" w:bidi="ar-SA"/>
        </w:rPr>
      </w:pPr>
      <w:bookmarkStart w:id="106" w:name="_Toc32762"/>
      <w:bookmarkStart w:id="107" w:name="_Toc19426"/>
      <w:bookmarkStart w:id="108" w:name="_Toc5753"/>
      <w:bookmarkStart w:id="109" w:name="_Toc17647"/>
      <w:bookmarkStart w:id="110" w:name="_Toc31506"/>
      <w:r>
        <w:rPr>
          <w:rFonts w:hint="eastAsia" w:ascii="仿宋_GB2312" w:hAnsi="仿宋_GB2312" w:eastAsia="仿宋_GB2312" w:cs="仿宋_GB2312"/>
          <w:kern w:val="2"/>
          <w:sz w:val="32"/>
          <w:szCs w:val="32"/>
          <w:highlight w:val="none"/>
          <w:lang w:val="en-US" w:eastAsia="zh-CN" w:bidi="ar-SA"/>
        </w:rPr>
        <w:t>附件二、疏附县木什乡易地扶贫搬迁产业发展项目（牛养殖小区）资金使用明细表</w:t>
      </w:r>
      <w:bookmarkEnd w:id="106"/>
      <w:bookmarkEnd w:id="107"/>
      <w:bookmarkEnd w:id="108"/>
      <w:bookmarkEnd w:id="109"/>
      <w:bookmarkEnd w:id="110"/>
    </w:p>
    <w:p>
      <w:pPr>
        <w:pStyle w:val="33"/>
        <w:keepNext w:val="0"/>
        <w:keepLines w:val="0"/>
        <w:pageBreakBefore w:val="0"/>
        <w:widowControl w:val="0"/>
        <w:kinsoku/>
        <w:wordWrap/>
        <w:overflowPunct/>
        <w:topLinePunct w:val="0"/>
        <w:autoSpaceDE/>
        <w:autoSpaceDN/>
        <w:bidi w:val="0"/>
        <w:spacing w:line="560" w:lineRule="exact"/>
        <w:ind w:firstLine="640"/>
        <w:textAlignment w:val="auto"/>
        <w:outlineLvl w:val="0"/>
        <w:rPr>
          <w:rFonts w:hint="eastAsia" w:ascii="仿宋_GB2312" w:hAnsi="仿宋_GB2312" w:eastAsia="仿宋_GB2312" w:cs="仿宋_GB2312"/>
          <w:kern w:val="2"/>
          <w:sz w:val="32"/>
          <w:szCs w:val="32"/>
          <w:highlight w:val="none"/>
          <w:lang w:val="en-US" w:eastAsia="zh-CN" w:bidi="ar-SA"/>
        </w:rPr>
      </w:pPr>
      <w:bookmarkStart w:id="111" w:name="_Toc22995"/>
      <w:bookmarkStart w:id="112" w:name="_Toc16544"/>
      <w:bookmarkStart w:id="113" w:name="_Toc27332"/>
      <w:bookmarkStart w:id="114" w:name="_Toc21161"/>
      <w:bookmarkStart w:id="115" w:name="_Toc27746"/>
      <w:r>
        <w:rPr>
          <w:rFonts w:hint="eastAsia" w:ascii="仿宋_GB2312" w:hAnsi="仿宋_GB2312" w:eastAsia="仿宋_GB2312" w:cs="仿宋_GB2312"/>
          <w:kern w:val="2"/>
          <w:sz w:val="32"/>
          <w:szCs w:val="32"/>
          <w:highlight w:val="none"/>
          <w:lang w:val="en-US" w:eastAsia="zh-CN" w:bidi="ar-SA"/>
        </w:rPr>
        <w:t>附件三、疏附县木什乡易地扶贫搬迁产业发展项目（牛养殖小区）绩效评价工作记录单</w:t>
      </w:r>
      <w:bookmarkEnd w:id="111"/>
      <w:bookmarkEnd w:id="112"/>
      <w:bookmarkEnd w:id="113"/>
      <w:bookmarkEnd w:id="114"/>
      <w:bookmarkEnd w:id="115"/>
      <w:bookmarkStart w:id="116" w:name="_Toc18769"/>
      <w:bookmarkStart w:id="117" w:name="_Toc16822"/>
      <w:bookmarkStart w:id="118" w:name="_Toc20564"/>
    </w:p>
    <w:bookmarkEnd w:id="116"/>
    <w:bookmarkEnd w:id="117"/>
    <w:bookmarkEnd w:id="118"/>
    <w:p>
      <w:pPr>
        <w:spacing w:line="560" w:lineRule="exact"/>
        <w:ind w:firstLine="640" w:firstLineChars="200"/>
        <w:jc w:val="right"/>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pPr>
        <w:spacing w:line="560" w:lineRule="exact"/>
        <w:ind w:firstLine="3827" w:firstLineChars="1196"/>
        <w:jc w:val="both"/>
        <w:rPr>
          <w:rFonts w:hint="eastAsia" w:ascii="仿宋_GB2312" w:hAnsi="仿宋" w:eastAsia="仿宋_GB2312" w:cs="宋体"/>
          <w:sz w:val="32"/>
          <w:szCs w:val="32"/>
          <w:lang w:bidi="ar"/>
        </w:rPr>
      </w:pP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07</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20</w:t>
      </w:r>
      <w:r>
        <w:rPr>
          <w:rFonts w:hint="eastAsia" w:ascii="仿宋_GB2312" w:hAnsi="仿宋" w:eastAsia="仿宋_GB2312" w:cs="宋体"/>
          <w:sz w:val="32"/>
          <w:szCs w:val="32"/>
          <w:lang w:bidi="ar"/>
        </w:rPr>
        <w:t>日</w:t>
      </w: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pPr>
    </w:p>
    <w:p>
      <w:pPr>
        <w:pStyle w:val="2"/>
        <w:rPr>
          <w:rFonts w:hint="eastAsia" w:ascii="仿宋_GB2312" w:hAnsi="仿宋" w:eastAsia="仿宋_GB2312" w:cs="宋体"/>
          <w:sz w:val="32"/>
          <w:szCs w:val="32"/>
          <w:lang w:bidi="ar"/>
        </w:rPr>
        <w:sectPr>
          <w:footerReference r:id="rId4"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9"/>
        <w:tblW w:w="1417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56"/>
        <w:gridCol w:w="756"/>
        <w:gridCol w:w="992"/>
        <w:gridCol w:w="2747"/>
        <w:gridCol w:w="486"/>
        <w:gridCol w:w="6951"/>
        <w:gridCol w:w="618"/>
        <w:gridCol w:w="86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200" w:hRule="atLeast"/>
        </w:trPr>
        <w:tc>
          <w:tcPr>
            <w:tcW w:w="14174" w:type="dxa"/>
            <w:gridSpan w:val="8"/>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疏附县木什乡易地扶贫搬迁产业发展项目（牛养殖小区）支出绩效评价指标体系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00" w:hRule="atLeast"/>
        </w:trPr>
        <w:tc>
          <w:tcPr>
            <w:tcW w:w="7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一级指标</w:t>
            </w:r>
          </w:p>
        </w:tc>
        <w:tc>
          <w:tcPr>
            <w:tcW w:w="7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二级指标</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三级指标</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指标解释</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分值</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评分标准</w:t>
            </w:r>
          </w:p>
        </w:tc>
        <w:tc>
          <w:tcPr>
            <w:tcW w:w="6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评价得分</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扣分原因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834" w:hRule="atLeast"/>
        </w:trPr>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项目决策　（20）</w:t>
            </w:r>
          </w:p>
        </w:tc>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项目立项（8）　</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立项依据</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充分性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项目立项是否符合法律法规、相关政策、发展规划以及部门职责，用以反映和考核项目立项依据情况。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top"/>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①项目立项符合国家法律法规、国民经济发展规划和相关政策，得1分，否则不得分；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②项目立项符合行业发展规划和政策要求，得1分，否则不得分；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③项目立项与部门职责范围相符，属于部门履职所需，得1分，否则不得分；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④项目属于公共财政支持范围，是否符合中央、地方事权支出责任划分原则得0.5分，否则不得分；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⑤项目是否与相关部门同类项目或部门内部相关项目重复,得0.5分，否则不得分。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79"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立项程序规范性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项目申请、设立过程是否符合相关要求，用以反映和考核项目立项的规范情况。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①项目按照规定的程序申请设立，得1.5分，否则不得分；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②审批文件、材料是否符合相关要求，得1分，否则不得分；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③事前已经过必要的可行性研究、专家论证、风险评估、绩效评估、集体决策，得1.5分，否则不得分。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66"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绩效目标（6）　</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绩效目标合理性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项目所设定的绩效目标是否依据充分，是否符合客观实际，用以反映和考核项目绩效目标与项目实施的相符情况。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①项目是否有绩效目标，得1分，否则不得分；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②项目绩效目标与实际工作内容具有相关性，得1分，否则不得分；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③项目预期产出效益和效果符合正常的业绩水平，得0.5分，否则不得分；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④与预算确定的项目投资额或资金量相匹配，得0.5分，否则不得分。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072"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绩效指标明确性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依据绩效目标设定的绩效指标是否清晰、细化、可衡量等，用以反映和考核项目绩效目标的明细化情况。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①将项目绩效目标细化分解为具体的绩效指标，得1分，否则不得分；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②通过清晰、可衡量的指标值予以体现，得1分，否则不得分；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③与项目目标任务数或计划数相对应，得1分，否则不得分。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391"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资金投入（6）</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预算编制科学性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项目预算编制是否经过科学论证、有明确标准，资金额度与年度目标是否相适应，用以反映和考核项目预算编制的科学性、合理性情况。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①预算编制经过科学论证，得1分，否则不得分；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②预算内容与项目内容匹配，得1分，否则不得分；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③预算额度测算依据充分，按照标准编制，得0.5分，否则不得分；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④预算确定的项目投资额或资金量与工作任务相匹配，得0.5分，否则不得分。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25"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资金分配合理性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项目预算资金分配是否有测算依据，与补助单位或地方实际是否相适应，用以反映和考核项目预算资金分配的科学性、合理性情况。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①预算资金分配依据充分，得1.5分，否则不得分；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②资金分配额度合理，与项目单位或地方实际相适应，得1.5分，否则不得分。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620" w:hRule="atLeast"/>
        </w:trPr>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项目过程（20）</w:t>
            </w:r>
          </w:p>
        </w:tc>
        <w:tc>
          <w:tcPr>
            <w:tcW w:w="756" w:type="dxa"/>
            <w:vMerge w:val="restart"/>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资金管理（10）</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资金到位率</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实际到位资金与预算资金的比率，用以反映和考核资金落实情况对项目实施的总体保障程度。</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①资金到位及时率100%、得3分；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②资金未全额到位的，按照满分乘以到位率计算得分。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（资金到位率=（实际到位资金/预算资金）×100%。</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实际到位资金：一定时期（本年度或项目期）内落实到具体项目的资金。</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预算资金：一定时期（本年度或项目期）内预算安排到具体项目的资金。）</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580"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预算执行率</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项目预算资金是否按照计划执行，用以反映或考核项目预算执行情况。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①资金执行率100%，得3分；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②资金执行率未达100%的，按照满分乘以执行率计算得分。（按资金到位率计算分值。预算执行率=（实际支出资金/实际到位资金）×100%。</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实际支出资金：一定时期（本年度或项目期）内项目实际拨付的资金。）</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640"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nil"/>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资金使用合规性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项目资金使用是否符合相关的财务管理制度规定，用以反映和考核项目资金的规范运行情况。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①符合国家财经法规和财务管理制度以及有关专项资金管理办法的规定，得1分，否则不得分；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②资金的拨付有完整的审批程序和手续，得1分，否则不得分；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③符合项目预算批复或合同规定的用途，得1分，否则不得分；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④不存在截留、挤占、挪用、虚列支出等情况，得1分，否则不得分。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40"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组织实施（10）</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管理制度健全性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项目实施单位的财务和业务管理制度是否健全，用以反映和考核财务和业务管理制度对项目顺利实施的保障情况。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①制定或具有相应的财务和业务管理制度，得2.5分，否则不得分；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②财务和业务管理制度是否合法、合规、完整，得2.5分，否则不得分。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48"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制度执行有效性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项目实施是否符合相关管理规定，用以反映和考核相关管理制度的有效执行情况。</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①遵守相关法律法规和相关管理规定，得1分，否则不得分；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②项目调整及支出调整手续完备，得1分，否则不得分；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③项目合同书、验收报告、技术鉴定等资料齐全并及时归档，得1.5分，否则不得分；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④项目实施的人员条件、场地设备、信息支撑等落实到位，得1.5分，否则不得分。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163" w:hRule="atLeast"/>
        </w:trPr>
        <w:tc>
          <w:tcPr>
            <w:tcW w:w="75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项目产出（30）</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产出数量（8）</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实际完成率</w:t>
            </w:r>
          </w:p>
        </w:tc>
        <w:tc>
          <w:tcPr>
            <w:tcW w:w="27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项目实施的实际产出数与计划产出数的比率，用以反映和考核项目产出数量目标的实现程度。</w:t>
            </w:r>
          </w:p>
        </w:tc>
        <w:tc>
          <w:tcPr>
            <w:tcW w:w="4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w:t>
            </w:r>
          </w:p>
        </w:tc>
        <w:tc>
          <w:tcPr>
            <w:tcW w:w="6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Style w:val="43"/>
                <w:sz w:val="18"/>
                <w:szCs w:val="18"/>
                <w:lang w:val="en-US" w:eastAsia="zh-CN" w:bidi="ar"/>
              </w:rPr>
              <w:t>①建设牛舍数量大于等于2栋，得1分，否则按比例得分；</w:t>
            </w:r>
            <w:r>
              <w:rPr>
                <w:rStyle w:val="43"/>
                <w:sz w:val="18"/>
                <w:szCs w:val="18"/>
                <w:lang w:val="en-US" w:eastAsia="zh-CN" w:bidi="ar"/>
              </w:rPr>
              <w:br w:type="textWrapping"/>
            </w:r>
            <w:r>
              <w:rPr>
                <w:rStyle w:val="43"/>
                <w:sz w:val="18"/>
                <w:szCs w:val="18"/>
                <w:lang w:val="en-US" w:eastAsia="zh-CN" w:bidi="ar"/>
              </w:rPr>
              <w:t>②建设牛舍总面积大于等于3000平方米，得1分，否则按比例得分；</w:t>
            </w:r>
            <w:r>
              <w:rPr>
                <w:rStyle w:val="43"/>
                <w:sz w:val="18"/>
                <w:szCs w:val="18"/>
                <w:lang w:val="en-US" w:eastAsia="zh-CN" w:bidi="ar"/>
              </w:rPr>
              <w:br w:type="textWrapping"/>
            </w:r>
            <w:r>
              <w:rPr>
                <w:rStyle w:val="43"/>
                <w:sz w:val="18"/>
                <w:szCs w:val="18"/>
                <w:lang w:val="en-US" w:eastAsia="zh-CN" w:bidi="ar"/>
              </w:rPr>
              <w:t>③建设草料棚总面积大于等于450平方米，得1分，否则按比例得分；</w:t>
            </w:r>
            <w:r>
              <w:rPr>
                <w:rStyle w:val="43"/>
                <w:sz w:val="18"/>
                <w:szCs w:val="18"/>
                <w:lang w:val="en-US" w:eastAsia="zh-CN" w:bidi="ar"/>
              </w:rPr>
              <w:br w:type="textWrapping"/>
            </w:r>
            <w:r>
              <w:rPr>
                <w:rStyle w:val="43"/>
                <w:sz w:val="18"/>
                <w:szCs w:val="18"/>
                <w:lang w:val="en-US" w:eastAsia="zh-CN" w:bidi="ar"/>
              </w:rPr>
              <w:t>④建设青储池数量大于等于1个，得0.5分，否则按比例得分；</w:t>
            </w:r>
            <w:r>
              <w:rPr>
                <w:rStyle w:val="43"/>
                <w:sz w:val="18"/>
                <w:szCs w:val="18"/>
                <w:lang w:val="en-US" w:eastAsia="zh-CN" w:bidi="ar"/>
              </w:rPr>
              <w:br w:type="textWrapping"/>
            </w:r>
            <w:r>
              <w:rPr>
                <w:rStyle w:val="43"/>
                <w:sz w:val="18"/>
                <w:szCs w:val="18"/>
                <w:lang w:val="en-US" w:eastAsia="zh-CN" w:bidi="ar"/>
              </w:rPr>
              <w:t>⑤采购12立方立式TMR大于等于1套，得0.5分，否则按比例得分；</w:t>
            </w:r>
            <w:r>
              <w:rPr>
                <w:rStyle w:val="43"/>
                <w:sz w:val="18"/>
                <w:szCs w:val="18"/>
                <w:lang w:val="en-US" w:eastAsia="zh-CN" w:bidi="ar"/>
              </w:rPr>
              <w:br w:type="textWrapping"/>
            </w:r>
            <w:r>
              <w:rPr>
                <w:rStyle w:val="43"/>
                <w:sz w:val="18"/>
                <w:szCs w:val="18"/>
                <w:lang w:val="en-US" w:eastAsia="zh-CN" w:bidi="ar"/>
              </w:rPr>
              <w:t>⑥采购精饲料加工机组大于等于1套，得0.5分，否则按比例得分；</w:t>
            </w:r>
            <w:r>
              <w:rPr>
                <w:rStyle w:val="43"/>
                <w:sz w:val="18"/>
                <w:szCs w:val="18"/>
                <w:lang w:val="en-US" w:eastAsia="zh-CN" w:bidi="ar"/>
              </w:rPr>
              <w:br w:type="textWrapping"/>
            </w:r>
            <w:r>
              <w:rPr>
                <w:rStyle w:val="43"/>
                <w:sz w:val="18"/>
                <w:szCs w:val="18"/>
                <w:lang w:val="en-US" w:eastAsia="zh-CN" w:bidi="ar"/>
              </w:rPr>
              <w:t>⑦采购装载机数量大于等于1台，得0.5分，否则按比例得分；</w:t>
            </w:r>
            <w:r>
              <w:rPr>
                <w:rStyle w:val="43"/>
                <w:sz w:val="18"/>
                <w:szCs w:val="18"/>
                <w:lang w:val="en-US" w:eastAsia="zh-CN" w:bidi="ar"/>
              </w:rPr>
              <w:br w:type="textWrapping"/>
            </w:r>
            <w:r>
              <w:rPr>
                <w:rStyle w:val="43"/>
                <w:sz w:val="18"/>
                <w:szCs w:val="18"/>
                <w:lang w:val="en-US" w:eastAsia="zh-CN" w:bidi="ar"/>
              </w:rPr>
              <w:t>⑧采购消毒机数量大于等于1台，得0.5分，否则按比例得分；</w:t>
            </w:r>
            <w:r>
              <w:rPr>
                <w:rStyle w:val="43"/>
                <w:sz w:val="18"/>
                <w:szCs w:val="18"/>
                <w:lang w:val="en-US" w:eastAsia="zh-CN" w:bidi="ar"/>
              </w:rPr>
              <w:br w:type="textWrapping"/>
            </w:r>
            <w:r>
              <w:rPr>
                <w:rStyle w:val="43"/>
                <w:sz w:val="18"/>
                <w:szCs w:val="18"/>
                <w:lang w:val="en-US" w:eastAsia="zh-CN" w:bidi="ar"/>
              </w:rPr>
              <w:t>⑨采购6、8t-10t/h草粉机数量大于等于1台，得0.5分，否则按比例得分；</w:t>
            </w:r>
            <w:r>
              <w:rPr>
                <w:rStyle w:val="43"/>
                <w:sz w:val="18"/>
                <w:szCs w:val="18"/>
                <w:lang w:val="en-US" w:eastAsia="zh-CN" w:bidi="ar"/>
              </w:rPr>
              <w:br w:type="textWrapping"/>
            </w:r>
            <w:r>
              <w:rPr>
                <w:rStyle w:val="43"/>
                <w:sz w:val="18"/>
                <w:szCs w:val="18"/>
                <w:lang w:val="en-US" w:eastAsia="zh-CN" w:bidi="ar"/>
              </w:rPr>
              <w:t>⑩采购25马力柴油运料设备数量大于等于1台，得0.5分，否则按比例得分；</w:t>
            </w:r>
            <w:r>
              <w:rPr>
                <w:rStyle w:val="43"/>
                <w:sz w:val="18"/>
                <w:szCs w:val="18"/>
                <w:lang w:val="en-US" w:eastAsia="zh-CN" w:bidi="ar"/>
              </w:rPr>
              <w:br w:type="textWrapping"/>
            </w:r>
            <w:r>
              <w:rPr>
                <w:rStyle w:val="44"/>
                <w:sz w:val="18"/>
                <w:szCs w:val="18"/>
                <w:lang w:val="en-US" w:eastAsia="zh-CN" w:bidi="ar"/>
              </w:rPr>
              <w:t>⑪</w:t>
            </w:r>
            <w:r>
              <w:rPr>
                <w:rStyle w:val="43"/>
                <w:sz w:val="18"/>
                <w:szCs w:val="18"/>
                <w:lang w:val="en-US" w:eastAsia="zh-CN" w:bidi="ar"/>
              </w:rPr>
              <w:t>采购5m</w:t>
            </w:r>
            <w:r>
              <w:rPr>
                <w:rStyle w:val="44"/>
                <w:sz w:val="18"/>
                <w:szCs w:val="18"/>
                <w:lang w:val="en-US" w:eastAsia="zh-CN" w:bidi="ar"/>
              </w:rPr>
              <w:t>³</w:t>
            </w:r>
            <w:r>
              <w:rPr>
                <w:rStyle w:val="43"/>
                <w:sz w:val="18"/>
                <w:szCs w:val="18"/>
                <w:lang w:val="en-US" w:eastAsia="zh-CN" w:bidi="ar"/>
              </w:rPr>
              <w:t>柴油投料设备数量大于等于1台，得0.5分，否则按比例得分；</w:t>
            </w:r>
            <w:r>
              <w:rPr>
                <w:rStyle w:val="43"/>
                <w:sz w:val="18"/>
                <w:szCs w:val="18"/>
                <w:lang w:val="en-US" w:eastAsia="zh-CN" w:bidi="ar"/>
              </w:rPr>
              <w:br w:type="textWrapping"/>
            </w:r>
            <w:r>
              <w:rPr>
                <w:rStyle w:val="44"/>
                <w:sz w:val="18"/>
                <w:szCs w:val="18"/>
                <w:lang w:val="en-US" w:eastAsia="zh-CN" w:bidi="ar"/>
              </w:rPr>
              <w:t>⑫</w:t>
            </w:r>
            <w:r>
              <w:rPr>
                <w:rStyle w:val="43"/>
                <w:sz w:val="18"/>
                <w:szCs w:val="18"/>
                <w:lang w:val="en-US" w:eastAsia="zh-CN" w:bidi="ar"/>
              </w:rPr>
              <w:t>采购20L雾化消毒机数量大于等于1台，得0.5分，否则按比例得分；</w:t>
            </w:r>
            <w:r>
              <w:rPr>
                <w:rStyle w:val="43"/>
                <w:sz w:val="18"/>
                <w:szCs w:val="18"/>
                <w:lang w:val="en-US" w:eastAsia="zh-CN" w:bidi="ar"/>
              </w:rPr>
              <w:br w:type="textWrapping"/>
            </w:r>
            <w:r>
              <w:rPr>
                <w:rStyle w:val="44"/>
                <w:sz w:val="18"/>
                <w:szCs w:val="18"/>
                <w:lang w:val="en-US" w:eastAsia="zh-CN" w:bidi="ar"/>
              </w:rPr>
              <w:t>⑬</w:t>
            </w:r>
            <w:r>
              <w:rPr>
                <w:rStyle w:val="43"/>
                <w:sz w:val="18"/>
                <w:szCs w:val="18"/>
                <w:lang w:val="en-US" w:eastAsia="zh-CN" w:bidi="ar"/>
              </w:rPr>
              <w:t>采购3m</w:t>
            </w:r>
            <w:r>
              <w:rPr>
                <w:rStyle w:val="44"/>
                <w:sz w:val="18"/>
                <w:szCs w:val="18"/>
                <w:lang w:val="en-US" w:eastAsia="zh-CN" w:bidi="ar"/>
              </w:rPr>
              <w:t>³</w:t>
            </w:r>
            <w:r>
              <w:rPr>
                <w:rStyle w:val="43"/>
                <w:sz w:val="18"/>
                <w:szCs w:val="18"/>
                <w:lang w:val="en-US" w:eastAsia="zh-CN" w:bidi="ar"/>
              </w:rPr>
              <w:t>清粪设备数量大于等于1台，得0.5分，否则按比例得分；</w:t>
            </w:r>
            <w:r>
              <w:rPr>
                <w:rStyle w:val="43"/>
                <w:sz w:val="18"/>
                <w:szCs w:val="18"/>
                <w:lang w:val="en-US" w:eastAsia="zh-CN" w:bidi="ar"/>
              </w:rPr>
              <w:br w:type="textWrapping"/>
            </w:r>
            <w:r>
              <w:rPr>
                <w:rStyle w:val="43"/>
                <w:sz w:val="18"/>
                <w:szCs w:val="18"/>
                <w:lang w:val="en-US" w:eastAsia="zh-CN" w:bidi="ar"/>
              </w:rPr>
              <w:t>按项目实际完成率评分（实际完成率=（实际产出数/计划产出数）×100%。实际产出数：一定时期（本年度或项目期）内项目实际产出的产品或提供的服务数量。计划产出数：项目绩效目标确定的在一定时期（本年度或项目期）内计划产出的产品或提供的服务数量。）</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872"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i w:val="0"/>
                <w:iCs w:val="0"/>
                <w:color w:val="000000"/>
                <w:sz w:val="18"/>
                <w:szCs w:val="18"/>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产出质量（7）</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质量达标率</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项目完成的质量达标产出数与实际产出数的比率，用以反映和考核项目产出质量目标的实现程度。</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①工程（项目）验收合格率100%，得3.5分，否则按比例得分；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②采购设备验收合格率100%，得3.5分，否则按比例得分；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按项目验收质量达标率计算分值（质量达标率=（质量达标产出数/实际产出数）×100%。</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48"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i w:val="0"/>
                <w:iCs w:val="0"/>
                <w:color w:val="000000"/>
                <w:sz w:val="18"/>
                <w:szCs w:val="18"/>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产出时效（6）</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完成及时性</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项目实际完成时间与计划完成时间的比较，用以反映和考核项目产出时效目标的实现程度。</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①项目开工时间2022年2月,得3分，否则按比例得分；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 xml:space="preserve">②项目完工时间2021年7月，得3分，否则按比例得分；               </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（实际完成时间：项目实施单位完成该项目实际所耗用的时间。</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计划完成时间：按照项目实施计划或相关规定完成该项目所需的时间。）</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777"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i w:val="0"/>
                <w:iCs w:val="0"/>
                <w:color w:val="000000"/>
                <w:sz w:val="18"/>
                <w:szCs w:val="18"/>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产出成本（9）</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成本节约率</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完成项目计划工作目标的实际节约成本与计划成本的比率，用以反映和考核项目的成本节约程度。</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9</w:t>
            </w:r>
          </w:p>
        </w:tc>
        <w:tc>
          <w:tcPr>
            <w:tcW w:w="6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①建设2栋牛舍成本小于等于221.28万元，得2分，否则按比例得分；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②建设草料棚成本小于等于70.502万元，得2分，否则按比例得分；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③建设青储池及外网总成本小于等于115.22元，得2分，否则按比例得分；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④采购设备成本小于等于112.3582万元，得3分，否则按比例得分；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（成本节约率=[（计划成本-实际成本）/计划成本]×100%。</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实际成本：项目实施单位如期、保质、保量完成既定工作目标实际所耗费的支出。计划成本：项目实施单位为完成工作目标计划安排的支出，一般以项目预算为参考。）</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9</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780" w:hRule="atLeast"/>
        </w:trPr>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项目效益（30）　</w:t>
            </w:r>
          </w:p>
        </w:tc>
        <w:tc>
          <w:tcPr>
            <w:tcW w:w="7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项目效益（30）　　</w:t>
            </w: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经济效益</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项目实施所产生的经济效益是否达到预期值</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①增加村集体收入大于等于5万元，得4分，否则按比例得分。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②带动已脱贫人口全年总收入大于等于5万元，得4分，否则按比例得分。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33"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社会效益</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项目实施所产生的社会效益指标是否达到预期值</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69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①受益已脱贫户户数大于等于25户，得2分，否则按比例得分。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②带动增加就业人数大于等于45人，得2分，否则按比例得分。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③受益已脱贫人口数大于等于100人，得2分，否则按比例得分。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2"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生态效益</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对生态环境产生的影响</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0</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不涉及生态效益指标</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0</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1"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可持续影响</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项目的可持续印象影响是否达到预期的期限</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工程设计使用年限大于等于20年，得6分，否则按比例得分。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560" w:hRule="atLeast"/>
        </w:trPr>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7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满意度</w:t>
            </w:r>
          </w:p>
        </w:tc>
        <w:tc>
          <w:tcPr>
            <w:tcW w:w="274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受益脱贫巩固人口满意度大于等于95%</w:t>
            </w:r>
          </w:p>
        </w:tc>
        <w:tc>
          <w:tcPr>
            <w:tcW w:w="486"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w:t>
            </w:r>
          </w:p>
        </w:tc>
        <w:tc>
          <w:tcPr>
            <w:tcW w:w="6951"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根据问卷调查，受益脱贫巩固人口对该项目实施的满意度如下：</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①受益脱贫巩固人口满意度大于等于95%，得10分；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②受益脱贫巩固人口满意度小于95%大于85%，得8分；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③受益脱贫巩固人口满意度小于85%大于70%，得5分；</w:t>
            </w:r>
            <w:r>
              <w:rPr>
                <w:rFonts w:hint="eastAsia" w:ascii="仿宋" w:hAnsi="仿宋" w:eastAsia="仿宋" w:cs="仿宋"/>
                <w:i w:val="0"/>
                <w:iCs w:val="0"/>
                <w:color w:val="000000"/>
                <w:kern w:val="0"/>
                <w:sz w:val="18"/>
                <w:szCs w:val="18"/>
                <w:u w:val="none"/>
                <w:lang w:val="en-US" w:eastAsia="zh-CN" w:bidi="ar"/>
              </w:rPr>
              <w:br w:type="textWrapping"/>
            </w:r>
            <w:r>
              <w:rPr>
                <w:rFonts w:hint="eastAsia" w:ascii="仿宋" w:hAnsi="仿宋" w:eastAsia="仿宋" w:cs="仿宋"/>
                <w:i w:val="0"/>
                <w:iCs w:val="0"/>
                <w:color w:val="000000"/>
                <w:kern w:val="0"/>
                <w:sz w:val="18"/>
                <w:szCs w:val="18"/>
                <w:u w:val="none"/>
                <w:lang w:val="en-US" w:eastAsia="zh-CN" w:bidi="ar"/>
              </w:rPr>
              <w:t>④受益脱贫巩固人口满意度小于等于70%，不得分。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仿宋" w:hAnsi="仿宋" w:eastAsia="仿宋" w:cs="仿宋"/>
                <w:i w:val="0"/>
                <w:iCs w:val="0"/>
                <w:color w:val="000000"/>
                <w:sz w:val="18"/>
                <w:szCs w:val="1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2" w:hRule="atLeast"/>
        </w:trPr>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 w:hAnsi="仿宋" w:eastAsia="仿宋" w:cs="仿宋"/>
                <w:i w:val="0"/>
                <w:iCs w:val="0"/>
                <w:color w:val="000000"/>
                <w:sz w:val="18"/>
                <w:szCs w:val="18"/>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 w:hAnsi="仿宋" w:eastAsia="仿宋" w:cs="仿宋"/>
                <w:i w:val="0"/>
                <w:iCs w:val="0"/>
                <w:color w:val="000000"/>
                <w:sz w:val="18"/>
                <w:szCs w:val="18"/>
                <w:u w:val="none"/>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 w:hAnsi="仿宋" w:eastAsia="仿宋" w:cs="仿宋"/>
                <w:i w:val="0"/>
                <w:iCs w:val="0"/>
                <w:color w:val="000000"/>
                <w:sz w:val="18"/>
                <w:szCs w:val="18"/>
                <w:u w:val="none"/>
              </w:rPr>
            </w:pPr>
          </w:p>
        </w:tc>
        <w:tc>
          <w:tcPr>
            <w:tcW w:w="274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总分</w:t>
            </w:r>
          </w:p>
        </w:tc>
        <w:tc>
          <w:tcPr>
            <w:tcW w:w="48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w:t>
            </w:r>
          </w:p>
        </w:tc>
        <w:tc>
          <w:tcPr>
            <w:tcW w:w="69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最终得分</w:t>
            </w:r>
          </w:p>
        </w:tc>
        <w:tc>
          <w:tcPr>
            <w:tcW w:w="6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w:t>
            </w:r>
          </w:p>
        </w:tc>
        <w:tc>
          <w:tcPr>
            <w:tcW w:w="8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 w:hAnsi="仿宋" w:eastAsia="仿宋" w:cs="仿宋"/>
                <w:i w:val="0"/>
                <w:iCs w:val="0"/>
                <w:color w:val="000000"/>
                <w:sz w:val="18"/>
                <w:szCs w:val="18"/>
                <w:u w:val="none"/>
              </w:rPr>
            </w:pPr>
          </w:p>
        </w:tc>
      </w:tr>
    </w:tbl>
    <w:p>
      <w:pPr>
        <w:pStyle w:val="2"/>
        <w:rPr>
          <w:rFonts w:hint="eastAsia" w:ascii="仿宋_GB2312" w:hAnsi="仿宋" w:eastAsia="仿宋_GB2312" w:cs="宋体"/>
          <w:sz w:val="32"/>
          <w:szCs w:val="32"/>
          <w:lang w:bidi="ar"/>
        </w:rPr>
        <w:sectPr>
          <w:pgSz w:w="16838" w:h="11906" w:orient="landscape"/>
          <w:pgMar w:top="1800" w:right="1440" w:bottom="1700" w:left="144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9"/>
        <w:tblW w:w="1417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238"/>
        <w:gridCol w:w="549"/>
        <w:gridCol w:w="720"/>
        <w:gridCol w:w="720"/>
        <w:gridCol w:w="549"/>
        <w:gridCol w:w="549"/>
        <w:gridCol w:w="720"/>
        <w:gridCol w:w="720"/>
        <w:gridCol w:w="549"/>
        <w:gridCol w:w="549"/>
        <w:gridCol w:w="721"/>
        <w:gridCol w:w="384"/>
        <w:gridCol w:w="384"/>
        <w:gridCol w:w="384"/>
        <w:gridCol w:w="384"/>
        <w:gridCol w:w="10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45" w:hRule="atLeast"/>
        </w:trPr>
        <w:tc>
          <w:tcPr>
            <w:tcW w:w="14174" w:type="dxa"/>
            <w:gridSpan w:val="16"/>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36"/>
                <w:szCs w:val="36"/>
                <w:u w:val="none"/>
              </w:rPr>
            </w:pPr>
            <w:r>
              <w:rPr>
                <w:rFonts w:hint="eastAsia" w:ascii="黑体" w:hAnsi="宋体" w:eastAsia="黑体" w:cs="黑体"/>
                <w:i w:val="0"/>
                <w:iCs w:val="0"/>
                <w:color w:val="000000"/>
                <w:kern w:val="0"/>
                <w:sz w:val="36"/>
                <w:szCs w:val="36"/>
                <w:u w:val="none"/>
                <w:lang w:val="en-US" w:eastAsia="zh-CN" w:bidi="ar"/>
              </w:rPr>
              <w:t>资金使用情况明细表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10" w:hRule="atLeast"/>
        </w:trPr>
        <w:tc>
          <w:tcPr>
            <w:tcW w:w="5238"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项目名称：疏附县木什乡易地扶贫搬迁产业发展项目（牛养殖小区）</w:t>
            </w:r>
          </w:p>
        </w:tc>
        <w:tc>
          <w:tcPr>
            <w:tcW w:w="549"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720"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720"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549"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549"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2538" w:type="dxa"/>
            <w:gridSpan w:val="4"/>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截止日：2022年12月31日</w:t>
            </w:r>
          </w:p>
        </w:tc>
        <w:tc>
          <w:tcPr>
            <w:tcW w:w="721"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384"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384"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384"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384" w:type="dxa"/>
            <w:tcBorders>
              <w:top w:val="nil"/>
              <w:left w:val="nil"/>
              <w:bottom w:val="nil"/>
              <w:right w:val="nil"/>
            </w:tcBorders>
            <w:shd w:val="clear" w:color="auto" w:fill="auto"/>
            <w:noWrap/>
            <w:vAlign w:val="center"/>
          </w:tcPr>
          <w:p>
            <w:pPr>
              <w:rPr>
                <w:rFonts w:hint="eastAsia" w:ascii="宋体" w:hAnsi="宋体" w:eastAsia="宋体" w:cs="宋体"/>
                <w:b/>
                <w:bCs/>
                <w:i w:val="0"/>
                <w:iCs w:val="0"/>
                <w:color w:val="000000"/>
                <w:sz w:val="24"/>
                <w:szCs w:val="24"/>
                <w:u w:val="none"/>
              </w:rPr>
            </w:pPr>
          </w:p>
        </w:tc>
        <w:tc>
          <w:tcPr>
            <w:tcW w:w="1054" w:type="dxa"/>
            <w:tcBorders>
              <w:top w:val="nil"/>
              <w:left w:val="nil"/>
              <w:bottom w:val="nil"/>
              <w:right w:val="nil"/>
            </w:tcBorders>
            <w:shd w:val="clear" w:color="auto" w:fill="auto"/>
            <w:noWrap/>
            <w:vAlign w:val="center"/>
          </w:tcPr>
          <w:p>
            <w:pPr>
              <w:keepNext w:val="0"/>
              <w:keepLines w:val="0"/>
              <w:widowControl/>
              <w:suppressLineNumbers w:val="0"/>
              <w:jc w:val="right"/>
              <w:textAlignment w:val="center"/>
              <w:rPr>
                <w:rFonts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15" w:hRule="atLeast"/>
        </w:trPr>
        <w:tc>
          <w:tcPr>
            <w:tcW w:w="5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实施单位名称</w:t>
            </w:r>
          </w:p>
        </w:tc>
        <w:tc>
          <w:tcPr>
            <w:tcW w:w="5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年度</w:t>
            </w:r>
          </w:p>
        </w:tc>
        <w:tc>
          <w:tcPr>
            <w:tcW w:w="253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预算批复资金</w:t>
            </w:r>
          </w:p>
        </w:tc>
        <w:tc>
          <w:tcPr>
            <w:tcW w:w="253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资金到位情况</w:t>
            </w:r>
          </w:p>
        </w:tc>
        <w:tc>
          <w:tcPr>
            <w:tcW w:w="7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实际支出</w:t>
            </w:r>
          </w:p>
        </w:tc>
        <w:tc>
          <w:tcPr>
            <w:tcW w:w="1536" w:type="dxa"/>
            <w:gridSpan w:val="4"/>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剩余资金</w:t>
            </w:r>
          </w:p>
        </w:tc>
        <w:tc>
          <w:tcPr>
            <w:tcW w:w="10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080" w:hRule="atLeast"/>
        </w:trPr>
        <w:tc>
          <w:tcPr>
            <w:tcW w:w="5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b/>
                <w:bCs/>
                <w:i w:val="0"/>
                <w:iCs w:val="0"/>
                <w:color w:val="000000"/>
                <w:sz w:val="24"/>
                <w:szCs w:val="24"/>
                <w:u w:val="none"/>
              </w:rPr>
            </w:pPr>
          </w:p>
        </w:tc>
        <w:tc>
          <w:tcPr>
            <w:tcW w:w="5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b/>
                <w:bCs/>
                <w:i w:val="0"/>
                <w:iCs w:val="0"/>
                <w:color w:val="000000"/>
                <w:sz w:val="24"/>
                <w:szCs w:val="24"/>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合计</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上级财政资金</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本级财政资金</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财政资金以外的其他资金</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合计</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上级财政资金</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本级财政资金</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财政资金以外的其他资金</w:t>
            </w:r>
          </w:p>
        </w:tc>
        <w:tc>
          <w:tcPr>
            <w:tcW w:w="7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b/>
                <w:bCs/>
                <w:i w:val="0"/>
                <w:iCs w:val="0"/>
                <w:color w:val="000000"/>
                <w:sz w:val="24"/>
                <w:szCs w:val="24"/>
                <w:u w:val="none"/>
              </w:rPr>
            </w:pP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合计</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项目尾款</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结余资金</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调整资金</w:t>
            </w:r>
          </w:p>
        </w:tc>
        <w:tc>
          <w:tcPr>
            <w:tcW w:w="10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080" w:hRule="atLeast"/>
        </w:trPr>
        <w:tc>
          <w:tcPr>
            <w:tcW w:w="52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疏附县木什乡人民政府</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2022</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519.36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519.36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0.00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0.00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519.36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519.36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0.00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0.00 </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519.36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10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080" w:hRule="atLeast"/>
        </w:trPr>
        <w:tc>
          <w:tcPr>
            <w:tcW w:w="52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合计</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仿宋" w:hAnsi="仿宋" w:eastAsia="仿宋" w:cs="仿宋"/>
                <w:b/>
                <w:bCs/>
                <w:i w:val="0"/>
                <w:iCs w:val="0"/>
                <w:color w:val="000000"/>
                <w:sz w:val="24"/>
                <w:szCs w:val="24"/>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519.36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519.36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519.36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519.36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7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519.36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3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c>
          <w:tcPr>
            <w:tcW w:w="10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 -   </w:t>
            </w:r>
          </w:p>
        </w:tc>
      </w:tr>
    </w:tbl>
    <w:p>
      <w:pPr>
        <w:pStyle w:val="2"/>
        <w:rPr>
          <w:rFonts w:hint="eastAsia" w:ascii="仿宋_GB2312" w:hAnsi="仿宋" w:eastAsia="仿宋_GB2312" w:cs="宋体"/>
          <w:sz w:val="32"/>
          <w:szCs w:val="32"/>
          <w:lang w:bidi="ar"/>
        </w:rPr>
        <w:sectPr>
          <w:pgSz w:w="16838" w:h="11906" w:orient="landscape"/>
          <w:pgMar w:top="1800" w:right="1440" w:bottom="1700" w:left="144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jc w:val="both"/>
        <w:rPr>
          <w:rFonts w:hint="eastAsia" w:ascii="Times New Roman" w:hAnsi="Times New Roman" w:eastAsia="仿宋_GB2312"/>
          <w:sz w:val="36"/>
          <w:szCs w:val="36"/>
        </w:rPr>
      </w:pPr>
      <w:r>
        <w:rPr>
          <w:rFonts w:hint="eastAsia" w:ascii="Times New Roman" w:hAnsi="Times New Roman" w:eastAsia="仿宋_GB2312" w:cs="仿宋"/>
          <w:sz w:val="28"/>
          <w:szCs w:val="28"/>
          <w:lang w:val="en-US" w:eastAsia="zh-CN"/>
        </w:rPr>
        <w:t>附件三</w:t>
      </w:r>
      <w:r>
        <w:rPr>
          <w:rFonts w:hint="eastAsia" w:ascii="Times New Roman" w:hAnsi="Times New Roman" w:eastAsia="仿宋_GB2312"/>
          <w:sz w:val="36"/>
          <w:szCs w:val="36"/>
        </w:rPr>
        <w:t xml:space="preserve"> </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仿宋_GB2312"/>
          <w:sz w:val="44"/>
          <w:szCs w:val="44"/>
          <w:lang w:val="en-US" w:eastAsia="zh-CN"/>
        </w:rPr>
      </w:pPr>
      <w:r>
        <w:rPr>
          <w:rFonts w:hint="eastAsia" w:ascii="Times New Roman" w:hAnsi="Times New Roman" w:eastAsia="仿宋_GB2312"/>
          <w:b/>
          <w:bCs/>
          <w:sz w:val="44"/>
          <w:szCs w:val="44"/>
          <w:lang w:eastAsia="zh-CN"/>
        </w:rPr>
        <w:t>疏附县木什乡易地扶贫搬迁产业发展项目（牛养殖小区）</w:t>
      </w:r>
      <w:r>
        <w:rPr>
          <w:rFonts w:hint="eastAsia" w:ascii="Times New Roman" w:hAnsi="Times New Roman" w:eastAsia="仿宋_GB2312"/>
          <w:b/>
          <w:bCs/>
          <w:sz w:val="44"/>
          <w:szCs w:val="44"/>
        </w:rPr>
        <w:t>绩效评价调查问卷</w:t>
      </w:r>
      <w:r>
        <w:rPr>
          <w:rFonts w:hint="eastAsia" w:ascii="Times New Roman" w:hAnsi="Times New Roman" w:eastAsia="仿宋_GB2312"/>
          <w:b/>
          <w:bCs/>
          <w:sz w:val="44"/>
          <w:szCs w:val="44"/>
          <w:lang w:val="en-US" w:eastAsia="zh-CN"/>
        </w:rPr>
        <w:t>统计表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仿宋_GB2312" w:cs="仿宋"/>
          <w:color w:val="000000"/>
          <w:kern w:val="0"/>
          <w:sz w:val="32"/>
          <w:szCs w:val="32"/>
          <w:lang w:bidi="ar"/>
        </w:rPr>
      </w:pPr>
      <w:r>
        <w:rPr>
          <w:rFonts w:hint="eastAsia" w:ascii="Times New Roman" w:hAnsi="Times New Roman" w:eastAsia="仿宋_GB2312" w:cs="仿宋"/>
          <w:color w:val="000000"/>
          <w:kern w:val="0"/>
          <w:sz w:val="32"/>
          <w:szCs w:val="32"/>
          <w:lang w:bidi="ar"/>
        </w:rPr>
        <w:t>为真实反映</w:t>
      </w:r>
      <w:r>
        <w:rPr>
          <w:rFonts w:hint="eastAsia" w:ascii="Times New Roman" w:hAnsi="Times New Roman" w:eastAsia="仿宋_GB2312" w:cs="仿宋"/>
          <w:color w:val="000000"/>
          <w:kern w:val="0"/>
          <w:sz w:val="32"/>
          <w:szCs w:val="32"/>
          <w:lang w:eastAsia="zh-CN" w:bidi="ar"/>
        </w:rPr>
        <w:t>疏附县木什乡易地扶贫搬迁产业发展项目（牛养殖小区）</w:t>
      </w:r>
      <w:r>
        <w:rPr>
          <w:rFonts w:hint="eastAsia" w:ascii="Times New Roman" w:hAnsi="Times New Roman" w:eastAsia="仿宋_GB2312" w:cs="仿宋"/>
          <w:color w:val="000000"/>
          <w:kern w:val="0"/>
          <w:sz w:val="32"/>
          <w:szCs w:val="32"/>
          <w:lang w:bidi="ar"/>
        </w:rPr>
        <w:t>支出绩效和受益人满意度情况，本次对</w:t>
      </w:r>
      <w:r>
        <w:rPr>
          <w:rFonts w:hint="eastAsia" w:ascii="Times New Roman" w:hAnsi="Times New Roman" w:eastAsia="仿宋_GB2312" w:cs="仿宋"/>
          <w:color w:val="000000"/>
          <w:kern w:val="0"/>
          <w:sz w:val="32"/>
          <w:szCs w:val="32"/>
          <w:lang w:eastAsia="zh-CN" w:bidi="ar"/>
        </w:rPr>
        <w:t>受益脱贫巩固人口满意度</w:t>
      </w:r>
      <w:r>
        <w:rPr>
          <w:rFonts w:hint="eastAsia" w:ascii="Times New Roman" w:hAnsi="Times New Roman" w:eastAsia="仿宋_GB2312" w:cs="仿宋"/>
          <w:color w:val="000000"/>
          <w:kern w:val="0"/>
          <w:sz w:val="32"/>
          <w:szCs w:val="32"/>
          <w:lang w:bidi="ar"/>
        </w:rPr>
        <w:t>进行问卷调查，回收有效问卷共计100份，回收率100%。主要反馈如下：</w:t>
      </w:r>
    </w:p>
    <w:tbl>
      <w:tblPr>
        <w:tblStyle w:val="19"/>
        <w:tblW w:w="8333" w:type="dxa"/>
        <w:jc w:val="center"/>
        <w:tblInd w:w="0" w:type="dxa"/>
        <w:tblLayout w:type="fixed"/>
        <w:tblCellMar>
          <w:top w:w="15" w:type="dxa"/>
          <w:left w:w="15" w:type="dxa"/>
          <w:bottom w:w="15" w:type="dxa"/>
          <w:right w:w="15" w:type="dxa"/>
        </w:tblCellMar>
      </w:tblPr>
      <w:tblGrid>
        <w:gridCol w:w="692"/>
        <w:gridCol w:w="2547"/>
        <w:gridCol w:w="1614"/>
        <w:gridCol w:w="1339"/>
        <w:gridCol w:w="2141"/>
      </w:tblGrid>
      <w:tr>
        <w:tblPrEx>
          <w:tblLayout w:type="fixed"/>
          <w:tblCellMar>
            <w:top w:w="15" w:type="dxa"/>
            <w:left w:w="15" w:type="dxa"/>
            <w:bottom w:w="15" w:type="dxa"/>
            <w:right w:w="15" w:type="dxa"/>
          </w:tblCellMar>
        </w:tblPrEx>
        <w:trPr>
          <w:trHeight w:val="283" w:hRule="atLeast"/>
          <w:jc w:val="center"/>
        </w:trPr>
        <w:tc>
          <w:tcPr>
            <w:tcW w:w="692"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序号</w:t>
            </w:r>
          </w:p>
          <w:p>
            <w:pPr>
              <w:jc w:val="center"/>
              <w:textAlignment w:val="center"/>
              <w:rPr>
                <w:rFonts w:ascii="Times New Roman" w:hAnsi="Times New Roman" w:eastAsia="仿宋_GB2312" w:cs="仿宋"/>
                <w:b/>
                <w:bCs/>
                <w:color w:val="000000"/>
                <w:sz w:val="24"/>
                <w:szCs w:val="24"/>
              </w:rPr>
            </w:pPr>
          </w:p>
        </w:tc>
        <w:tc>
          <w:tcPr>
            <w:tcW w:w="2547"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问题</w:t>
            </w:r>
          </w:p>
        </w:tc>
        <w:tc>
          <w:tcPr>
            <w:tcW w:w="2953" w:type="dxa"/>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回应情况</w:t>
            </w:r>
          </w:p>
        </w:tc>
        <w:tc>
          <w:tcPr>
            <w:tcW w:w="214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比例</w:t>
            </w:r>
          </w:p>
        </w:tc>
      </w:tr>
      <w:tr>
        <w:tblPrEx>
          <w:tblLayout w:type="fixed"/>
          <w:tblCellMar>
            <w:top w:w="15" w:type="dxa"/>
            <w:left w:w="15" w:type="dxa"/>
            <w:bottom w:w="15" w:type="dxa"/>
            <w:right w:w="15" w:type="dxa"/>
          </w:tblCellMar>
        </w:tblPrEx>
        <w:trPr>
          <w:trHeight w:val="524" w:hRule="atLeast"/>
          <w:jc w:val="center"/>
        </w:trPr>
        <w:tc>
          <w:tcPr>
            <w:tcW w:w="692" w:type="dxa"/>
            <w:vMerge w:val="continue"/>
            <w:tcBorders>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p>
        </w:tc>
        <w:tc>
          <w:tcPr>
            <w:tcW w:w="2547" w:type="dxa"/>
            <w:vMerge w:val="continue"/>
            <w:tcBorders>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p>
        </w:tc>
        <w:tc>
          <w:tcPr>
            <w:tcW w:w="1614" w:type="dxa"/>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回应1</w:t>
            </w:r>
          </w:p>
        </w:tc>
        <w:tc>
          <w:tcPr>
            <w:tcW w:w="1339" w:type="dxa"/>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回应2</w:t>
            </w:r>
          </w:p>
        </w:tc>
        <w:tc>
          <w:tcPr>
            <w:tcW w:w="2141" w:type="dxa"/>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b/>
                <w:bCs/>
                <w:color w:val="000000"/>
                <w:sz w:val="24"/>
                <w:szCs w:val="24"/>
              </w:rPr>
            </w:pPr>
            <w:r>
              <w:rPr>
                <w:rFonts w:hint="eastAsia" w:ascii="Times New Roman" w:hAnsi="Times New Roman" w:eastAsia="仿宋_GB2312" w:cs="仿宋"/>
                <w:b/>
                <w:bCs/>
                <w:color w:val="000000"/>
                <w:kern w:val="0"/>
                <w:sz w:val="24"/>
                <w:szCs w:val="24"/>
                <w:lang w:bidi="ar"/>
              </w:rPr>
              <w:t>回应1占比情况%</w:t>
            </w:r>
          </w:p>
        </w:tc>
      </w:tr>
      <w:tr>
        <w:tblPrEx>
          <w:tblLayout w:type="fixed"/>
          <w:tblCellMar>
            <w:top w:w="15" w:type="dxa"/>
            <w:left w:w="15" w:type="dxa"/>
            <w:bottom w:w="15" w:type="dxa"/>
            <w:right w:w="15" w:type="dxa"/>
          </w:tblCellMar>
        </w:tblPrEx>
        <w:trPr>
          <w:trHeight w:val="522" w:hRule="atLeast"/>
          <w:jc w:val="center"/>
        </w:trPr>
        <w:tc>
          <w:tcPr>
            <w:tcW w:w="69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ascii="Times New Roman" w:hAnsi="Times New Roman" w:eastAsia="仿宋_GB2312" w:cs="仿宋"/>
                <w:color w:val="000000"/>
                <w:kern w:val="0"/>
                <w:sz w:val="24"/>
                <w:szCs w:val="24"/>
                <w:lang w:bidi="ar"/>
              </w:rPr>
              <w:t>1</w:t>
            </w:r>
          </w:p>
        </w:tc>
        <w:tc>
          <w:tcPr>
            <w:tcW w:w="2547" w:type="dxa"/>
            <w:vMerge w:val="restart"/>
            <w:tcBorders>
              <w:top w:val="single" w:color="000000" w:sz="4" w:space="0"/>
              <w:left w:val="single" w:color="000000" w:sz="4" w:space="0"/>
              <w:right w:val="single" w:color="000000" w:sz="4" w:space="0"/>
            </w:tcBorders>
            <w:vAlign w:val="center"/>
          </w:tcPr>
          <w:p>
            <w:pPr>
              <w:widowControl/>
              <w:ind w:right="124" w:rightChars="59"/>
              <w:jc w:val="left"/>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GB2321"/>
                <w:sz w:val="24"/>
                <w:szCs w:val="24"/>
              </w:rPr>
              <w:t>您是否了解疏附县木什乡易地扶贫搬迁产业发展项目（牛养殖小区）？</w:t>
            </w: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sz w:val="24"/>
                <w:szCs w:val="24"/>
              </w:rPr>
              <w:t>是</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kern w:val="0"/>
                <w:sz w:val="24"/>
                <w:szCs w:val="24"/>
                <w:lang w:bidi="ar"/>
              </w:rPr>
              <w:t>否</w:t>
            </w:r>
          </w:p>
        </w:tc>
        <w:tc>
          <w:tcPr>
            <w:tcW w:w="2141"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kern w:val="0"/>
                <w:sz w:val="24"/>
                <w:szCs w:val="24"/>
                <w:lang w:val="en-US" w:eastAsia="zh-CN" w:bidi="ar"/>
              </w:rPr>
              <w:t>96</w:t>
            </w:r>
            <w:r>
              <w:rPr>
                <w:rFonts w:hint="eastAsia" w:ascii="Times New Roman" w:hAnsi="Times New Roman" w:eastAsia="仿宋_GB2312" w:cs="仿宋"/>
                <w:color w:val="000000"/>
                <w:kern w:val="0"/>
                <w:sz w:val="24"/>
                <w:szCs w:val="24"/>
                <w:lang w:bidi="ar"/>
              </w:rPr>
              <w:t>%</w:t>
            </w:r>
          </w:p>
        </w:tc>
      </w:tr>
      <w:tr>
        <w:tblPrEx>
          <w:tblLayout w:type="fixed"/>
          <w:tblCellMar>
            <w:top w:w="15" w:type="dxa"/>
            <w:left w:w="15" w:type="dxa"/>
            <w:bottom w:w="15" w:type="dxa"/>
            <w:right w:w="15" w:type="dxa"/>
          </w:tblCellMar>
        </w:tblPrEx>
        <w:trPr>
          <w:trHeight w:val="632" w:hRule="atLeast"/>
          <w:jc w:val="center"/>
        </w:trPr>
        <w:tc>
          <w:tcPr>
            <w:tcW w:w="69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eastAsia="仿宋_GB2312" w:cs="仿宋"/>
                <w:color w:val="000000"/>
                <w:sz w:val="24"/>
                <w:szCs w:val="24"/>
              </w:rPr>
            </w:pPr>
          </w:p>
        </w:tc>
        <w:tc>
          <w:tcPr>
            <w:tcW w:w="2547"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kern w:val="0"/>
                <w:sz w:val="24"/>
                <w:szCs w:val="24"/>
                <w:lang w:val="en-US" w:eastAsia="zh-CN" w:bidi="ar"/>
              </w:rPr>
              <w:t>96</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4</w:t>
            </w:r>
          </w:p>
        </w:tc>
        <w:tc>
          <w:tcPr>
            <w:tcW w:w="2141"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r>
      <w:tr>
        <w:tblPrEx>
          <w:tblLayout w:type="fixed"/>
          <w:tblCellMar>
            <w:top w:w="15" w:type="dxa"/>
            <w:left w:w="15" w:type="dxa"/>
            <w:bottom w:w="15" w:type="dxa"/>
            <w:right w:w="15" w:type="dxa"/>
          </w:tblCellMar>
        </w:tblPrEx>
        <w:trPr>
          <w:trHeight w:val="486" w:hRule="atLeast"/>
          <w:jc w:val="center"/>
        </w:trPr>
        <w:tc>
          <w:tcPr>
            <w:tcW w:w="69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ascii="Times New Roman" w:hAnsi="Times New Roman" w:eastAsia="仿宋_GB2312" w:cs="仿宋"/>
                <w:color w:val="000000"/>
                <w:kern w:val="0"/>
                <w:sz w:val="24"/>
                <w:szCs w:val="24"/>
                <w:lang w:bidi="ar"/>
              </w:rPr>
              <w:t>2</w:t>
            </w:r>
          </w:p>
        </w:tc>
        <w:tc>
          <w:tcPr>
            <w:tcW w:w="2547" w:type="dxa"/>
            <w:vMerge w:val="restart"/>
            <w:tcBorders>
              <w:top w:val="single" w:color="000000" w:sz="4" w:space="0"/>
              <w:left w:val="single" w:color="000000" w:sz="4" w:space="0"/>
              <w:right w:val="single" w:color="000000" w:sz="4" w:space="0"/>
            </w:tcBorders>
            <w:vAlign w:val="center"/>
          </w:tcPr>
          <w:p>
            <w:pP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GB2321"/>
                <w:sz w:val="24"/>
                <w:szCs w:val="24"/>
                <w:lang w:val="en-US" w:eastAsia="zh-CN"/>
              </w:rPr>
              <w:t>您是否是本项目的受益户？</w:t>
            </w: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kern w:val="0"/>
                <w:sz w:val="24"/>
                <w:szCs w:val="24"/>
                <w:lang w:bidi="ar"/>
              </w:rPr>
              <w:t>是</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否</w:t>
            </w:r>
          </w:p>
        </w:tc>
        <w:tc>
          <w:tcPr>
            <w:tcW w:w="2141"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kern w:val="0"/>
                <w:sz w:val="24"/>
                <w:szCs w:val="24"/>
                <w:lang w:val="en-US" w:eastAsia="zh-CN" w:bidi="ar"/>
              </w:rPr>
              <w:t>95</w:t>
            </w:r>
            <w:r>
              <w:rPr>
                <w:rFonts w:hint="eastAsia" w:ascii="Times New Roman" w:hAnsi="Times New Roman" w:eastAsia="仿宋_GB2312" w:cs="仿宋"/>
                <w:color w:val="000000"/>
                <w:kern w:val="0"/>
                <w:sz w:val="24"/>
                <w:szCs w:val="24"/>
                <w:lang w:bidi="ar"/>
              </w:rPr>
              <w:t>%</w:t>
            </w:r>
          </w:p>
        </w:tc>
      </w:tr>
      <w:tr>
        <w:tblPrEx>
          <w:tblLayout w:type="fixed"/>
          <w:tblCellMar>
            <w:top w:w="15" w:type="dxa"/>
            <w:left w:w="15" w:type="dxa"/>
            <w:bottom w:w="15" w:type="dxa"/>
            <w:right w:w="15" w:type="dxa"/>
          </w:tblCellMar>
        </w:tblPrEx>
        <w:trPr>
          <w:trHeight w:val="330" w:hRule="atLeast"/>
          <w:jc w:val="center"/>
        </w:trPr>
        <w:tc>
          <w:tcPr>
            <w:tcW w:w="69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eastAsia="仿宋_GB2312" w:cs="仿宋"/>
                <w:color w:val="000000"/>
                <w:sz w:val="24"/>
                <w:szCs w:val="24"/>
              </w:rPr>
            </w:pPr>
          </w:p>
        </w:tc>
        <w:tc>
          <w:tcPr>
            <w:tcW w:w="2547"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kern w:val="0"/>
                <w:sz w:val="24"/>
                <w:szCs w:val="24"/>
                <w:lang w:val="en-US" w:eastAsia="zh-CN" w:bidi="ar"/>
              </w:rPr>
              <w:t>95</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
                <w:color w:val="000000"/>
                <w:kern w:val="0"/>
                <w:sz w:val="24"/>
                <w:szCs w:val="24"/>
                <w:lang w:val="en-US" w:eastAsia="zh-CN" w:bidi="ar"/>
              </w:rPr>
              <w:t>5</w:t>
            </w:r>
          </w:p>
        </w:tc>
        <w:tc>
          <w:tcPr>
            <w:tcW w:w="2141"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r>
      <w:tr>
        <w:tblPrEx>
          <w:tblLayout w:type="fixed"/>
          <w:tblCellMar>
            <w:top w:w="15" w:type="dxa"/>
            <w:left w:w="15" w:type="dxa"/>
            <w:bottom w:w="15" w:type="dxa"/>
            <w:right w:w="15" w:type="dxa"/>
          </w:tblCellMar>
        </w:tblPrEx>
        <w:trPr>
          <w:trHeight w:val="666" w:hRule="atLeast"/>
          <w:jc w:val="center"/>
        </w:trPr>
        <w:tc>
          <w:tcPr>
            <w:tcW w:w="69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ascii="Times New Roman" w:hAnsi="Times New Roman" w:eastAsia="仿宋_GB2312" w:cs="仿宋"/>
                <w:color w:val="000000"/>
                <w:kern w:val="0"/>
                <w:sz w:val="24"/>
                <w:szCs w:val="24"/>
                <w:lang w:bidi="ar"/>
              </w:rPr>
              <w:t>3</w:t>
            </w:r>
          </w:p>
        </w:tc>
        <w:tc>
          <w:tcPr>
            <w:tcW w:w="2547" w:type="dxa"/>
            <w:vMerge w:val="restart"/>
            <w:tcBorders>
              <w:top w:val="single" w:color="000000" w:sz="4" w:space="0"/>
              <w:left w:val="single" w:color="000000" w:sz="4" w:space="0"/>
              <w:right w:val="single" w:color="000000" w:sz="4" w:space="0"/>
            </w:tcBorders>
            <w:vAlign w:val="center"/>
          </w:tcPr>
          <w:p>
            <w:pP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GB2321"/>
                <w:sz w:val="24"/>
                <w:szCs w:val="24"/>
                <w:lang w:val="en-US" w:eastAsia="zh-CN"/>
              </w:rPr>
              <w:t>本项目的实施是否带增加了就业人数？</w:t>
            </w: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是</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否</w:t>
            </w:r>
          </w:p>
        </w:tc>
        <w:tc>
          <w:tcPr>
            <w:tcW w:w="2141"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hint="eastAsia" w:ascii="Times New Roman" w:hAnsi="Times New Roman" w:eastAsia="仿宋_GB2312" w:cs="仿宋"/>
                <w:color w:val="000000"/>
                <w:kern w:val="0"/>
                <w:sz w:val="24"/>
                <w:szCs w:val="24"/>
                <w:lang w:val="en-US" w:eastAsia="zh-CN" w:bidi="ar"/>
              </w:rPr>
              <w:t>100</w:t>
            </w:r>
            <w:r>
              <w:rPr>
                <w:rFonts w:hint="eastAsia" w:ascii="Times New Roman" w:hAnsi="Times New Roman" w:eastAsia="仿宋_GB2312" w:cs="仿宋"/>
                <w:color w:val="000000"/>
                <w:kern w:val="0"/>
                <w:sz w:val="24"/>
                <w:szCs w:val="24"/>
                <w:lang w:bidi="ar"/>
              </w:rPr>
              <w:t>%</w:t>
            </w:r>
          </w:p>
        </w:tc>
      </w:tr>
      <w:tr>
        <w:tblPrEx>
          <w:tblLayout w:type="fixed"/>
          <w:tblCellMar>
            <w:top w:w="15" w:type="dxa"/>
            <w:left w:w="15" w:type="dxa"/>
            <w:bottom w:w="15" w:type="dxa"/>
            <w:right w:w="15" w:type="dxa"/>
          </w:tblCellMar>
        </w:tblPrEx>
        <w:trPr>
          <w:trHeight w:val="596" w:hRule="atLeast"/>
          <w:jc w:val="center"/>
        </w:trPr>
        <w:tc>
          <w:tcPr>
            <w:tcW w:w="69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eastAsia="仿宋_GB2312" w:cs="仿宋"/>
                <w:color w:val="000000"/>
                <w:sz w:val="24"/>
                <w:szCs w:val="24"/>
              </w:rPr>
            </w:pPr>
          </w:p>
        </w:tc>
        <w:tc>
          <w:tcPr>
            <w:tcW w:w="2547"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100</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0</w:t>
            </w:r>
          </w:p>
        </w:tc>
        <w:tc>
          <w:tcPr>
            <w:tcW w:w="2141" w:type="dxa"/>
            <w:vMerge w:val="continue"/>
            <w:tcBorders>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r>
      <w:tr>
        <w:tblPrEx>
          <w:tblLayout w:type="fixed"/>
          <w:tblCellMar>
            <w:top w:w="15" w:type="dxa"/>
            <w:left w:w="15" w:type="dxa"/>
            <w:bottom w:w="15" w:type="dxa"/>
            <w:right w:w="15" w:type="dxa"/>
          </w:tblCellMar>
        </w:tblPrEx>
        <w:trPr>
          <w:trHeight w:val="690" w:hRule="atLeast"/>
          <w:jc w:val="center"/>
        </w:trPr>
        <w:tc>
          <w:tcPr>
            <w:tcW w:w="69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ascii="Times New Roman" w:hAnsi="Times New Roman" w:eastAsia="仿宋_GB2312" w:cs="仿宋"/>
                <w:color w:val="000000"/>
                <w:kern w:val="0"/>
                <w:sz w:val="24"/>
                <w:szCs w:val="24"/>
                <w:lang w:bidi="ar"/>
              </w:rPr>
              <w:t>4</w:t>
            </w:r>
          </w:p>
        </w:tc>
        <w:tc>
          <w:tcPr>
            <w:tcW w:w="2547" w:type="dxa"/>
            <w:vMerge w:val="restart"/>
            <w:tcBorders>
              <w:top w:val="single" w:color="000000" w:sz="4" w:space="0"/>
              <w:left w:val="single" w:color="000000" w:sz="4" w:space="0"/>
              <w:right w:val="single" w:color="000000" w:sz="4" w:space="0"/>
            </w:tcBorders>
            <w:vAlign w:val="center"/>
          </w:tcPr>
          <w:p>
            <w:pP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GB2321"/>
                <w:sz w:val="24"/>
                <w:szCs w:val="24"/>
                <w:lang w:val="en-US" w:eastAsia="zh-CN"/>
              </w:rPr>
              <w:t>您对本项目的整体实施情况是否满意？</w:t>
            </w:r>
          </w:p>
        </w:tc>
        <w:tc>
          <w:tcPr>
            <w:tcW w:w="16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是</w:t>
            </w:r>
          </w:p>
        </w:tc>
        <w:tc>
          <w:tcPr>
            <w:tcW w:w="133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否</w:t>
            </w:r>
          </w:p>
        </w:tc>
        <w:tc>
          <w:tcPr>
            <w:tcW w:w="2141"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r>
              <w:rPr>
                <w:rFonts w:ascii="Times New Roman" w:hAnsi="Times New Roman" w:eastAsia="仿宋_GB2312" w:cs="仿宋"/>
                <w:color w:val="000000"/>
                <w:kern w:val="0"/>
                <w:sz w:val="24"/>
                <w:szCs w:val="24"/>
                <w:lang w:bidi="ar"/>
              </w:rPr>
              <w:t>9</w:t>
            </w:r>
            <w:r>
              <w:rPr>
                <w:rFonts w:hint="eastAsia" w:ascii="Times New Roman" w:hAnsi="Times New Roman" w:eastAsia="仿宋_GB2312" w:cs="仿宋"/>
                <w:color w:val="000000"/>
                <w:kern w:val="0"/>
                <w:sz w:val="24"/>
                <w:szCs w:val="24"/>
                <w:lang w:val="en-US" w:eastAsia="zh-CN" w:bidi="ar"/>
              </w:rPr>
              <w:t>5</w:t>
            </w:r>
            <w:r>
              <w:rPr>
                <w:rFonts w:hint="eastAsia" w:ascii="Times New Roman" w:hAnsi="Times New Roman" w:eastAsia="仿宋_GB2312" w:cs="仿宋"/>
                <w:color w:val="000000"/>
                <w:kern w:val="0"/>
                <w:sz w:val="24"/>
                <w:szCs w:val="24"/>
                <w:lang w:bidi="ar"/>
              </w:rPr>
              <w:t>%</w:t>
            </w:r>
          </w:p>
        </w:tc>
      </w:tr>
      <w:tr>
        <w:tblPrEx>
          <w:tblLayout w:type="fixed"/>
          <w:tblCellMar>
            <w:top w:w="15" w:type="dxa"/>
            <w:left w:w="15" w:type="dxa"/>
            <w:bottom w:w="15" w:type="dxa"/>
            <w:right w:w="15" w:type="dxa"/>
          </w:tblCellMar>
        </w:tblPrEx>
        <w:trPr>
          <w:trHeight w:val="626" w:hRule="atLeast"/>
          <w:jc w:val="center"/>
        </w:trPr>
        <w:tc>
          <w:tcPr>
            <w:tcW w:w="692" w:type="dxa"/>
            <w:vMerge w:val="continue"/>
            <w:tcBorders>
              <w:top w:val="single" w:color="000000" w:sz="4" w:space="0"/>
              <w:left w:val="single" w:color="000000" w:sz="4" w:space="0"/>
              <w:bottom w:val="single" w:color="auto" w:sz="4" w:space="0"/>
              <w:right w:val="single" w:color="000000" w:sz="4" w:space="0"/>
            </w:tcBorders>
            <w:vAlign w:val="center"/>
          </w:tcPr>
          <w:p>
            <w:pPr>
              <w:jc w:val="center"/>
              <w:rPr>
                <w:rFonts w:ascii="Times New Roman" w:hAnsi="Times New Roman" w:eastAsia="仿宋_GB2312" w:cs="仿宋"/>
                <w:color w:val="000000"/>
                <w:sz w:val="24"/>
                <w:szCs w:val="24"/>
              </w:rPr>
            </w:pPr>
          </w:p>
        </w:tc>
        <w:tc>
          <w:tcPr>
            <w:tcW w:w="2547" w:type="dxa"/>
            <w:vMerge w:val="continue"/>
            <w:tcBorders>
              <w:left w:val="single" w:color="000000" w:sz="4" w:space="0"/>
              <w:bottom w:val="single" w:color="auto"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c>
          <w:tcPr>
            <w:tcW w:w="1614" w:type="dxa"/>
            <w:tcBorders>
              <w:top w:val="single" w:color="000000" w:sz="4" w:space="0"/>
              <w:left w:val="single" w:color="000000" w:sz="4" w:space="0"/>
              <w:bottom w:val="single" w:color="auto" w:sz="4" w:space="0"/>
              <w:right w:val="single" w:color="000000" w:sz="4" w:space="0"/>
            </w:tcBorders>
            <w:vAlign w:val="center"/>
          </w:tcPr>
          <w:p>
            <w:pPr>
              <w:widowControl/>
              <w:jc w:val="center"/>
              <w:textAlignment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95</w:t>
            </w:r>
          </w:p>
        </w:tc>
        <w:tc>
          <w:tcPr>
            <w:tcW w:w="1339" w:type="dxa"/>
            <w:tcBorders>
              <w:top w:val="single" w:color="000000" w:sz="4" w:space="0"/>
              <w:left w:val="single" w:color="000000" w:sz="4" w:space="0"/>
              <w:bottom w:val="single" w:color="auto" w:sz="4" w:space="0"/>
              <w:right w:val="single" w:color="000000" w:sz="4" w:space="0"/>
            </w:tcBorders>
            <w:vAlign w:val="center"/>
          </w:tcPr>
          <w:p>
            <w:pPr>
              <w:widowControl/>
              <w:jc w:val="center"/>
              <w:textAlignment w:val="cente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
                <w:color w:val="000000"/>
                <w:kern w:val="0"/>
                <w:sz w:val="24"/>
                <w:szCs w:val="24"/>
                <w:lang w:val="en-US" w:eastAsia="zh-CN" w:bidi="ar"/>
              </w:rPr>
              <w:t>5</w:t>
            </w:r>
          </w:p>
        </w:tc>
        <w:tc>
          <w:tcPr>
            <w:tcW w:w="2141" w:type="dxa"/>
            <w:vMerge w:val="continue"/>
            <w:tcBorders>
              <w:left w:val="single" w:color="000000" w:sz="4" w:space="0"/>
              <w:bottom w:val="single" w:color="auto" w:sz="4" w:space="0"/>
              <w:right w:val="single" w:color="000000" w:sz="4" w:space="0"/>
            </w:tcBorders>
            <w:vAlign w:val="center"/>
          </w:tcPr>
          <w:p>
            <w:pPr>
              <w:widowControl/>
              <w:jc w:val="center"/>
              <w:textAlignment w:val="center"/>
              <w:rPr>
                <w:rFonts w:ascii="Times New Roman" w:hAnsi="Times New Roman" w:eastAsia="仿宋_GB2312" w:cs="仿宋"/>
                <w:color w:val="000000"/>
                <w:sz w:val="24"/>
                <w:szCs w:val="24"/>
              </w:rPr>
            </w:pPr>
          </w:p>
        </w:tc>
      </w:tr>
      <w:tr>
        <w:tblPrEx>
          <w:tblLayout w:type="fixed"/>
          <w:tblCellMar>
            <w:top w:w="15" w:type="dxa"/>
            <w:left w:w="15" w:type="dxa"/>
            <w:bottom w:w="15" w:type="dxa"/>
            <w:right w:w="15" w:type="dxa"/>
          </w:tblCellMar>
        </w:tblPrEx>
        <w:trPr>
          <w:trHeight w:val="440" w:hRule="atLeast"/>
          <w:jc w:val="center"/>
        </w:trPr>
        <w:tc>
          <w:tcPr>
            <w:tcW w:w="692"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5</w:t>
            </w:r>
          </w:p>
        </w:tc>
        <w:tc>
          <w:tcPr>
            <w:tcW w:w="2547" w:type="dxa"/>
            <w:vMerge w:val="restart"/>
            <w:tcBorders>
              <w:top w:val="single" w:color="auto" w:sz="4" w:space="0"/>
              <w:left w:val="single" w:color="auto" w:sz="4" w:space="0"/>
              <w:bottom w:val="single" w:color="auto" w:sz="4" w:space="0"/>
              <w:right w:val="single" w:color="auto" w:sz="4" w:space="0"/>
            </w:tcBorders>
            <w:vAlign w:val="center"/>
          </w:tcPr>
          <w:p>
            <w:pPr>
              <w:widowControl/>
              <w:jc w:val="left"/>
              <w:textAlignment w:val="center"/>
              <w:rPr>
                <w:rFonts w:ascii="Times New Roman" w:hAnsi="Times New Roman" w:eastAsia="仿宋_GB2312" w:cs="仿宋-GB2321"/>
                <w:sz w:val="24"/>
                <w:szCs w:val="24"/>
              </w:rPr>
            </w:pPr>
            <w:r>
              <w:rPr>
                <w:rFonts w:hint="eastAsia" w:ascii="Times New Roman" w:hAnsi="Times New Roman" w:eastAsia="仿宋_GB2312" w:cs="仿宋-GB2321"/>
                <w:sz w:val="24"/>
                <w:szCs w:val="24"/>
                <w:lang w:eastAsia="zh-CN"/>
              </w:rPr>
              <w:t>您对该项目的实施</w:t>
            </w:r>
            <w:r>
              <w:rPr>
                <w:rFonts w:hint="eastAsia" w:ascii="Times New Roman" w:hAnsi="Times New Roman" w:eastAsia="仿宋_GB2312" w:cs="仿宋-GB2321"/>
                <w:sz w:val="24"/>
                <w:szCs w:val="24"/>
                <w:lang w:val="en-US" w:eastAsia="zh-CN"/>
              </w:rPr>
              <w:t>效果</w:t>
            </w:r>
            <w:r>
              <w:rPr>
                <w:rFonts w:hint="eastAsia" w:ascii="Times New Roman" w:hAnsi="Times New Roman" w:eastAsia="仿宋_GB2312" w:cs="仿宋-GB2321"/>
                <w:sz w:val="24"/>
                <w:szCs w:val="24"/>
                <w:lang w:eastAsia="zh-CN"/>
              </w:rPr>
              <w:t>是否满意</w:t>
            </w:r>
            <w:r>
              <w:rPr>
                <w:rFonts w:hint="eastAsia" w:ascii="Times New Roman" w:hAnsi="Times New Roman" w:eastAsia="仿宋_GB2312" w:cs="仿宋-GB2321"/>
                <w:sz w:val="24"/>
                <w:szCs w:val="24"/>
              </w:rPr>
              <w:t>？</w:t>
            </w:r>
          </w:p>
        </w:tc>
        <w:tc>
          <w:tcPr>
            <w:tcW w:w="1614"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hint="default" w:ascii="Times New Roman" w:hAnsi="Times New Roman" w:eastAsia="仿宋_GB2312" w:cs="仿宋-GB2321"/>
                <w:sz w:val="24"/>
                <w:szCs w:val="24"/>
                <w:lang w:val="en-US" w:eastAsia="zh-CN"/>
              </w:rPr>
            </w:pPr>
            <w:r>
              <w:rPr>
                <w:rFonts w:hint="eastAsia" w:ascii="Times New Roman" w:hAnsi="Times New Roman" w:eastAsia="仿宋_GB2312" w:cs="仿宋-GB2321"/>
                <w:sz w:val="24"/>
                <w:szCs w:val="24"/>
                <w:lang w:val="en-US" w:eastAsia="zh-CN"/>
              </w:rPr>
              <w:t>满意</w:t>
            </w:r>
          </w:p>
        </w:tc>
        <w:tc>
          <w:tcPr>
            <w:tcW w:w="133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hint="eastAsia"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不满意</w:t>
            </w:r>
          </w:p>
        </w:tc>
        <w:tc>
          <w:tcPr>
            <w:tcW w:w="2141" w:type="dxa"/>
            <w:vMerge w:val="restart"/>
            <w:tcBorders>
              <w:top w:val="single" w:color="auto" w:sz="4" w:space="0"/>
              <w:left w:val="single" w:color="auto" w:sz="4" w:space="0"/>
              <w:right w:val="single" w:color="auto" w:sz="4" w:space="0"/>
            </w:tcBorders>
            <w:vAlign w:val="center"/>
          </w:tcPr>
          <w:p>
            <w:pPr>
              <w:jc w:val="center"/>
              <w:rPr>
                <w:rFonts w:hint="default" w:ascii="Times New Roman" w:hAnsi="Times New Roman" w:eastAsia="仿宋_GB2312" w:cs="仿宋"/>
                <w:color w:val="000000"/>
                <w:sz w:val="24"/>
                <w:szCs w:val="24"/>
                <w:lang w:val="en-US" w:eastAsia="zh-CN"/>
              </w:rPr>
            </w:pPr>
            <w:r>
              <w:rPr>
                <w:rFonts w:hint="eastAsia" w:ascii="Times New Roman" w:hAnsi="Times New Roman" w:eastAsia="仿宋_GB2312" w:cs="仿宋"/>
                <w:color w:val="000000"/>
                <w:sz w:val="24"/>
                <w:szCs w:val="24"/>
                <w:lang w:val="en-US" w:eastAsia="zh-CN"/>
              </w:rPr>
              <w:t>95%</w:t>
            </w:r>
          </w:p>
        </w:tc>
      </w:tr>
      <w:tr>
        <w:tblPrEx>
          <w:tblLayout w:type="fixed"/>
          <w:tblCellMar>
            <w:top w:w="15" w:type="dxa"/>
            <w:left w:w="15" w:type="dxa"/>
            <w:bottom w:w="15" w:type="dxa"/>
            <w:right w:w="15" w:type="dxa"/>
          </w:tblCellMar>
        </w:tblPrEx>
        <w:trPr>
          <w:trHeight w:val="412" w:hRule="atLeast"/>
          <w:jc w:val="center"/>
        </w:trPr>
        <w:tc>
          <w:tcPr>
            <w:tcW w:w="692"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仿宋_GB2312" w:cs="仿宋"/>
                <w:color w:val="000000"/>
                <w:sz w:val="24"/>
                <w:szCs w:val="24"/>
              </w:rPr>
            </w:pPr>
          </w:p>
        </w:tc>
        <w:tc>
          <w:tcPr>
            <w:tcW w:w="2547"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仿宋_GB2312" w:cs="仿宋"/>
                <w:color w:val="000000"/>
                <w:sz w:val="24"/>
                <w:szCs w:val="24"/>
              </w:rPr>
            </w:pPr>
          </w:p>
        </w:tc>
        <w:tc>
          <w:tcPr>
            <w:tcW w:w="1614" w:type="dxa"/>
            <w:tcBorders>
              <w:top w:val="single" w:color="auto" w:sz="4" w:space="0"/>
              <w:left w:val="single" w:color="auto" w:sz="4" w:space="0"/>
              <w:bottom w:val="single" w:color="auto" w:sz="4" w:space="0"/>
              <w:right w:val="single" w:color="auto" w:sz="4" w:space="0"/>
            </w:tcBorders>
            <w:vAlign w:val="center"/>
          </w:tcPr>
          <w:p>
            <w:pPr>
              <w:widowControl/>
              <w:tabs>
                <w:tab w:val="left" w:pos="325"/>
              </w:tabs>
              <w:jc w:val="center"/>
              <w:textAlignment w:val="center"/>
              <w:rPr>
                <w:rFonts w:hint="default" w:ascii="Times New Roman" w:hAnsi="Times New Roman" w:eastAsia="仿宋_GB2312" w:cs="仿宋"/>
                <w:color w:val="000000"/>
                <w:sz w:val="24"/>
                <w:szCs w:val="24"/>
                <w:lang w:val="en-US"/>
              </w:rPr>
            </w:pPr>
            <w:r>
              <w:rPr>
                <w:rFonts w:hint="eastAsia" w:ascii="Times New Roman" w:hAnsi="Times New Roman" w:eastAsia="仿宋_GB2312" w:cs="仿宋"/>
                <w:color w:val="000000"/>
                <w:kern w:val="0"/>
                <w:sz w:val="24"/>
                <w:szCs w:val="24"/>
                <w:lang w:val="en-US" w:eastAsia="zh-CN" w:bidi="ar"/>
              </w:rPr>
              <w:t>95</w:t>
            </w:r>
          </w:p>
        </w:tc>
        <w:tc>
          <w:tcPr>
            <w:tcW w:w="133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hint="eastAsia" w:ascii="Times New Roman" w:hAnsi="Times New Roman" w:eastAsia="仿宋_GB2312" w:cs="仿宋"/>
                <w:color w:val="000000"/>
                <w:sz w:val="24"/>
                <w:szCs w:val="24"/>
                <w:lang w:eastAsia="zh-CN"/>
              </w:rPr>
            </w:pPr>
            <w:r>
              <w:rPr>
                <w:rFonts w:hint="eastAsia" w:ascii="Times New Roman" w:hAnsi="Times New Roman" w:eastAsia="仿宋_GB2312" w:cs="仿宋"/>
                <w:color w:val="000000"/>
                <w:kern w:val="0"/>
                <w:sz w:val="24"/>
                <w:szCs w:val="24"/>
                <w:lang w:val="en-US" w:eastAsia="zh-CN" w:bidi="ar"/>
              </w:rPr>
              <w:t>5</w:t>
            </w:r>
          </w:p>
        </w:tc>
        <w:tc>
          <w:tcPr>
            <w:tcW w:w="2141" w:type="dxa"/>
            <w:vMerge w:val="continue"/>
            <w:tcBorders>
              <w:left w:val="single" w:color="auto" w:sz="4" w:space="0"/>
              <w:bottom w:val="single" w:color="auto" w:sz="4" w:space="0"/>
              <w:right w:val="single" w:color="auto" w:sz="4" w:space="0"/>
            </w:tcBorders>
            <w:vAlign w:val="center"/>
          </w:tcPr>
          <w:p>
            <w:pPr>
              <w:jc w:val="center"/>
              <w:rPr>
                <w:rFonts w:hint="default" w:ascii="Times New Roman" w:hAnsi="Times New Roman" w:eastAsia="仿宋_GB2312" w:cs="仿宋"/>
                <w:color w:val="000000"/>
                <w:sz w:val="24"/>
                <w:szCs w:val="24"/>
                <w:lang w:val="en-US" w:eastAsia="zh-CN"/>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仿宋_GB2312" w:cs="仿宋"/>
          <w:color w:val="000000"/>
          <w:kern w:val="0"/>
          <w:sz w:val="32"/>
          <w:szCs w:val="32"/>
          <w:lang w:bidi="ar"/>
        </w:rPr>
      </w:pPr>
      <w:r>
        <w:rPr>
          <w:rFonts w:hint="eastAsia" w:ascii="Times New Roman" w:hAnsi="Times New Roman" w:eastAsia="仿宋_GB2312" w:cs="仿宋"/>
          <w:color w:val="000000"/>
          <w:kern w:val="0"/>
          <w:sz w:val="32"/>
          <w:szCs w:val="32"/>
          <w:lang w:bidi="ar"/>
        </w:rPr>
        <w:t>上述结果显示，</w:t>
      </w:r>
      <w:r>
        <w:rPr>
          <w:rFonts w:hint="eastAsia" w:ascii="Times New Roman" w:hAnsi="Times New Roman" w:eastAsia="仿宋_GB2312" w:cs="仿宋"/>
          <w:color w:val="000000"/>
          <w:kern w:val="0"/>
          <w:sz w:val="32"/>
          <w:szCs w:val="32"/>
          <w:lang w:val="en-US" w:eastAsia="zh-CN" w:bidi="ar"/>
        </w:rPr>
        <w:t>受益群众对</w:t>
      </w:r>
      <w:r>
        <w:rPr>
          <w:rFonts w:hint="eastAsia" w:ascii="Times New Roman" w:hAnsi="Times New Roman" w:eastAsia="仿宋_GB2312" w:cs="仿宋"/>
          <w:color w:val="000000"/>
          <w:kern w:val="0"/>
          <w:sz w:val="32"/>
          <w:szCs w:val="32"/>
          <w:lang w:eastAsia="zh-CN" w:bidi="ar"/>
        </w:rPr>
        <w:t>疏附县托克扎克镇4村（自治区重点示范村）示范创建项目</w:t>
      </w:r>
      <w:r>
        <w:rPr>
          <w:rFonts w:hint="eastAsia" w:ascii="Times New Roman" w:hAnsi="Times New Roman" w:eastAsia="仿宋_GB2312" w:cs="仿宋"/>
          <w:color w:val="000000"/>
          <w:kern w:val="0"/>
          <w:sz w:val="32"/>
          <w:szCs w:val="32"/>
          <w:lang w:bidi="ar"/>
        </w:rPr>
        <w:t>实施情况总体是满意的。此次满意度调查仅从“受益已脱贫人口满意度”考核，满意度达</w:t>
      </w:r>
      <w:r>
        <w:rPr>
          <w:rFonts w:hint="eastAsia" w:ascii="Times New Roman" w:hAnsi="Times New Roman" w:eastAsia="仿宋_GB2312" w:cs="仿宋"/>
          <w:color w:val="000000"/>
          <w:kern w:val="0"/>
          <w:sz w:val="32"/>
          <w:szCs w:val="32"/>
          <w:lang w:val="en-US" w:eastAsia="zh-CN" w:bidi="ar"/>
        </w:rPr>
        <w:t>到了</w:t>
      </w:r>
      <w:r>
        <w:rPr>
          <w:rFonts w:hint="eastAsia" w:ascii="Times New Roman" w:hAnsi="Times New Roman" w:eastAsia="仿宋_GB2312" w:cs="仿宋"/>
          <w:color w:val="000000"/>
          <w:kern w:val="0"/>
          <w:sz w:val="32"/>
          <w:szCs w:val="32"/>
          <w:lang w:bidi="ar"/>
        </w:rPr>
        <w:t>9</w:t>
      </w:r>
      <w:r>
        <w:rPr>
          <w:rFonts w:hint="eastAsia" w:ascii="Times New Roman" w:hAnsi="Times New Roman" w:eastAsia="仿宋_GB2312" w:cs="仿宋"/>
          <w:color w:val="000000"/>
          <w:kern w:val="0"/>
          <w:sz w:val="32"/>
          <w:szCs w:val="32"/>
          <w:lang w:val="en-US" w:eastAsia="zh-CN" w:bidi="ar"/>
        </w:rPr>
        <w:t>5</w:t>
      </w:r>
      <w:r>
        <w:rPr>
          <w:rFonts w:hint="eastAsia" w:ascii="Times New Roman" w:hAnsi="Times New Roman" w:eastAsia="仿宋_GB2312" w:cs="仿宋"/>
          <w:color w:val="000000"/>
          <w:kern w:val="0"/>
          <w:sz w:val="32"/>
          <w:szCs w:val="32"/>
          <w:lang w:bidi="ar"/>
        </w:rPr>
        <w:t>%。</w:t>
      </w:r>
    </w:p>
    <w:p>
      <w:pPr>
        <w:pStyle w:val="2"/>
        <w:rPr>
          <w:rFonts w:hint="eastAsia" w:ascii="仿宋_GB2312" w:hAnsi="仿宋" w:eastAsia="仿宋_GB2312" w:cs="宋体"/>
          <w:sz w:val="32"/>
          <w:szCs w:val="32"/>
          <w:lang w:bidi="ar"/>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742AF5D-3513-4676-8CBC-FE9B16375BC5}"/>
  </w:font>
  <w:font w:name="Arial">
    <w:panose1 w:val="020B0604020202020204"/>
    <w:charset w:val="01"/>
    <w:family w:val="swiss"/>
    <w:pitch w:val="default"/>
    <w:sig w:usb0="E0002AFF" w:usb1="C0007843" w:usb2="00000009" w:usb3="00000000" w:csb0="400001FF" w:csb1="FFFF0000"/>
    <w:embedRegular r:id="rId2" w:fontKey="{A7E39602-FDE9-452C-9AA6-C3A7250C5D63}"/>
  </w:font>
  <w:font w:name="黑体">
    <w:panose1 w:val="02010609060101010101"/>
    <w:charset w:val="86"/>
    <w:family w:val="auto"/>
    <w:pitch w:val="default"/>
    <w:sig w:usb0="800002BF" w:usb1="38CF7CFA" w:usb2="00000016" w:usb3="00000000" w:csb0="00040001" w:csb1="00000000"/>
    <w:embedRegular r:id="rId3" w:fontKey="{7E9F7E7B-F88A-4901-A45A-288C40DBCB4D}"/>
  </w:font>
  <w:font w:name="Courier New">
    <w:panose1 w:val="02070309020205020404"/>
    <w:charset w:val="01"/>
    <w:family w:val="modern"/>
    <w:pitch w:val="default"/>
    <w:sig w:usb0="E0002AFF" w:usb1="C0007843" w:usb2="00000009" w:usb3="00000000" w:csb0="400001FF" w:csb1="FFFF0000"/>
    <w:embedRegular r:id="rId4" w:fontKey="{E4B22C26-F49F-4A71-AB13-9412E2B086ED}"/>
  </w:font>
  <w:font w:name="Symbol">
    <w:panose1 w:val="05050102010706020507"/>
    <w:charset w:val="02"/>
    <w:family w:val="roman"/>
    <w:pitch w:val="default"/>
    <w:sig w:usb0="00000000" w:usb1="00000000" w:usb2="00000000" w:usb3="00000000" w:csb0="80000000" w:csb1="00000000"/>
    <w:embedRegular r:id="rId5" w:fontKey="{3CF56F91-BBB4-4935-A6F4-A4CF0F326140}"/>
  </w:font>
  <w:font w:name="Calibri">
    <w:panose1 w:val="020F0502020204030204"/>
    <w:charset w:val="00"/>
    <w:family w:val="swiss"/>
    <w:pitch w:val="default"/>
    <w:sig w:usb0="E00002FF" w:usb1="4000ACFF" w:usb2="00000001" w:usb3="00000000" w:csb0="2000019F" w:csb1="00000000"/>
    <w:embedRegular r:id="rId6" w:fontKey="{8175FDB9-3B44-4AB2-B218-B746134F8E0D}"/>
  </w:font>
  <w:font w:name="仿宋">
    <w:panose1 w:val="02010609060101010101"/>
    <w:charset w:val="86"/>
    <w:family w:val="modern"/>
    <w:pitch w:val="default"/>
    <w:sig w:usb0="800002BF" w:usb1="38CF7CFA" w:usb2="00000016" w:usb3="00000000" w:csb0="00040001" w:csb1="00000000"/>
    <w:embedRegular r:id="rId7" w:fontKey="{CA499A46-5EB5-48C3-A27E-4E04321C6A9A}"/>
  </w:font>
  <w:font w:name="Cambria">
    <w:panose1 w:val="02040503050406030204"/>
    <w:charset w:val="00"/>
    <w:family w:val="roman"/>
    <w:pitch w:val="default"/>
    <w:sig w:usb0="E00002FF" w:usb1="400004FF" w:usb2="00000000" w:usb3="00000000" w:csb0="2000019F" w:csb1="00000000"/>
    <w:embedRegular r:id="rId8" w:fontKey="{8928997E-499C-42CE-A94E-16096EB92340}"/>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0" w:usb1="00000000" w:usb2="00000000" w:usb3="00000000" w:csb0="00000000" w:csb1="00000000"/>
    <w:embedRegular r:id="rId9" w:fontKey="{CFB12B9C-4AD4-4245-A427-3584A9348CFA}"/>
  </w:font>
  <w:font w:name="微软雅黑">
    <w:panose1 w:val="020B0503020204020204"/>
    <w:charset w:val="86"/>
    <w:family w:val="auto"/>
    <w:pitch w:val="default"/>
    <w:sig w:usb0="80000287" w:usb1="280F3C52" w:usb2="00000016" w:usb3="00000000" w:csb0="0004001F" w:csb1="00000000"/>
    <w:embedRegular r:id="rId10" w:fontKey="{99D37BD3-9CAD-4A1F-BE36-EBE93F3BCF77}"/>
  </w:font>
  <w:font w:name="方正黑体_GBK">
    <w:panose1 w:val="03000509000000000000"/>
    <w:charset w:val="86"/>
    <w:family w:val="auto"/>
    <w:pitch w:val="default"/>
    <w:sig w:usb0="00000000" w:usb1="00000000" w:usb2="00000000" w:usb3="00000000" w:csb0="00000000" w:csb1="00000000"/>
    <w:embedRegular r:id="rId11" w:fontKey="{6A998BC1-A169-4250-90FB-952F13C01D6B}"/>
  </w:font>
  <w:font w:name="方正楷体_GBK">
    <w:panose1 w:val="03000509000000000000"/>
    <w:charset w:val="86"/>
    <w:family w:val="auto"/>
    <w:pitch w:val="default"/>
    <w:sig w:usb0="00000000" w:usb1="00000000" w:usb2="00000000" w:usb3="00000000" w:csb0="00000000" w:csb1="00000000"/>
    <w:embedRegular r:id="rId12" w:fontKey="{52F01525-CB37-42EB-B67C-1A7AAAD81D53}"/>
  </w:font>
  <w:font w:name="方正仿宋_GBK">
    <w:panose1 w:val="03000509000000000000"/>
    <w:charset w:val="86"/>
    <w:family w:val="auto"/>
    <w:pitch w:val="default"/>
    <w:sig w:usb0="00000000" w:usb1="00000000" w:usb2="00000000" w:usb3="00000000" w:csb0="00000000" w:csb1="00000000"/>
    <w:embedRegular r:id="rId13" w:fontKey="{2EC5DD75-42AB-4A8B-95DC-335C8593A111}"/>
  </w:font>
  <w:font w:name="楷体">
    <w:panose1 w:val="02010609060101010101"/>
    <w:charset w:val="86"/>
    <w:family w:val="modern"/>
    <w:pitch w:val="default"/>
    <w:sig w:usb0="800002BF" w:usb1="38CF7CFA" w:usb2="00000016" w:usb3="00000000" w:csb0="00040001" w:csb1="00000000"/>
    <w:embedRegular r:id="rId14" w:fontKey="{7B6904B6-314F-43F7-85B4-653A2C0DF306}"/>
  </w:font>
  <w:font w:name="仿宋-GB2321">
    <w:altName w:val="仿宋_GB2312"/>
    <w:panose1 w:val="00000000000000000000"/>
    <w:charset w:val="00"/>
    <w:family w:val="auto"/>
    <w:pitch w:val="default"/>
    <w:sig w:usb0="00000000" w:usb1="00000000" w:usb2="00000000" w:usb3="00000000" w:csb0="00000000"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dBVQXRQCAAAVBAAADgAAAAAAAAAB&#10;ACAAAAAfAQAAZHJzL2Uyb0RvYy54bWxQSwUGAAAAAAYABgBZAQAApQ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E8DA9C4C"/>
    <w:multiLevelType w:val="singleLevel"/>
    <w:tmpl w:val="E8DA9C4C"/>
    <w:lvl w:ilvl="0" w:tentative="0">
      <w:start w:val="5"/>
      <w:numFmt w:val="chineseCounting"/>
      <w:suff w:val="nothing"/>
      <w:lvlText w:val="（%1）"/>
      <w:lvlJc w:val="left"/>
      <w:rPr>
        <w:rFonts w:hint="eastAsia"/>
      </w:rPr>
    </w:lvl>
  </w:abstractNum>
  <w:abstractNum w:abstractNumId="2">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4"/>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3MzRmNmFmY2Q2MTIxMWY3MzBkZTNiMWU2OTU2OWM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3B"/>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564138"/>
    <w:rsid w:val="017A1376"/>
    <w:rsid w:val="019C1042"/>
    <w:rsid w:val="01D63D89"/>
    <w:rsid w:val="01D976F9"/>
    <w:rsid w:val="01DB05CA"/>
    <w:rsid w:val="0213141D"/>
    <w:rsid w:val="02561541"/>
    <w:rsid w:val="02C624B1"/>
    <w:rsid w:val="02DB5D26"/>
    <w:rsid w:val="02E24B65"/>
    <w:rsid w:val="031B4FD7"/>
    <w:rsid w:val="03384BB1"/>
    <w:rsid w:val="033B3541"/>
    <w:rsid w:val="036247BD"/>
    <w:rsid w:val="03685B95"/>
    <w:rsid w:val="03A17C2D"/>
    <w:rsid w:val="03C9420E"/>
    <w:rsid w:val="03EC6EBA"/>
    <w:rsid w:val="03EE2230"/>
    <w:rsid w:val="03F45E22"/>
    <w:rsid w:val="041E04D2"/>
    <w:rsid w:val="043C33BD"/>
    <w:rsid w:val="043F0DA3"/>
    <w:rsid w:val="045545F7"/>
    <w:rsid w:val="04654116"/>
    <w:rsid w:val="04A406D7"/>
    <w:rsid w:val="04BC5076"/>
    <w:rsid w:val="04DD3CEE"/>
    <w:rsid w:val="050444BD"/>
    <w:rsid w:val="050B297C"/>
    <w:rsid w:val="05403880"/>
    <w:rsid w:val="05466AD0"/>
    <w:rsid w:val="057D1D75"/>
    <w:rsid w:val="05AE6F6A"/>
    <w:rsid w:val="0636723D"/>
    <w:rsid w:val="063F521C"/>
    <w:rsid w:val="06766A33"/>
    <w:rsid w:val="068D2C76"/>
    <w:rsid w:val="06D21523"/>
    <w:rsid w:val="07204668"/>
    <w:rsid w:val="072D56D3"/>
    <w:rsid w:val="073076D9"/>
    <w:rsid w:val="0746614E"/>
    <w:rsid w:val="07722B91"/>
    <w:rsid w:val="07867BF0"/>
    <w:rsid w:val="07BE1A17"/>
    <w:rsid w:val="07BF2F55"/>
    <w:rsid w:val="07E36243"/>
    <w:rsid w:val="0822779D"/>
    <w:rsid w:val="086039B5"/>
    <w:rsid w:val="089C44B6"/>
    <w:rsid w:val="08E806AC"/>
    <w:rsid w:val="08EE243C"/>
    <w:rsid w:val="09035DC8"/>
    <w:rsid w:val="092B1014"/>
    <w:rsid w:val="09366E15"/>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05D10"/>
    <w:rsid w:val="0AC26F81"/>
    <w:rsid w:val="0AE64A4E"/>
    <w:rsid w:val="0B3662E0"/>
    <w:rsid w:val="0B4777AE"/>
    <w:rsid w:val="0B9A4B88"/>
    <w:rsid w:val="0BA3660A"/>
    <w:rsid w:val="0BC43BCA"/>
    <w:rsid w:val="0BDD1D67"/>
    <w:rsid w:val="0C045E7E"/>
    <w:rsid w:val="0C1E6CF7"/>
    <w:rsid w:val="0C4C516B"/>
    <w:rsid w:val="0C50246A"/>
    <w:rsid w:val="0C5149F8"/>
    <w:rsid w:val="0C6100E9"/>
    <w:rsid w:val="0C692CAD"/>
    <w:rsid w:val="0C9408B1"/>
    <w:rsid w:val="0CD12227"/>
    <w:rsid w:val="0D055326"/>
    <w:rsid w:val="0D4A7C88"/>
    <w:rsid w:val="0D681993"/>
    <w:rsid w:val="0D732360"/>
    <w:rsid w:val="0D9E1D21"/>
    <w:rsid w:val="0D9F2933"/>
    <w:rsid w:val="0DA94513"/>
    <w:rsid w:val="0DBD4354"/>
    <w:rsid w:val="0DC93204"/>
    <w:rsid w:val="0E020B6B"/>
    <w:rsid w:val="0E0C09FA"/>
    <w:rsid w:val="0E1D36E7"/>
    <w:rsid w:val="0E5C62A4"/>
    <w:rsid w:val="0EC72756"/>
    <w:rsid w:val="0EFF4355"/>
    <w:rsid w:val="0F0726CA"/>
    <w:rsid w:val="0F397B92"/>
    <w:rsid w:val="0F4C711B"/>
    <w:rsid w:val="0F6B1F68"/>
    <w:rsid w:val="0F704B97"/>
    <w:rsid w:val="0FCC46EF"/>
    <w:rsid w:val="0FFD5E0B"/>
    <w:rsid w:val="104D2185"/>
    <w:rsid w:val="107E409D"/>
    <w:rsid w:val="10B419DB"/>
    <w:rsid w:val="10F351D8"/>
    <w:rsid w:val="10F54453"/>
    <w:rsid w:val="10FE360A"/>
    <w:rsid w:val="1101511B"/>
    <w:rsid w:val="110A197C"/>
    <w:rsid w:val="11542761"/>
    <w:rsid w:val="1182036D"/>
    <w:rsid w:val="1188035B"/>
    <w:rsid w:val="11C16297"/>
    <w:rsid w:val="11C87659"/>
    <w:rsid w:val="11F87298"/>
    <w:rsid w:val="1229102A"/>
    <w:rsid w:val="12840AE1"/>
    <w:rsid w:val="128D210B"/>
    <w:rsid w:val="12940E0B"/>
    <w:rsid w:val="12BC68F7"/>
    <w:rsid w:val="12EB67CB"/>
    <w:rsid w:val="131D1FC0"/>
    <w:rsid w:val="13200321"/>
    <w:rsid w:val="133E3F47"/>
    <w:rsid w:val="134C0C32"/>
    <w:rsid w:val="13785584"/>
    <w:rsid w:val="13815D2A"/>
    <w:rsid w:val="1432791F"/>
    <w:rsid w:val="14530434"/>
    <w:rsid w:val="145D32C7"/>
    <w:rsid w:val="14BE1999"/>
    <w:rsid w:val="14FD2BB2"/>
    <w:rsid w:val="151547B8"/>
    <w:rsid w:val="15294C1C"/>
    <w:rsid w:val="154510DF"/>
    <w:rsid w:val="15495848"/>
    <w:rsid w:val="1555358D"/>
    <w:rsid w:val="15916DD0"/>
    <w:rsid w:val="15C1673D"/>
    <w:rsid w:val="15F265E6"/>
    <w:rsid w:val="16181B81"/>
    <w:rsid w:val="16381F85"/>
    <w:rsid w:val="163E45AA"/>
    <w:rsid w:val="16453E27"/>
    <w:rsid w:val="16465A40"/>
    <w:rsid w:val="16AD702C"/>
    <w:rsid w:val="16DD6B31"/>
    <w:rsid w:val="16F75359"/>
    <w:rsid w:val="17135DDF"/>
    <w:rsid w:val="172D0D7B"/>
    <w:rsid w:val="17461C62"/>
    <w:rsid w:val="17AA48DE"/>
    <w:rsid w:val="17E62AA7"/>
    <w:rsid w:val="17E71E6C"/>
    <w:rsid w:val="17EF2C21"/>
    <w:rsid w:val="17F4424E"/>
    <w:rsid w:val="182C7817"/>
    <w:rsid w:val="187C6339"/>
    <w:rsid w:val="189A61CB"/>
    <w:rsid w:val="18EF46F1"/>
    <w:rsid w:val="19165ED3"/>
    <w:rsid w:val="196116C8"/>
    <w:rsid w:val="19653EFB"/>
    <w:rsid w:val="19837757"/>
    <w:rsid w:val="19DD1892"/>
    <w:rsid w:val="19E13681"/>
    <w:rsid w:val="1A2447D6"/>
    <w:rsid w:val="1A4F2ED7"/>
    <w:rsid w:val="1A6B70D6"/>
    <w:rsid w:val="1A6F1E95"/>
    <w:rsid w:val="1AAF3DA1"/>
    <w:rsid w:val="1AD56007"/>
    <w:rsid w:val="1B050DB3"/>
    <w:rsid w:val="1BDB434B"/>
    <w:rsid w:val="1BFF75B4"/>
    <w:rsid w:val="1C203A7B"/>
    <w:rsid w:val="1C2662CD"/>
    <w:rsid w:val="1C6E0CB4"/>
    <w:rsid w:val="1CCD3ED3"/>
    <w:rsid w:val="1D0826D3"/>
    <w:rsid w:val="1D3C33F2"/>
    <w:rsid w:val="1D65301C"/>
    <w:rsid w:val="1D74030A"/>
    <w:rsid w:val="1E1910DF"/>
    <w:rsid w:val="1E19315B"/>
    <w:rsid w:val="1E317025"/>
    <w:rsid w:val="1E765D9E"/>
    <w:rsid w:val="1E852558"/>
    <w:rsid w:val="1EA43555"/>
    <w:rsid w:val="1EB51E02"/>
    <w:rsid w:val="1EC031A5"/>
    <w:rsid w:val="1EC62B79"/>
    <w:rsid w:val="1ED12142"/>
    <w:rsid w:val="1F240CB5"/>
    <w:rsid w:val="1F270062"/>
    <w:rsid w:val="1F2C05AA"/>
    <w:rsid w:val="1F3D026E"/>
    <w:rsid w:val="1F4024E6"/>
    <w:rsid w:val="1F8054F8"/>
    <w:rsid w:val="1F8D131A"/>
    <w:rsid w:val="1FA0658E"/>
    <w:rsid w:val="1FC90F95"/>
    <w:rsid w:val="1FE75CC4"/>
    <w:rsid w:val="1FF42436"/>
    <w:rsid w:val="201A26D0"/>
    <w:rsid w:val="20413C5F"/>
    <w:rsid w:val="209E1CA7"/>
    <w:rsid w:val="20B31AFE"/>
    <w:rsid w:val="20D47D98"/>
    <w:rsid w:val="21164FA2"/>
    <w:rsid w:val="21311EA5"/>
    <w:rsid w:val="213F555E"/>
    <w:rsid w:val="214E3302"/>
    <w:rsid w:val="21832154"/>
    <w:rsid w:val="2183368C"/>
    <w:rsid w:val="21C25F7F"/>
    <w:rsid w:val="21C86D7A"/>
    <w:rsid w:val="21F148E9"/>
    <w:rsid w:val="21F9422C"/>
    <w:rsid w:val="21FA4D09"/>
    <w:rsid w:val="22683081"/>
    <w:rsid w:val="228E7CA0"/>
    <w:rsid w:val="22A23A20"/>
    <w:rsid w:val="22E936EE"/>
    <w:rsid w:val="22F35566"/>
    <w:rsid w:val="23CA7445"/>
    <w:rsid w:val="23DE067B"/>
    <w:rsid w:val="24282787"/>
    <w:rsid w:val="2449672E"/>
    <w:rsid w:val="24A7216D"/>
    <w:rsid w:val="24E76143"/>
    <w:rsid w:val="251616EE"/>
    <w:rsid w:val="25177E64"/>
    <w:rsid w:val="25BC2B1C"/>
    <w:rsid w:val="25E8295B"/>
    <w:rsid w:val="2604539D"/>
    <w:rsid w:val="261C0162"/>
    <w:rsid w:val="26311933"/>
    <w:rsid w:val="263521FC"/>
    <w:rsid w:val="26A02230"/>
    <w:rsid w:val="26A946F1"/>
    <w:rsid w:val="26BB26EA"/>
    <w:rsid w:val="270F717E"/>
    <w:rsid w:val="27430DFA"/>
    <w:rsid w:val="275071CA"/>
    <w:rsid w:val="276F7789"/>
    <w:rsid w:val="27C070A1"/>
    <w:rsid w:val="27D23000"/>
    <w:rsid w:val="286E161D"/>
    <w:rsid w:val="287F0225"/>
    <w:rsid w:val="2888633C"/>
    <w:rsid w:val="28967876"/>
    <w:rsid w:val="28DC6D8D"/>
    <w:rsid w:val="28E658A2"/>
    <w:rsid w:val="2934369F"/>
    <w:rsid w:val="293539E2"/>
    <w:rsid w:val="294806D3"/>
    <w:rsid w:val="295355BB"/>
    <w:rsid w:val="29584F90"/>
    <w:rsid w:val="29601992"/>
    <w:rsid w:val="29700F10"/>
    <w:rsid w:val="297D25EA"/>
    <w:rsid w:val="29C75BF1"/>
    <w:rsid w:val="29E21551"/>
    <w:rsid w:val="2A043BBD"/>
    <w:rsid w:val="2A3537E9"/>
    <w:rsid w:val="2A522B7B"/>
    <w:rsid w:val="2AEF232A"/>
    <w:rsid w:val="2B116393"/>
    <w:rsid w:val="2B280230"/>
    <w:rsid w:val="2B2B6B34"/>
    <w:rsid w:val="2B3C1752"/>
    <w:rsid w:val="2B6407D7"/>
    <w:rsid w:val="2B68020E"/>
    <w:rsid w:val="2B770E6B"/>
    <w:rsid w:val="2BC96FB4"/>
    <w:rsid w:val="2BCB1CCD"/>
    <w:rsid w:val="2BED42B0"/>
    <w:rsid w:val="2BF72439"/>
    <w:rsid w:val="2C120FBA"/>
    <w:rsid w:val="2C2926C2"/>
    <w:rsid w:val="2C2D516F"/>
    <w:rsid w:val="2C31448B"/>
    <w:rsid w:val="2CAB6572"/>
    <w:rsid w:val="2CB74F17"/>
    <w:rsid w:val="2CCB6C14"/>
    <w:rsid w:val="2CF23076"/>
    <w:rsid w:val="2D1550EE"/>
    <w:rsid w:val="2D1B54A6"/>
    <w:rsid w:val="2D270E95"/>
    <w:rsid w:val="2D3B7778"/>
    <w:rsid w:val="2D535422"/>
    <w:rsid w:val="2DA43847"/>
    <w:rsid w:val="2DBF0548"/>
    <w:rsid w:val="2DDB109D"/>
    <w:rsid w:val="2DE55AB4"/>
    <w:rsid w:val="2DE67EA2"/>
    <w:rsid w:val="2E2827DA"/>
    <w:rsid w:val="2E28596F"/>
    <w:rsid w:val="2E496043"/>
    <w:rsid w:val="2E503645"/>
    <w:rsid w:val="2E8F6D9B"/>
    <w:rsid w:val="2E943024"/>
    <w:rsid w:val="2EC3319E"/>
    <w:rsid w:val="2F0A3A24"/>
    <w:rsid w:val="2F545A81"/>
    <w:rsid w:val="2F676C11"/>
    <w:rsid w:val="2F6D2B41"/>
    <w:rsid w:val="2F9B0B20"/>
    <w:rsid w:val="301532EA"/>
    <w:rsid w:val="30377C0B"/>
    <w:rsid w:val="303C7515"/>
    <w:rsid w:val="30450F97"/>
    <w:rsid w:val="30592DBB"/>
    <w:rsid w:val="307A07CD"/>
    <w:rsid w:val="309B5AA8"/>
    <w:rsid w:val="30D74F49"/>
    <w:rsid w:val="30E040B6"/>
    <w:rsid w:val="31032936"/>
    <w:rsid w:val="310E7A63"/>
    <w:rsid w:val="315F2B6B"/>
    <w:rsid w:val="316E2FA4"/>
    <w:rsid w:val="31C75A19"/>
    <w:rsid w:val="31F65444"/>
    <w:rsid w:val="31FD2DFF"/>
    <w:rsid w:val="31FE1724"/>
    <w:rsid w:val="32393EA5"/>
    <w:rsid w:val="32505F18"/>
    <w:rsid w:val="325B5CA8"/>
    <w:rsid w:val="32844C58"/>
    <w:rsid w:val="32E57142"/>
    <w:rsid w:val="330149B7"/>
    <w:rsid w:val="33062B8C"/>
    <w:rsid w:val="3314415B"/>
    <w:rsid w:val="3315635D"/>
    <w:rsid w:val="33225B35"/>
    <w:rsid w:val="33616C31"/>
    <w:rsid w:val="3373322C"/>
    <w:rsid w:val="343E2D93"/>
    <w:rsid w:val="345D70F2"/>
    <w:rsid w:val="348A0827"/>
    <w:rsid w:val="348B6F28"/>
    <w:rsid w:val="34DF4479"/>
    <w:rsid w:val="353C2939"/>
    <w:rsid w:val="353F1F4D"/>
    <w:rsid w:val="35956D0A"/>
    <w:rsid w:val="35AC7563"/>
    <w:rsid w:val="35C325F8"/>
    <w:rsid w:val="35CF6CBF"/>
    <w:rsid w:val="35D3719B"/>
    <w:rsid w:val="35E36877"/>
    <w:rsid w:val="35E55CD1"/>
    <w:rsid w:val="35EC1630"/>
    <w:rsid w:val="35EF4932"/>
    <w:rsid w:val="361653D4"/>
    <w:rsid w:val="36545C9A"/>
    <w:rsid w:val="3655540E"/>
    <w:rsid w:val="366F23BE"/>
    <w:rsid w:val="36723A2B"/>
    <w:rsid w:val="3678556E"/>
    <w:rsid w:val="36C40E55"/>
    <w:rsid w:val="36E9476A"/>
    <w:rsid w:val="36EF37C9"/>
    <w:rsid w:val="37685E7A"/>
    <w:rsid w:val="37800460"/>
    <w:rsid w:val="378A3F83"/>
    <w:rsid w:val="37920AEE"/>
    <w:rsid w:val="379B18CA"/>
    <w:rsid w:val="37D556C3"/>
    <w:rsid w:val="38241A0E"/>
    <w:rsid w:val="384A7A41"/>
    <w:rsid w:val="385B2EF8"/>
    <w:rsid w:val="38905D39"/>
    <w:rsid w:val="38A15575"/>
    <w:rsid w:val="38A774A1"/>
    <w:rsid w:val="38B2148E"/>
    <w:rsid w:val="38C068C5"/>
    <w:rsid w:val="38D94CED"/>
    <w:rsid w:val="391E1F52"/>
    <w:rsid w:val="39465DF3"/>
    <w:rsid w:val="394A5FF0"/>
    <w:rsid w:val="396B5391"/>
    <w:rsid w:val="39BF18AF"/>
    <w:rsid w:val="39E80A65"/>
    <w:rsid w:val="3A593B03"/>
    <w:rsid w:val="3A7845C1"/>
    <w:rsid w:val="3A867D14"/>
    <w:rsid w:val="3A914A27"/>
    <w:rsid w:val="3AFD3C43"/>
    <w:rsid w:val="3B352BD2"/>
    <w:rsid w:val="3B43014D"/>
    <w:rsid w:val="3B552D48"/>
    <w:rsid w:val="3B6345BC"/>
    <w:rsid w:val="3B7429AB"/>
    <w:rsid w:val="3B7C27E7"/>
    <w:rsid w:val="3BB719E6"/>
    <w:rsid w:val="3BBE7A10"/>
    <w:rsid w:val="3BCC0025"/>
    <w:rsid w:val="3BCF17A7"/>
    <w:rsid w:val="3C052A44"/>
    <w:rsid w:val="3C3505F9"/>
    <w:rsid w:val="3C356645"/>
    <w:rsid w:val="3CAC15D2"/>
    <w:rsid w:val="3CB20F70"/>
    <w:rsid w:val="3D061283"/>
    <w:rsid w:val="3D26492B"/>
    <w:rsid w:val="3D9F74DB"/>
    <w:rsid w:val="3DBA03C3"/>
    <w:rsid w:val="3DCB0822"/>
    <w:rsid w:val="3DD72468"/>
    <w:rsid w:val="3DDA79A5"/>
    <w:rsid w:val="3DF71617"/>
    <w:rsid w:val="3E054764"/>
    <w:rsid w:val="3E107CA2"/>
    <w:rsid w:val="3E38233A"/>
    <w:rsid w:val="3E4B02B0"/>
    <w:rsid w:val="3E504A51"/>
    <w:rsid w:val="3E5D7F6D"/>
    <w:rsid w:val="3E720BBD"/>
    <w:rsid w:val="3E7F0FD3"/>
    <w:rsid w:val="3F015433"/>
    <w:rsid w:val="3F3A7B06"/>
    <w:rsid w:val="3F4E727B"/>
    <w:rsid w:val="3F4E7974"/>
    <w:rsid w:val="3F8F4793"/>
    <w:rsid w:val="3F9600B4"/>
    <w:rsid w:val="3F9E131B"/>
    <w:rsid w:val="40214590"/>
    <w:rsid w:val="402B7E3F"/>
    <w:rsid w:val="40575044"/>
    <w:rsid w:val="407F6989"/>
    <w:rsid w:val="40A1781F"/>
    <w:rsid w:val="40A801E1"/>
    <w:rsid w:val="40AB238A"/>
    <w:rsid w:val="40DC4AF4"/>
    <w:rsid w:val="411F71B7"/>
    <w:rsid w:val="412D224A"/>
    <w:rsid w:val="41322588"/>
    <w:rsid w:val="416E1DBB"/>
    <w:rsid w:val="41B32333"/>
    <w:rsid w:val="41BF069E"/>
    <w:rsid w:val="41D945D5"/>
    <w:rsid w:val="41DD6993"/>
    <w:rsid w:val="420C67D1"/>
    <w:rsid w:val="421233DB"/>
    <w:rsid w:val="421D2353"/>
    <w:rsid w:val="427A506E"/>
    <w:rsid w:val="4284303B"/>
    <w:rsid w:val="42847D13"/>
    <w:rsid w:val="42AA07D4"/>
    <w:rsid w:val="42AD7A50"/>
    <w:rsid w:val="42CE1FCF"/>
    <w:rsid w:val="430D06A1"/>
    <w:rsid w:val="430D77C7"/>
    <w:rsid w:val="43101A5C"/>
    <w:rsid w:val="431E58B7"/>
    <w:rsid w:val="432A7D64"/>
    <w:rsid w:val="432B278D"/>
    <w:rsid w:val="43410FD0"/>
    <w:rsid w:val="437D5632"/>
    <w:rsid w:val="43825D54"/>
    <w:rsid w:val="4388488F"/>
    <w:rsid w:val="43A8521B"/>
    <w:rsid w:val="443326F0"/>
    <w:rsid w:val="444D3426"/>
    <w:rsid w:val="446737BF"/>
    <w:rsid w:val="447A6FA6"/>
    <w:rsid w:val="449E3F2F"/>
    <w:rsid w:val="44BB6499"/>
    <w:rsid w:val="44C85ABB"/>
    <w:rsid w:val="45045743"/>
    <w:rsid w:val="450A0BD9"/>
    <w:rsid w:val="4553243B"/>
    <w:rsid w:val="45821A19"/>
    <w:rsid w:val="45834774"/>
    <w:rsid w:val="459C3C24"/>
    <w:rsid w:val="45A80E97"/>
    <w:rsid w:val="45AB7FCD"/>
    <w:rsid w:val="45AF692E"/>
    <w:rsid w:val="465B3752"/>
    <w:rsid w:val="467C1E8C"/>
    <w:rsid w:val="46897314"/>
    <w:rsid w:val="46E84D4F"/>
    <w:rsid w:val="470343A1"/>
    <w:rsid w:val="4713714A"/>
    <w:rsid w:val="472B474E"/>
    <w:rsid w:val="47745049"/>
    <w:rsid w:val="47802038"/>
    <w:rsid w:val="478B6735"/>
    <w:rsid w:val="478F7DED"/>
    <w:rsid w:val="47B324DC"/>
    <w:rsid w:val="47EB03B5"/>
    <w:rsid w:val="47FB099F"/>
    <w:rsid w:val="483504F4"/>
    <w:rsid w:val="48394494"/>
    <w:rsid w:val="48A7564B"/>
    <w:rsid w:val="48BD099B"/>
    <w:rsid w:val="48F74ABF"/>
    <w:rsid w:val="4940640D"/>
    <w:rsid w:val="49497549"/>
    <w:rsid w:val="496B0DCD"/>
    <w:rsid w:val="496C0985"/>
    <w:rsid w:val="497E123A"/>
    <w:rsid w:val="498C4F4E"/>
    <w:rsid w:val="4993326C"/>
    <w:rsid w:val="49BF66B8"/>
    <w:rsid w:val="4A432BA3"/>
    <w:rsid w:val="4A72756B"/>
    <w:rsid w:val="4A797541"/>
    <w:rsid w:val="4A7F5FCD"/>
    <w:rsid w:val="4B010B09"/>
    <w:rsid w:val="4B1360D8"/>
    <w:rsid w:val="4BB5666E"/>
    <w:rsid w:val="4BC149DF"/>
    <w:rsid w:val="4BE30283"/>
    <w:rsid w:val="4BF37B2C"/>
    <w:rsid w:val="4C4F219F"/>
    <w:rsid w:val="4CF31CB8"/>
    <w:rsid w:val="4D1E0B50"/>
    <w:rsid w:val="4D6B7C12"/>
    <w:rsid w:val="4D917D31"/>
    <w:rsid w:val="4DA370C6"/>
    <w:rsid w:val="4DEE5DF2"/>
    <w:rsid w:val="4E002236"/>
    <w:rsid w:val="4E2E44B5"/>
    <w:rsid w:val="4E4179EE"/>
    <w:rsid w:val="4E470433"/>
    <w:rsid w:val="4E767DC2"/>
    <w:rsid w:val="4E8F6F3C"/>
    <w:rsid w:val="4E916F1E"/>
    <w:rsid w:val="4E93713A"/>
    <w:rsid w:val="4EA16333"/>
    <w:rsid w:val="4ED57ECB"/>
    <w:rsid w:val="4EFC7613"/>
    <w:rsid w:val="4F2C2E09"/>
    <w:rsid w:val="4F6E2C5B"/>
    <w:rsid w:val="4F8844E7"/>
    <w:rsid w:val="4F9F7B0F"/>
    <w:rsid w:val="4FCE03C2"/>
    <w:rsid w:val="501137E2"/>
    <w:rsid w:val="501D62BE"/>
    <w:rsid w:val="50372AC6"/>
    <w:rsid w:val="50D10C2C"/>
    <w:rsid w:val="50F66874"/>
    <w:rsid w:val="510711CE"/>
    <w:rsid w:val="512438F2"/>
    <w:rsid w:val="512B0AEB"/>
    <w:rsid w:val="51472E8E"/>
    <w:rsid w:val="51B24506"/>
    <w:rsid w:val="51C90B72"/>
    <w:rsid w:val="51D92BCA"/>
    <w:rsid w:val="51E8639F"/>
    <w:rsid w:val="52414FCD"/>
    <w:rsid w:val="52603064"/>
    <w:rsid w:val="52677290"/>
    <w:rsid w:val="52803B80"/>
    <w:rsid w:val="52B27FA0"/>
    <w:rsid w:val="53434A68"/>
    <w:rsid w:val="534838B6"/>
    <w:rsid w:val="538D72DB"/>
    <w:rsid w:val="5394125E"/>
    <w:rsid w:val="53D725CB"/>
    <w:rsid w:val="53FD32A8"/>
    <w:rsid w:val="542B42CD"/>
    <w:rsid w:val="547140A9"/>
    <w:rsid w:val="54B21C9B"/>
    <w:rsid w:val="54C25001"/>
    <w:rsid w:val="54CB1C1C"/>
    <w:rsid w:val="54EB1352"/>
    <w:rsid w:val="55083AF1"/>
    <w:rsid w:val="55360C50"/>
    <w:rsid w:val="557A2957"/>
    <w:rsid w:val="55AE5125"/>
    <w:rsid w:val="55D84FFF"/>
    <w:rsid w:val="56340C24"/>
    <w:rsid w:val="56443477"/>
    <w:rsid w:val="56686407"/>
    <w:rsid w:val="5670694D"/>
    <w:rsid w:val="568203C1"/>
    <w:rsid w:val="5692044B"/>
    <w:rsid w:val="56BE7C22"/>
    <w:rsid w:val="570C6A4D"/>
    <w:rsid w:val="57200AAC"/>
    <w:rsid w:val="57400FAC"/>
    <w:rsid w:val="574216FD"/>
    <w:rsid w:val="576F457F"/>
    <w:rsid w:val="57FA77E0"/>
    <w:rsid w:val="588472F7"/>
    <w:rsid w:val="588875E4"/>
    <w:rsid w:val="58E443C8"/>
    <w:rsid w:val="590B4AF5"/>
    <w:rsid w:val="591621FE"/>
    <w:rsid w:val="59255366"/>
    <w:rsid w:val="592E3D42"/>
    <w:rsid w:val="5957077D"/>
    <w:rsid w:val="5A0679B5"/>
    <w:rsid w:val="5A0A227A"/>
    <w:rsid w:val="5A5F5703"/>
    <w:rsid w:val="5AA602A2"/>
    <w:rsid w:val="5ACC5271"/>
    <w:rsid w:val="5B10408B"/>
    <w:rsid w:val="5B614E05"/>
    <w:rsid w:val="5B9F729D"/>
    <w:rsid w:val="5BBB54FB"/>
    <w:rsid w:val="5C304108"/>
    <w:rsid w:val="5C5B0B6B"/>
    <w:rsid w:val="5C757746"/>
    <w:rsid w:val="5CA54488"/>
    <w:rsid w:val="5CD22B72"/>
    <w:rsid w:val="5CD37180"/>
    <w:rsid w:val="5D0D0413"/>
    <w:rsid w:val="5D226ACA"/>
    <w:rsid w:val="5D3115FB"/>
    <w:rsid w:val="5D3778A4"/>
    <w:rsid w:val="5D6305C0"/>
    <w:rsid w:val="5D684E59"/>
    <w:rsid w:val="5D6A02A3"/>
    <w:rsid w:val="5D76641B"/>
    <w:rsid w:val="5D873867"/>
    <w:rsid w:val="5D9D4B3C"/>
    <w:rsid w:val="5DAC0B5B"/>
    <w:rsid w:val="5DEC3733"/>
    <w:rsid w:val="5E324CFB"/>
    <w:rsid w:val="5E5B2FBB"/>
    <w:rsid w:val="5EAE580E"/>
    <w:rsid w:val="5ED54C05"/>
    <w:rsid w:val="5F3351B1"/>
    <w:rsid w:val="5F373A61"/>
    <w:rsid w:val="5F6A0D11"/>
    <w:rsid w:val="5F6D6775"/>
    <w:rsid w:val="5FE64B4B"/>
    <w:rsid w:val="60091B2F"/>
    <w:rsid w:val="601B7887"/>
    <w:rsid w:val="605E4622"/>
    <w:rsid w:val="60666BAE"/>
    <w:rsid w:val="60CB6295"/>
    <w:rsid w:val="60D40F4B"/>
    <w:rsid w:val="60EF3577"/>
    <w:rsid w:val="612F2FC5"/>
    <w:rsid w:val="6143039D"/>
    <w:rsid w:val="61810DAC"/>
    <w:rsid w:val="61BA34EB"/>
    <w:rsid w:val="61C144EF"/>
    <w:rsid w:val="61F64342"/>
    <w:rsid w:val="62361D20"/>
    <w:rsid w:val="624F1FFB"/>
    <w:rsid w:val="626838A5"/>
    <w:rsid w:val="62743A36"/>
    <w:rsid w:val="62B214F1"/>
    <w:rsid w:val="62BD4A25"/>
    <w:rsid w:val="63146B0B"/>
    <w:rsid w:val="63146D7E"/>
    <w:rsid w:val="631E2033"/>
    <w:rsid w:val="63230500"/>
    <w:rsid w:val="63513D97"/>
    <w:rsid w:val="63623C1B"/>
    <w:rsid w:val="63920A42"/>
    <w:rsid w:val="63C91FF4"/>
    <w:rsid w:val="64451C8F"/>
    <w:rsid w:val="64496497"/>
    <w:rsid w:val="644F4041"/>
    <w:rsid w:val="64760EA5"/>
    <w:rsid w:val="6477516F"/>
    <w:rsid w:val="64963F53"/>
    <w:rsid w:val="64C32216"/>
    <w:rsid w:val="64CC30EB"/>
    <w:rsid w:val="64D85CAF"/>
    <w:rsid w:val="64E67343"/>
    <w:rsid w:val="65240CFF"/>
    <w:rsid w:val="65273CE0"/>
    <w:rsid w:val="65611872"/>
    <w:rsid w:val="65654809"/>
    <w:rsid w:val="656C6C0C"/>
    <w:rsid w:val="663B0545"/>
    <w:rsid w:val="663C6FD7"/>
    <w:rsid w:val="664A1A6A"/>
    <w:rsid w:val="66690A9C"/>
    <w:rsid w:val="66846F63"/>
    <w:rsid w:val="6697375D"/>
    <w:rsid w:val="66AE6963"/>
    <w:rsid w:val="66B5704E"/>
    <w:rsid w:val="66EF19E5"/>
    <w:rsid w:val="67544B35"/>
    <w:rsid w:val="677A6E56"/>
    <w:rsid w:val="67F3262C"/>
    <w:rsid w:val="67F72DF6"/>
    <w:rsid w:val="6801064C"/>
    <w:rsid w:val="68083B50"/>
    <w:rsid w:val="680B3A79"/>
    <w:rsid w:val="681A7B2C"/>
    <w:rsid w:val="68402B7B"/>
    <w:rsid w:val="686F0A84"/>
    <w:rsid w:val="687D1CB4"/>
    <w:rsid w:val="68877242"/>
    <w:rsid w:val="688E629F"/>
    <w:rsid w:val="68917166"/>
    <w:rsid w:val="68CE2566"/>
    <w:rsid w:val="68D47FEC"/>
    <w:rsid w:val="68DF4C87"/>
    <w:rsid w:val="68E432FE"/>
    <w:rsid w:val="69006B8C"/>
    <w:rsid w:val="69603B4A"/>
    <w:rsid w:val="696320E7"/>
    <w:rsid w:val="698A6289"/>
    <w:rsid w:val="699A7177"/>
    <w:rsid w:val="69AB5865"/>
    <w:rsid w:val="69AD2726"/>
    <w:rsid w:val="69E37959"/>
    <w:rsid w:val="6A0A2212"/>
    <w:rsid w:val="6A295EBD"/>
    <w:rsid w:val="6A6352C7"/>
    <w:rsid w:val="6A8E5487"/>
    <w:rsid w:val="6ACD7664"/>
    <w:rsid w:val="6B090878"/>
    <w:rsid w:val="6B224577"/>
    <w:rsid w:val="6B3063AB"/>
    <w:rsid w:val="6B6A4927"/>
    <w:rsid w:val="6B785364"/>
    <w:rsid w:val="6BC87F76"/>
    <w:rsid w:val="6BDF62AC"/>
    <w:rsid w:val="6C0A4E0D"/>
    <w:rsid w:val="6C2B0249"/>
    <w:rsid w:val="6C517E39"/>
    <w:rsid w:val="6CB83F4F"/>
    <w:rsid w:val="6D011978"/>
    <w:rsid w:val="6D4C7577"/>
    <w:rsid w:val="6D614BA0"/>
    <w:rsid w:val="6D716441"/>
    <w:rsid w:val="6DE92D60"/>
    <w:rsid w:val="6DF40034"/>
    <w:rsid w:val="6DFB3AAB"/>
    <w:rsid w:val="6E296577"/>
    <w:rsid w:val="6E2E7467"/>
    <w:rsid w:val="6E8B3828"/>
    <w:rsid w:val="6E9679C1"/>
    <w:rsid w:val="6EA97E5C"/>
    <w:rsid w:val="6EE82A97"/>
    <w:rsid w:val="6F2548C9"/>
    <w:rsid w:val="6F65704C"/>
    <w:rsid w:val="6F670D3C"/>
    <w:rsid w:val="6F7B6E0E"/>
    <w:rsid w:val="6F806D7A"/>
    <w:rsid w:val="6FB00B6F"/>
    <w:rsid w:val="6FFB6A17"/>
    <w:rsid w:val="705742C5"/>
    <w:rsid w:val="708519A6"/>
    <w:rsid w:val="70930CA8"/>
    <w:rsid w:val="70953AEF"/>
    <w:rsid w:val="70D84686"/>
    <w:rsid w:val="70F83CE8"/>
    <w:rsid w:val="71103916"/>
    <w:rsid w:val="711B49BC"/>
    <w:rsid w:val="7120263E"/>
    <w:rsid w:val="714C6B86"/>
    <w:rsid w:val="71697858"/>
    <w:rsid w:val="717C4FF8"/>
    <w:rsid w:val="718F2948"/>
    <w:rsid w:val="71C10EE3"/>
    <w:rsid w:val="71DA1C11"/>
    <w:rsid w:val="71F32CE0"/>
    <w:rsid w:val="72121962"/>
    <w:rsid w:val="721754DD"/>
    <w:rsid w:val="722F0678"/>
    <w:rsid w:val="72C54251"/>
    <w:rsid w:val="72D47A43"/>
    <w:rsid w:val="7304780E"/>
    <w:rsid w:val="730E4732"/>
    <w:rsid w:val="73163914"/>
    <w:rsid w:val="734D7D5B"/>
    <w:rsid w:val="73763CFB"/>
    <w:rsid w:val="738144AE"/>
    <w:rsid w:val="739C1A69"/>
    <w:rsid w:val="73A624A3"/>
    <w:rsid w:val="73A94202"/>
    <w:rsid w:val="73CD639B"/>
    <w:rsid w:val="73D5303E"/>
    <w:rsid w:val="73F0565F"/>
    <w:rsid w:val="740E54B7"/>
    <w:rsid w:val="74557BA0"/>
    <w:rsid w:val="74667C0C"/>
    <w:rsid w:val="74750532"/>
    <w:rsid w:val="74A2489D"/>
    <w:rsid w:val="74DA6C11"/>
    <w:rsid w:val="74FF07D6"/>
    <w:rsid w:val="750931DA"/>
    <w:rsid w:val="754427F8"/>
    <w:rsid w:val="75642364"/>
    <w:rsid w:val="756A176D"/>
    <w:rsid w:val="757B2EFF"/>
    <w:rsid w:val="757C60BA"/>
    <w:rsid w:val="759766F5"/>
    <w:rsid w:val="75AC36CE"/>
    <w:rsid w:val="75AE105C"/>
    <w:rsid w:val="75B93025"/>
    <w:rsid w:val="75C31316"/>
    <w:rsid w:val="75CC3D65"/>
    <w:rsid w:val="75D14FF0"/>
    <w:rsid w:val="75D4756D"/>
    <w:rsid w:val="75E17690"/>
    <w:rsid w:val="75FE6729"/>
    <w:rsid w:val="760E4EC1"/>
    <w:rsid w:val="76207A89"/>
    <w:rsid w:val="762F3558"/>
    <w:rsid w:val="763B1F21"/>
    <w:rsid w:val="7677093A"/>
    <w:rsid w:val="76826103"/>
    <w:rsid w:val="768F34E2"/>
    <w:rsid w:val="76936197"/>
    <w:rsid w:val="770316D3"/>
    <w:rsid w:val="772351FD"/>
    <w:rsid w:val="773548BB"/>
    <w:rsid w:val="7762637F"/>
    <w:rsid w:val="7770064A"/>
    <w:rsid w:val="77B67B5F"/>
    <w:rsid w:val="781D20DD"/>
    <w:rsid w:val="78306109"/>
    <w:rsid w:val="783B31FD"/>
    <w:rsid w:val="78497278"/>
    <w:rsid w:val="786848E4"/>
    <w:rsid w:val="78AE2748"/>
    <w:rsid w:val="790970F9"/>
    <w:rsid w:val="7925747B"/>
    <w:rsid w:val="792A33BB"/>
    <w:rsid w:val="7988615C"/>
    <w:rsid w:val="798F0E1C"/>
    <w:rsid w:val="79BB2739"/>
    <w:rsid w:val="79E43492"/>
    <w:rsid w:val="7A03359A"/>
    <w:rsid w:val="7A36630D"/>
    <w:rsid w:val="7A4659E5"/>
    <w:rsid w:val="7A467F03"/>
    <w:rsid w:val="7A4915EA"/>
    <w:rsid w:val="7A902F4D"/>
    <w:rsid w:val="7AA367B5"/>
    <w:rsid w:val="7AC55644"/>
    <w:rsid w:val="7B0452DC"/>
    <w:rsid w:val="7B0E2083"/>
    <w:rsid w:val="7B2B738B"/>
    <w:rsid w:val="7B4B0303"/>
    <w:rsid w:val="7B8B1DF6"/>
    <w:rsid w:val="7B9A69BB"/>
    <w:rsid w:val="7BAC4808"/>
    <w:rsid w:val="7BD86D3E"/>
    <w:rsid w:val="7BE76D09"/>
    <w:rsid w:val="7BFC15CB"/>
    <w:rsid w:val="7C1169AE"/>
    <w:rsid w:val="7C45606D"/>
    <w:rsid w:val="7C616904"/>
    <w:rsid w:val="7C646F65"/>
    <w:rsid w:val="7C795471"/>
    <w:rsid w:val="7C8A7419"/>
    <w:rsid w:val="7C9F0274"/>
    <w:rsid w:val="7C9F4A04"/>
    <w:rsid w:val="7D2A2168"/>
    <w:rsid w:val="7D311748"/>
    <w:rsid w:val="7D5C5C78"/>
    <w:rsid w:val="7D7D2BE0"/>
    <w:rsid w:val="7D823D52"/>
    <w:rsid w:val="7DF13E64"/>
    <w:rsid w:val="7E0000DB"/>
    <w:rsid w:val="7E0D7ED1"/>
    <w:rsid w:val="7E420EFD"/>
    <w:rsid w:val="7E5129C6"/>
    <w:rsid w:val="7E8B57D8"/>
    <w:rsid w:val="7F0510C2"/>
    <w:rsid w:val="7F0C4881"/>
    <w:rsid w:val="7F1B7027"/>
    <w:rsid w:val="7F305838"/>
    <w:rsid w:val="7F3B73BA"/>
    <w:rsid w:val="7F646AD3"/>
    <w:rsid w:val="7F96255F"/>
    <w:rsid w:val="7FAB67DA"/>
    <w:rsid w:val="7FAC7379"/>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5">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29"/>
    <w:unhideWhenUsed/>
    <w:qFormat/>
    <w:uiPriority w:val="99"/>
    <w:pPr>
      <w:tabs>
        <w:tab w:val="center" w:pos="4153"/>
        <w:tab w:val="right" w:pos="8306"/>
      </w:tabs>
      <w:snapToGrid w:val="0"/>
      <w:jc w:val="left"/>
    </w:pPr>
    <w:rPr>
      <w:sz w:val="18"/>
      <w:szCs w:val="18"/>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38"/>
    <w:semiHidden/>
    <w:unhideWhenUsed/>
    <w:qFormat/>
    <w:uiPriority w:val="99"/>
    <w:pPr>
      <w:jc w:val="left"/>
    </w:pPr>
  </w:style>
  <w:style w:type="paragraph" w:styleId="8">
    <w:name w:val="Body Text"/>
    <w:basedOn w:val="1"/>
    <w:qFormat/>
    <w:uiPriority w:val="0"/>
  </w:style>
  <w:style w:type="paragraph" w:styleId="9">
    <w:name w:val="Body Text Indent"/>
    <w:basedOn w:val="1"/>
    <w:qFormat/>
    <w:uiPriority w:val="0"/>
    <w:pPr>
      <w:ind w:firstLine="660"/>
    </w:pPr>
    <w:rPr>
      <w:sz w:val="30"/>
    </w:rPr>
  </w:style>
  <w:style w:type="paragraph" w:styleId="10">
    <w:name w:val="toc 3"/>
    <w:basedOn w:val="1"/>
    <w:next w:val="1"/>
    <w:semiHidden/>
    <w:unhideWhenUsed/>
    <w:qFormat/>
    <w:uiPriority w:val="39"/>
    <w:pPr>
      <w:ind w:left="840" w:leftChars="400"/>
    </w:pPr>
  </w:style>
  <w:style w:type="paragraph" w:styleId="11">
    <w:name w:val="Balloon Text"/>
    <w:basedOn w:val="1"/>
    <w:link w:val="37"/>
    <w:semiHidden/>
    <w:unhideWhenUsed/>
    <w:qFormat/>
    <w:uiPriority w:val="99"/>
    <w:rPr>
      <w:sz w:val="18"/>
      <w:szCs w:val="18"/>
    </w:rPr>
  </w:style>
  <w:style w:type="paragraph" w:styleId="12">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rPr>
      <w:rFonts w:ascii="Times New Roman" w:hAnsi="Times New Roman" w:eastAsia="宋体" w:cs="Times New Roman"/>
    </w:rPr>
  </w:style>
  <w:style w:type="paragraph" w:styleId="14">
    <w:name w:val="toc 2"/>
    <w:basedOn w:val="1"/>
    <w:next w:val="1"/>
    <w:semiHidden/>
    <w:unhideWhenUsed/>
    <w:qFormat/>
    <w:uiPriority w:val="39"/>
    <w:pPr>
      <w:ind w:left="420" w:leftChars="200"/>
    </w:pPr>
  </w:style>
  <w:style w:type="paragraph" w:styleId="15">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6">
    <w:name w:val="annotation subject"/>
    <w:basedOn w:val="7"/>
    <w:next w:val="7"/>
    <w:link w:val="39"/>
    <w:semiHidden/>
    <w:unhideWhenUsed/>
    <w:qFormat/>
    <w:uiPriority w:val="99"/>
    <w:rPr>
      <w:b/>
      <w:bCs/>
    </w:rPr>
  </w:style>
  <w:style w:type="paragraph" w:styleId="17">
    <w:name w:val="Body Text First Indent"/>
    <w:basedOn w:val="8"/>
    <w:semiHidden/>
    <w:unhideWhenUsed/>
    <w:qFormat/>
    <w:uiPriority w:val="99"/>
    <w:pPr>
      <w:ind w:firstLine="420" w:firstLineChars="100"/>
    </w:pPr>
  </w:style>
  <w:style w:type="paragraph" w:styleId="18">
    <w:name w:val="Body Text First Indent 2"/>
    <w:basedOn w:val="9"/>
    <w:qFormat/>
    <w:uiPriority w:val="0"/>
    <w:pPr>
      <w:tabs>
        <w:tab w:val="left" w:pos="180"/>
        <w:tab w:val="left" w:pos="540"/>
      </w:tabs>
      <w:ind w:firstLine="420" w:firstLineChars="2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2"/>
    <w:qFormat/>
    <w:uiPriority w:val="99"/>
    <w:rPr>
      <w:sz w:val="18"/>
      <w:szCs w:val="18"/>
    </w:rPr>
  </w:style>
  <w:style w:type="character" w:customStyle="1" w:styleId="29">
    <w:name w:val="页脚 Char"/>
    <w:basedOn w:val="21"/>
    <w:link w:val="2"/>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3"/>
    <w:qFormat/>
    <w:uiPriority w:val="9"/>
    <w:rPr>
      <w:rFonts w:eastAsia="仿宋"/>
      <w:b/>
      <w:bCs/>
      <w:kern w:val="44"/>
      <w:sz w:val="32"/>
      <w:szCs w:val="44"/>
    </w:rPr>
  </w:style>
  <w:style w:type="character" w:customStyle="1" w:styleId="32">
    <w:name w:val="标题 2 Char"/>
    <w:basedOn w:val="21"/>
    <w:link w:val="4"/>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1"/>
    <w:semiHidden/>
    <w:qFormat/>
    <w:uiPriority w:val="99"/>
    <w:rPr>
      <w:kern w:val="2"/>
      <w:sz w:val="18"/>
      <w:szCs w:val="18"/>
    </w:rPr>
  </w:style>
  <w:style w:type="character" w:customStyle="1" w:styleId="38">
    <w:name w:val="批注文字 Char"/>
    <w:basedOn w:val="21"/>
    <w:link w:val="7"/>
    <w:semiHidden/>
    <w:qFormat/>
    <w:uiPriority w:val="99"/>
    <w:rPr>
      <w:kern w:val="2"/>
      <w:sz w:val="21"/>
      <w:szCs w:val="24"/>
    </w:rPr>
  </w:style>
  <w:style w:type="character" w:customStyle="1" w:styleId="39">
    <w:name w:val="批注主题 Char"/>
    <w:basedOn w:val="38"/>
    <w:link w:val="16"/>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 w:type="character" w:customStyle="1" w:styleId="43">
    <w:name w:val="font51"/>
    <w:basedOn w:val="21"/>
    <w:qFormat/>
    <w:uiPriority w:val="0"/>
    <w:rPr>
      <w:rFonts w:hint="eastAsia" w:ascii="仿宋" w:hAnsi="仿宋" w:eastAsia="仿宋" w:cs="仿宋"/>
      <w:color w:val="000000"/>
      <w:sz w:val="24"/>
      <w:szCs w:val="24"/>
      <w:u w:val="none"/>
    </w:rPr>
  </w:style>
  <w:style w:type="character" w:customStyle="1" w:styleId="44">
    <w:name w:val="font71"/>
    <w:basedOn w:val="21"/>
    <w:qFormat/>
    <w:uiPriority w:val="0"/>
    <w:rPr>
      <w:rFonts w:hint="eastAsia" w:ascii="宋体" w:hAnsi="宋体" w:eastAsia="宋体" w:cs="宋体"/>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2.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43</Pages>
  <Words>21659</Words>
  <Characters>23025</Characters>
  <Lines>79</Lines>
  <Paragraphs>22</Paragraphs>
  <TotalTime>17</TotalTime>
  <ScaleCrop>false</ScaleCrop>
  <LinksUpToDate>false</LinksUpToDate>
  <CharactersWithSpaces>23226</CharactersWithSpaces>
  <Application>WPS Office_11.8.2.8506_F1E327BC-269C-435d-A152-05C5408002CA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Lenovo</cp:lastModifiedBy>
  <cp:lastPrinted>2021-07-28T10:34:00Z</cp:lastPrinted>
  <dcterms:modified xsi:type="dcterms:W3CDTF">2023-11-04T05:36:52Z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2052-11.8.2.8506</vt:lpwstr>
  </property>
  <property fmtid="{D5CDD505-2E9C-101B-9397-08002B2CF9AE}" pid="3" name="ICV">
    <vt:lpwstr>A8312BA226C94F5A884B33DB13DDFAF3</vt:lpwstr>
  </property>
  <property fmtid="{D5CDD505-2E9C-101B-9397-08002B2CF9AE}" pid="4" name="KSOSaveFontToCloudKey">
    <vt:lpwstr>999270995_embed</vt:lpwstr>
  </property>
</Properties>
</file>