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ind w:firstLine="640" w:firstLineChars="200"/>
        <w:jc w:val="center"/>
        <w:rPr>
          <w:rFonts w:ascii="Times New Roman" w:hAnsi="Times New Roman" w:eastAsia="仿宋_GB2312" w:cs="宋体"/>
          <w:color w:val="auto"/>
          <w:kern w:val="0"/>
          <w:sz w:val="32"/>
          <w:szCs w:val="32"/>
        </w:rPr>
      </w:pPr>
    </w:p>
    <w:p>
      <w:pPr>
        <w:jc w:val="center"/>
        <w:rPr>
          <w:rFonts w:hint="eastAsia" w:ascii="仿宋_GB2312" w:hAnsi="黑体" w:eastAsia="仿宋_GB2312" w:cs="宋体"/>
          <w:b/>
          <w:bCs/>
          <w:kern w:val="0"/>
          <w:sz w:val="44"/>
          <w:szCs w:val="44"/>
          <w:highlight w:val="none"/>
          <w:lang w:val="en-US" w:eastAsia="zh-CN"/>
        </w:rPr>
      </w:pPr>
    </w:p>
    <w:p>
      <w:pPr>
        <w:pageBreakBefore w:val="0"/>
        <w:kinsoku/>
        <w:wordWrap/>
        <w:overflowPunct/>
        <w:topLinePunct w:val="0"/>
        <w:autoSpaceDE/>
        <w:autoSpaceDN/>
        <w:bidi w:val="0"/>
        <w:ind w:firstLine="880" w:firstLineChars="200"/>
        <w:jc w:val="center"/>
        <w:rPr>
          <w:rFonts w:ascii="Times New Roman" w:hAnsi="Times New Roman" w:eastAsia="仿宋_GB2312" w:cs="宋体"/>
          <w:color w:val="auto"/>
          <w:kern w:val="0"/>
          <w:sz w:val="24"/>
        </w:rPr>
      </w:pPr>
      <w:r>
        <w:rPr>
          <w:rFonts w:hint="eastAsia" w:ascii="微软雅黑" w:hAnsi="黑体" w:eastAsia="微软雅黑" w:cs="宋体"/>
          <w:b w:val="0"/>
          <w:bCs w:val="0"/>
          <w:kern w:val="0"/>
          <w:sz w:val="44"/>
          <w:szCs w:val="44"/>
          <w:highlight w:val="none"/>
          <w:lang w:val="en-US" w:eastAsia="zh-CN"/>
        </w:rPr>
        <w:t>草原管护员补助项目</w:t>
      </w: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jc w:val="center"/>
        <w:rPr>
          <w:rFonts w:hint="eastAsia" w:ascii="仿宋_GB2312" w:hAnsi="黑体" w:eastAsia="仿宋_GB2312" w:cs="宋体"/>
          <w:b/>
          <w:bCs/>
          <w:kern w:val="0"/>
          <w:sz w:val="72"/>
          <w:szCs w:val="72"/>
        </w:rPr>
      </w:pPr>
      <w:r>
        <w:rPr>
          <w:rFonts w:hint="eastAsia" w:ascii="仿宋_GB2312" w:hAnsi="黑体" w:eastAsia="仿宋_GB2312" w:cs="宋体"/>
          <w:b/>
          <w:bCs/>
          <w:kern w:val="0"/>
          <w:sz w:val="72"/>
          <w:szCs w:val="72"/>
        </w:rPr>
        <w:t>绩效评价报告</w:t>
      </w: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Style w:val="4"/>
        <w:pageBreakBefore w:val="0"/>
        <w:numPr>
          <w:ilvl w:val="-1"/>
          <w:numId w:val="0"/>
        </w:numPr>
        <w:kinsoku/>
        <w:wordWrap/>
        <w:overflowPunct/>
        <w:topLinePunct w:val="0"/>
        <w:autoSpaceDE/>
        <w:autoSpaceDN/>
        <w:bidi w:val="0"/>
        <w:ind w:left="0" w:firstLine="640" w:firstLineChars="200"/>
        <w:outlineLvl w:val="9"/>
        <w:rPr>
          <w:rFonts w:ascii="Times New Roman" w:hAnsi="Times New Roman" w:eastAsia="仿宋_GB2312"/>
          <w:color w:val="auto"/>
        </w:rPr>
      </w:pPr>
    </w:p>
    <w:p>
      <w:pPr>
        <w:spacing w:line="400" w:lineRule="exact"/>
        <w:ind w:firstLine="2040" w:firstLineChars="850"/>
        <w:jc w:val="left"/>
        <w:rPr>
          <w:rFonts w:hint="eastAsia" w:ascii="黑体" w:hAnsi="黑体" w:eastAsia="黑体" w:cs="宋体"/>
          <w:kern w:val="0"/>
          <w:sz w:val="24"/>
          <w:lang w:val="en-US" w:eastAsia="zh-CN"/>
        </w:rPr>
      </w:pPr>
    </w:p>
    <w:p>
      <w:pPr>
        <w:spacing w:line="400" w:lineRule="exact"/>
        <w:ind w:firstLine="2040" w:firstLineChars="850"/>
        <w:jc w:val="left"/>
        <w:rPr>
          <w:rFonts w:hint="eastAsia" w:ascii="黑体" w:hAnsi="黑体" w:eastAsia="黑体" w:cs="宋体"/>
          <w:kern w:val="0"/>
          <w:sz w:val="24"/>
          <w:lang w:val="en-US" w:eastAsia="zh-CN"/>
        </w:rPr>
      </w:pPr>
    </w:p>
    <w:p>
      <w:pPr>
        <w:spacing w:line="400" w:lineRule="exact"/>
        <w:ind w:firstLine="2040" w:firstLineChars="850"/>
        <w:jc w:val="left"/>
        <w:rPr>
          <w:rFonts w:hint="eastAsia" w:ascii="黑体" w:hAnsi="黑体" w:eastAsia="黑体" w:cs="宋体"/>
          <w:kern w:val="0"/>
          <w:sz w:val="24"/>
        </w:rPr>
      </w:pPr>
    </w:p>
    <w:p>
      <w:pPr>
        <w:spacing w:line="400" w:lineRule="exact"/>
        <w:ind w:firstLine="2040" w:firstLineChars="850"/>
        <w:jc w:val="left"/>
        <w:rPr>
          <w:rFonts w:hint="eastAsia" w:ascii="黑体" w:hAnsi="黑体" w:eastAsia="黑体" w:cs="宋体"/>
          <w:kern w:val="0"/>
          <w:sz w:val="24"/>
        </w:rPr>
      </w:pPr>
    </w:p>
    <w:p>
      <w:pPr>
        <w:spacing w:line="400" w:lineRule="exact"/>
        <w:ind w:firstLine="2040" w:firstLineChars="850"/>
        <w:jc w:val="left"/>
        <w:rPr>
          <w:rFonts w:hint="eastAsia" w:ascii="黑体" w:hAnsi="黑体" w:eastAsia="黑体" w:cs="宋体"/>
          <w:kern w:val="0"/>
          <w:sz w:val="24"/>
          <w:highlight w:val="yellow"/>
        </w:rPr>
      </w:pPr>
      <w:r>
        <w:rPr>
          <w:rFonts w:hint="eastAsia" w:ascii="黑体" w:hAnsi="黑体" w:eastAsia="黑体" w:cs="宋体"/>
          <w:kern w:val="0"/>
          <w:sz w:val="24"/>
          <w:highlight w:val="none"/>
        </w:rPr>
        <w:t>报告编号：中瑞诚喀绩评字[202</w:t>
      </w:r>
      <w:r>
        <w:rPr>
          <w:rFonts w:hint="eastAsia" w:ascii="黑体" w:hAnsi="黑体" w:eastAsia="黑体" w:cs="宋体"/>
          <w:kern w:val="0"/>
          <w:sz w:val="24"/>
          <w:highlight w:val="none"/>
          <w:lang w:val="en-US" w:eastAsia="zh-CN"/>
        </w:rPr>
        <w:t>3</w:t>
      </w:r>
      <w:r>
        <w:rPr>
          <w:rFonts w:hint="eastAsia" w:ascii="黑体" w:hAnsi="黑体" w:eastAsia="黑体" w:cs="宋体"/>
          <w:kern w:val="0"/>
          <w:sz w:val="24"/>
          <w:highlight w:val="none"/>
        </w:rPr>
        <w:t>]0</w:t>
      </w:r>
      <w:r>
        <w:rPr>
          <w:rFonts w:hint="eastAsia" w:ascii="黑体" w:hAnsi="黑体" w:eastAsia="黑体" w:cs="宋体"/>
          <w:kern w:val="0"/>
          <w:sz w:val="24"/>
          <w:highlight w:val="none"/>
          <w:lang w:val="en-US" w:eastAsia="zh-CN"/>
        </w:rPr>
        <w:t>16</w:t>
      </w:r>
      <w:r>
        <w:rPr>
          <w:rFonts w:hint="eastAsia" w:ascii="黑体" w:hAnsi="黑体" w:eastAsia="黑体" w:cs="宋体"/>
          <w:kern w:val="0"/>
          <w:sz w:val="24"/>
          <w:highlight w:val="none"/>
        </w:rPr>
        <w:t>号</w:t>
      </w:r>
    </w:p>
    <w:p>
      <w:pPr>
        <w:spacing w:line="400" w:lineRule="exact"/>
        <w:ind w:firstLine="2040" w:firstLineChars="850"/>
        <w:jc w:val="left"/>
        <w:rPr>
          <w:rFonts w:hint="eastAsia" w:ascii="黑体" w:hAnsi="黑体" w:eastAsia="黑体" w:cs="宋体"/>
          <w:kern w:val="0"/>
          <w:sz w:val="24"/>
          <w:highlight w:val="none"/>
        </w:rPr>
      </w:pPr>
      <w:r>
        <w:rPr>
          <w:rFonts w:hint="eastAsia" w:ascii="黑体" w:hAnsi="黑体" w:eastAsia="黑体" w:cs="宋体"/>
          <w:kern w:val="0"/>
          <w:sz w:val="24"/>
          <w:highlight w:val="none"/>
        </w:rPr>
        <w:t>委托单位：</w:t>
      </w:r>
      <w:r>
        <w:rPr>
          <w:rFonts w:hint="eastAsia" w:ascii="黑体" w:hAnsi="黑体" w:eastAsia="黑体" w:cs="宋体"/>
          <w:kern w:val="0"/>
          <w:sz w:val="24"/>
          <w:highlight w:val="none"/>
          <w:lang w:eastAsia="zh-CN"/>
        </w:rPr>
        <w:t>疏附县</w:t>
      </w:r>
      <w:r>
        <w:rPr>
          <w:rFonts w:hint="eastAsia" w:ascii="黑体" w:hAnsi="黑体" w:eastAsia="黑体" w:cs="宋体"/>
          <w:kern w:val="0"/>
          <w:sz w:val="24"/>
          <w:highlight w:val="none"/>
        </w:rPr>
        <w:t>财政局</w:t>
      </w:r>
    </w:p>
    <w:p>
      <w:pPr>
        <w:spacing w:line="400" w:lineRule="exact"/>
        <w:ind w:firstLine="2040" w:firstLineChars="850"/>
        <w:jc w:val="left"/>
        <w:rPr>
          <w:rFonts w:hint="eastAsia" w:ascii="黑体" w:hAnsi="黑体" w:eastAsia="黑体" w:cs="宋体"/>
          <w:kern w:val="0"/>
          <w:sz w:val="24"/>
          <w:highlight w:val="none"/>
        </w:rPr>
      </w:pPr>
      <w:r>
        <w:rPr>
          <w:rFonts w:hint="eastAsia" w:ascii="黑体" w:hAnsi="黑体" w:eastAsia="黑体" w:cs="宋体"/>
          <w:kern w:val="0"/>
          <w:sz w:val="24"/>
          <w:highlight w:val="none"/>
        </w:rPr>
        <w:t>评价机构：中瑞诚会计师事务所（特殊普通合伙）喀什分所</w:t>
      </w:r>
    </w:p>
    <w:p>
      <w:pPr>
        <w:spacing w:line="400" w:lineRule="exact"/>
        <w:ind w:firstLine="2040" w:firstLineChars="850"/>
        <w:jc w:val="left"/>
        <w:rPr>
          <w:rFonts w:hint="eastAsia" w:ascii="黑体" w:hAnsi="黑体" w:eastAsia="黑体" w:cs="宋体"/>
          <w:kern w:val="0"/>
          <w:sz w:val="24"/>
          <w:highlight w:val="none"/>
        </w:rPr>
      </w:pPr>
      <w:r>
        <w:rPr>
          <w:rFonts w:hint="eastAsia" w:ascii="黑体" w:hAnsi="黑体" w:eastAsia="黑体" w:cs="宋体"/>
          <w:kern w:val="0"/>
          <w:sz w:val="24"/>
          <w:highlight w:val="none"/>
        </w:rPr>
        <w:t>报告时间：</w:t>
      </w:r>
      <w:r>
        <w:rPr>
          <w:rFonts w:hint="eastAsia" w:ascii="黑体" w:hAnsi="黑体" w:eastAsia="黑体" w:cs="宋体"/>
          <w:kern w:val="0"/>
          <w:sz w:val="24"/>
          <w:highlight w:val="none"/>
          <w:lang w:eastAsia="zh-CN"/>
        </w:rPr>
        <w:t>202</w:t>
      </w:r>
      <w:r>
        <w:rPr>
          <w:rFonts w:hint="eastAsia" w:ascii="黑体" w:hAnsi="黑体" w:eastAsia="黑体" w:cs="宋体"/>
          <w:kern w:val="0"/>
          <w:sz w:val="24"/>
          <w:highlight w:val="none"/>
          <w:lang w:val="en-US" w:eastAsia="zh-CN"/>
        </w:rPr>
        <w:t>3</w:t>
      </w:r>
      <w:r>
        <w:rPr>
          <w:rFonts w:hint="eastAsia" w:ascii="黑体" w:hAnsi="黑体" w:eastAsia="黑体" w:cs="宋体"/>
          <w:kern w:val="0"/>
          <w:sz w:val="24"/>
          <w:highlight w:val="none"/>
          <w:lang w:eastAsia="zh-CN"/>
        </w:rPr>
        <w:t>年</w:t>
      </w:r>
      <w:r>
        <w:rPr>
          <w:rFonts w:hint="eastAsia" w:ascii="黑体" w:hAnsi="黑体" w:eastAsia="黑体" w:cs="宋体"/>
          <w:kern w:val="0"/>
          <w:sz w:val="24"/>
          <w:highlight w:val="none"/>
          <w:lang w:val="en-US" w:eastAsia="zh-CN"/>
        </w:rPr>
        <w:t>07</w:t>
      </w:r>
      <w:r>
        <w:rPr>
          <w:rFonts w:hint="eastAsia" w:ascii="黑体" w:hAnsi="黑体" w:eastAsia="黑体" w:cs="宋体"/>
          <w:kern w:val="0"/>
          <w:sz w:val="24"/>
          <w:highlight w:val="none"/>
          <w:lang w:eastAsia="zh-CN"/>
        </w:rPr>
        <w:t>月</w:t>
      </w:r>
      <w:r>
        <w:rPr>
          <w:rFonts w:hint="eastAsia" w:ascii="黑体" w:hAnsi="黑体" w:eastAsia="黑体" w:cs="宋体"/>
          <w:kern w:val="0"/>
          <w:sz w:val="24"/>
          <w:highlight w:val="none"/>
          <w:lang w:val="en-US" w:eastAsia="zh-CN"/>
        </w:rPr>
        <w:t>11</w:t>
      </w:r>
      <w:r>
        <w:rPr>
          <w:rFonts w:hint="eastAsia" w:ascii="黑体" w:hAnsi="黑体" w:eastAsia="黑体" w:cs="宋体"/>
          <w:kern w:val="0"/>
          <w:sz w:val="24"/>
          <w:highlight w:val="none"/>
          <w:lang w:eastAsia="zh-CN"/>
        </w:rPr>
        <w:t>日</w:t>
      </w:r>
    </w:p>
    <w:tbl>
      <w:tblPr>
        <w:tblStyle w:val="17"/>
        <w:tblpPr w:leftFromText="180" w:rightFromText="180" w:vertAnchor="text" w:horzAnchor="margin" w:tblpX="1" w:tblpY="-77"/>
        <w:tblOverlap w:val="never"/>
        <w:tblW w:w="8983" w:type="dxa"/>
        <w:tblInd w:w="0" w:type="dxa"/>
        <w:tblLayout w:type="fixed"/>
        <w:tblCellMar>
          <w:top w:w="15" w:type="dxa"/>
          <w:left w:w="15" w:type="dxa"/>
          <w:bottom w:w="15" w:type="dxa"/>
          <w:right w:w="15" w:type="dxa"/>
        </w:tblCellMar>
      </w:tblPr>
      <w:tblGrid>
        <w:gridCol w:w="1291"/>
        <w:gridCol w:w="992"/>
        <w:gridCol w:w="634"/>
        <w:gridCol w:w="500"/>
        <w:gridCol w:w="851"/>
        <w:gridCol w:w="2126"/>
        <w:gridCol w:w="1337"/>
        <w:gridCol w:w="1252"/>
      </w:tblGrid>
      <w:tr>
        <w:tblPrEx>
          <w:tblLayout w:type="fixed"/>
          <w:tblCellMar>
            <w:top w:w="15" w:type="dxa"/>
            <w:left w:w="15" w:type="dxa"/>
            <w:bottom w:w="15" w:type="dxa"/>
            <w:right w:w="15" w:type="dxa"/>
          </w:tblCellMar>
        </w:tblPrEx>
        <w:trPr>
          <w:trHeight w:val="301" w:hRule="atLeast"/>
        </w:trPr>
        <w:tc>
          <w:tcPr>
            <w:tcW w:w="8983" w:type="dxa"/>
            <w:gridSpan w:val="8"/>
            <w:shd w:val="clear" w:color="auto" w:fill="auto"/>
            <w:vAlign w:val="center"/>
          </w:tcPr>
          <w:p>
            <w:pPr>
              <w:widowControl/>
              <w:spacing w:line="240" w:lineRule="exact"/>
              <w:jc w:val="left"/>
              <w:textAlignment w:val="center"/>
              <w:rPr>
                <w:rFonts w:ascii="黑体" w:hAnsi="宋体" w:eastAsia="黑体" w:cs="黑体"/>
                <w:color w:val="000000"/>
                <w:sz w:val="24"/>
                <w:highlight w:val="yellow"/>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98.5</w:t>
            </w:r>
            <w:r>
              <w:rPr>
                <w:rFonts w:hint="eastAsia" w:ascii="黑体" w:hAnsi="宋体" w:eastAsia="黑体" w:cs="黑体"/>
                <w:color w:val="000000"/>
                <w:kern w:val="0"/>
                <w:sz w:val="24"/>
                <w:highlight w:val="none"/>
              </w:rPr>
              <w:t xml:space="preserve">  评价等级：优</w:t>
            </w:r>
          </w:p>
        </w:tc>
      </w:tr>
      <w:tr>
        <w:tblPrEx>
          <w:tblLayout w:type="fixed"/>
          <w:tblCellMar>
            <w:top w:w="15" w:type="dxa"/>
            <w:left w:w="15" w:type="dxa"/>
            <w:bottom w:w="15" w:type="dxa"/>
            <w:right w:w="15" w:type="dxa"/>
          </w:tblCellMar>
        </w:tblPrEx>
        <w:trPr>
          <w:trHeight w:val="519" w:hRule="atLeast"/>
        </w:trPr>
        <w:tc>
          <w:tcPr>
            <w:tcW w:w="8983" w:type="dxa"/>
            <w:gridSpan w:val="8"/>
            <w:shd w:val="clear" w:color="auto" w:fill="auto"/>
            <w:vAlign w:val="center"/>
          </w:tcPr>
          <w:p>
            <w:pPr>
              <w:widowControl/>
              <w:jc w:val="center"/>
              <w:textAlignment w:val="center"/>
              <w:rPr>
                <w:rFonts w:ascii="黑体" w:hAnsi="宋体" w:eastAsia="黑体" w:cs="黑体"/>
                <w:b/>
                <w:color w:val="000000"/>
                <w:sz w:val="36"/>
                <w:szCs w:val="36"/>
                <w:highlight w:val="yellow"/>
              </w:rPr>
            </w:pPr>
            <w:r>
              <w:rPr>
                <w:rFonts w:hint="eastAsia" w:ascii="黑体" w:hAnsi="宋体" w:eastAsia="黑体" w:cs="黑体"/>
                <w:b/>
                <w:color w:val="000000"/>
                <w:kern w:val="0"/>
                <w:sz w:val="36"/>
                <w:szCs w:val="36"/>
                <w:highlight w:val="none"/>
              </w:rPr>
              <w:t>概   要</w:t>
            </w:r>
          </w:p>
        </w:tc>
      </w:tr>
      <w:tr>
        <w:tblPrEx>
          <w:tblLayout w:type="fixed"/>
          <w:tblCellMar>
            <w:top w:w="15" w:type="dxa"/>
            <w:left w:w="15" w:type="dxa"/>
            <w:bottom w:w="15" w:type="dxa"/>
            <w:right w:w="15" w:type="dxa"/>
          </w:tblCellMar>
        </w:tblPrEx>
        <w:trPr>
          <w:trHeight w:val="330" w:hRule="atLeast"/>
        </w:trPr>
        <w:tc>
          <w:tcPr>
            <w:tcW w:w="8983" w:type="dxa"/>
            <w:gridSpan w:val="8"/>
            <w:shd w:val="clear" w:color="auto" w:fill="auto"/>
            <w:vAlign w:val="center"/>
          </w:tcPr>
          <w:p>
            <w:pPr>
              <w:widowControl/>
              <w:spacing w:line="240" w:lineRule="exact"/>
              <w:jc w:val="left"/>
              <w:textAlignment w:val="center"/>
              <w:rPr>
                <w:rFonts w:ascii="黑体" w:hAnsi="黑体" w:eastAsia="黑体" w:cs="仿宋_GB2312"/>
                <w:color w:val="000000"/>
                <w:sz w:val="22"/>
                <w:highlight w:val="yellow"/>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eastAsia="zh-CN"/>
              </w:rPr>
              <w:t>中瑞诚会计师事务所（特殊普通合伙）喀什分所</w:t>
            </w:r>
            <w:r>
              <w:rPr>
                <w:rFonts w:hint="eastAsia" w:ascii="黑体" w:hAnsi="黑体" w:eastAsia="黑体" w:cs="仿宋_GB2312"/>
                <w:color w:val="000000"/>
                <w:kern w:val="0"/>
                <w:sz w:val="22"/>
                <w:highlight w:val="none"/>
              </w:rPr>
              <w:t>单位：万元、类、个</w:t>
            </w:r>
            <w:r>
              <w:rPr>
                <w:rFonts w:hint="eastAsia" w:ascii="黑体" w:hAnsi="黑体" w:eastAsia="黑体" w:cs="仿宋_GB2312"/>
                <w:color w:val="000000"/>
                <w:kern w:val="0"/>
                <w:sz w:val="22"/>
                <w:highlight w:val="yellow"/>
              </w:rPr>
              <w:t xml:space="preserve">                     </w:t>
            </w:r>
          </w:p>
        </w:tc>
      </w:tr>
      <w:tr>
        <w:tblPrEx>
          <w:tblLayout w:type="fixed"/>
          <w:tblCellMar>
            <w:top w:w="15" w:type="dxa"/>
            <w:left w:w="15" w:type="dxa"/>
            <w:bottom w:w="15" w:type="dxa"/>
            <w:right w:w="15" w:type="dxa"/>
          </w:tblCellMar>
        </w:tblPrEx>
        <w:trPr>
          <w:trHeight w:val="43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51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宋体"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草原管护员补助项目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宋体"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2022年</w:t>
            </w:r>
          </w:p>
        </w:tc>
      </w:tr>
      <w:tr>
        <w:tblPrEx>
          <w:tblLayout w:type="fixed"/>
          <w:tblCellMar>
            <w:top w:w="15" w:type="dxa"/>
            <w:left w:w="15" w:type="dxa"/>
            <w:bottom w:w="15" w:type="dxa"/>
            <w:right w:w="15" w:type="dxa"/>
          </w:tblCellMar>
        </w:tblPrEx>
        <w:trPr>
          <w:trHeight w:val="46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财政主管处室</w:t>
            </w:r>
          </w:p>
        </w:tc>
        <w:tc>
          <w:tcPr>
            <w:tcW w:w="297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绩效股</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Times New Roman" w:hAnsi="Times New Roman" w:eastAsia="仿宋_GB2312" w:cs="仿宋_GB2312"/>
                <w:color w:val="auto"/>
                <w:sz w:val="20"/>
                <w:szCs w:val="20"/>
                <w:highlight w:val="none"/>
                <w:lang w:val="en-US" w:eastAsia="zh-CN"/>
              </w:rPr>
              <w:t>林俊15509978655</w:t>
            </w:r>
          </w:p>
        </w:tc>
      </w:tr>
      <w:tr>
        <w:tblPrEx>
          <w:tblLayout w:type="fixed"/>
          <w:tblCellMar>
            <w:top w:w="15" w:type="dxa"/>
            <w:left w:w="15" w:type="dxa"/>
            <w:bottom w:w="15" w:type="dxa"/>
            <w:right w:w="15" w:type="dxa"/>
          </w:tblCellMar>
        </w:tblPrEx>
        <w:trPr>
          <w:trHeight w:val="40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主管部门</w:t>
            </w:r>
          </w:p>
        </w:tc>
        <w:tc>
          <w:tcPr>
            <w:tcW w:w="297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eastAsia="zh-CN"/>
              </w:rPr>
              <w:t>疏附县</w:t>
            </w:r>
            <w:r>
              <w:rPr>
                <w:rFonts w:hint="eastAsia" w:ascii="仿宋_GB2312" w:hAnsi="宋体" w:eastAsia="仿宋_GB2312" w:cs="仿宋_GB2312"/>
                <w:color w:val="000000"/>
                <w:sz w:val="20"/>
                <w:szCs w:val="20"/>
                <w:lang w:val="en-US" w:eastAsia="zh-CN"/>
              </w:rPr>
              <w:t>自然资源</w:t>
            </w:r>
            <w:r>
              <w:rPr>
                <w:rFonts w:hint="eastAsia" w:ascii="仿宋_GB2312" w:hAnsi="宋体" w:eastAsia="仿宋_GB2312" w:cs="仿宋_GB2312"/>
                <w:color w:val="000000"/>
                <w:sz w:val="20"/>
                <w:szCs w:val="20"/>
                <w:lang w:eastAsia="zh-CN"/>
              </w:rPr>
              <w:t>局</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yellow"/>
              </w:rPr>
            </w:pPr>
            <w:r>
              <w:rPr>
                <w:rFonts w:hint="eastAsia" w:ascii="黑体" w:hAnsi="宋体" w:eastAsia="黑体" w:cs="黑体"/>
                <w:color w:val="000000"/>
                <w:kern w:val="0"/>
                <w:sz w:val="20"/>
                <w:szCs w:val="20"/>
                <w:highlight w:val="none"/>
              </w:rPr>
              <w:t>联系人及联系方式</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比力克孜15109983707</w:t>
            </w:r>
          </w:p>
        </w:tc>
      </w:tr>
      <w:tr>
        <w:tblPrEx>
          <w:tblLayout w:type="fixed"/>
          <w:tblCellMar>
            <w:top w:w="15" w:type="dxa"/>
            <w:left w:w="15" w:type="dxa"/>
            <w:bottom w:w="15" w:type="dxa"/>
            <w:right w:w="15" w:type="dxa"/>
          </w:tblCellMar>
        </w:tblPrEx>
        <w:trPr>
          <w:trHeight w:val="53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eastAsia="zh-CN"/>
              </w:rPr>
              <w:t>实地调研、文件研读等方式</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yellow"/>
              </w:rPr>
            </w:pPr>
            <w:r>
              <w:rPr>
                <w:rFonts w:hint="eastAsia" w:ascii="黑体" w:hAnsi="宋体" w:eastAsia="黑体" w:cs="黑体"/>
                <w:color w:val="000000"/>
                <w:kern w:val="0"/>
                <w:sz w:val="20"/>
                <w:szCs w:val="20"/>
                <w:highlight w:val="none"/>
              </w:rPr>
              <w:t>自评分值</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优</w:t>
            </w:r>
          </w:p>
        </w:tc>
      </w:tr>
      <w:tr>
        <w:tblPrEx>
          <w:tblLayout w:type="fixed"/>
          <w:tblCellMar>
            <w:top w:w="15" w:type="dxa"/>
            <w:left w:w="15" w:type="dxa"/>
            <w:bottom w:w="15" w:type="dxa"/>
            <w:right w:w="15" w:type="dxa"/>
          </w:tblCellMar>
        </w:tblPrEx>
        <w:trPr>
          <w:trHeight w:val="615"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各级预算资金</w:t>
            </w:r>
          </w:p>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投入数</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194.00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抽查资金总数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194.00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100</w:t>
            </w:r>
            <w:r>
              <w:rPr>
                <w:rFonts w:hint="eastAsia" w:ascii="仿宋_GB2312" w:hAnsi="仿宋_GB2312" w:eastAsia="仿宋_GB2312" w:cs="仿宋_GB2312"/>
                <w:color w:val="000000"/>
                <w:sz w:val="20"/>
                <w:szCs w:val="20"/>
                <w:lang w:eastAsia="zh-CN"/>
              </w:rPr>
              <w:t>%</w:t>
            </w:r>
          </w:p>
        </w:tc>
      </w:tr>
      <w:tr>
        <w:tblPrEx>
          <w:tblLayout w:type="fixed"/>
          <w:tblCellMar>
            <w:top w:w="15" w:type="dxa"/>
            <w:left w:w="15" w:type="dxa"/>
            <w:bottom w:w="15" w:type="dxa"/>
            <w:right w:w="15" w:type="dxa"/>
          </w:tblCellMar>
        </w:tblPrEx>
        <w:trPr>
          <w:trHeight w:val="659"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olor w:val="000000"/>
                <w:kern w:val="0"/>
                <w:sz w:val="20"/>
                <w:szCs w:val="20"/>
                <w:highlight w:val="none"/>
              </w:rPr>
            </w:pPr>
            <w:r>
              <w:rPr>
                <w:rFonts w:hint="eastAsia" w:ascii="黑体" w:hAnsi="宋体" w:eastAsia="黑体" w:cs="黑体"/>
                <w:color w:val="000000"/>
                <w:kern w:val="0"/>
                <w:sz w:val="20"/>
                <w:szCs w:val="20"/>
                <w:highlight w:val="none"/>
                <w:lang w:val="en-US" w:eastAsia="zh-CN"/>
              </w:rPr>
              <w:t>其中：</w:t>
            </w:r>
            <w:r>
              <w:rPr>
                <w:rFonts w:hint="eastAsia" w:ascii="黑体" w:hAnsi="宋体" w:eastAsia="黑体" w:cs="黑体"/>
                <w:color w:val="000000"/>
                <w:kern w:val="0"/>
                <w:sz w:val="20"/>
                <w:szCs w:val="20"/>
                <w:highlight w:val="none"/>
              </w:rPr>
              <w:t>中央财政资金拨付数</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194.00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lang w:val="en-US" w:eastAsia="zh-CN"/>
              </w:rPr>
              <w:t>其中：中央财政资金抽查数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194.00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olor w:val="000000"/>
                <w:kern w:val="0"/>
                <w:sz w:val="20"/>
                <w:szCs w:val="20"/>
                <w:highlight w:val="none"/>
              </w:rPr>
            </w:pPr>
            <w:r>
              <w:rPr>
                <w:rFonts w:hint="eastAsia" w:ascii="黑体" w:hAnsi="宋体" w:eastAsia="黑体" w:cs="黑体"/>
                <w:color w:val="000000"/>
                <w:kern w:val="0"/>
                <w:sz w:val="20"/>
                <w:szCs w:val="20"/>
                <w:highlight w:val="none"/>
                <w:lang w:val="en-US" w:eastAsia="zh-CN"/>
              </w:rPr>
              <w:t>其中：</w:t>
            </w:r>
            <w:r>
              <w:rPr>
                <w:rFonts w:hint="eastAsia" w:ascii="黑体" w:hAnsi="宋体" w:eastAsia="黑体" w:cs="黑体"/>
                <w:color w:val="000000"/>
                <w:kern w:val="0"/>
                <w:sz w:val="20"/>
                <w:szCs w:val="20"/>
                <w:highlight w:val="none"/>
              </w:rPr>
              <w:t>中央财政资金抽查占比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auto"/>
                <w:sz w:val="20"/>
                <w:szCs w:val="20"/>
                <w:highlight w:val="none"/>
              </w:rPr>
              <w:t>100%</w:t>
            </w:r>
          </w:p>
        </w:tc>
      </w:tr>
      <w:tr>
        <w:tblPrEx>
          <w:tblLayout w:type="fixed"/>
          <w:tblCellMar>
            <w:top w:w="15" w:type="dxa"/>
            <w:left w:w="15" w:type="dxa"/>
            <w:bottom w:w="15" w:type="dxa"/>
            <w:right w:w="15" w:type="dxa"/>
          </w:tblCellMar>
        </w:tblPrEx>
        <w:trPr>
          <w:trHeight w:val="49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bidi="ar-SA"/>
              </w:rPr>
            </w:pPr>
            <w:r>
              <w:rPr>
                <w:rFonts w:hint="eastAsia" w:ascii="黑体" w:hAnsi="黑体" w:eastAsia="黑体" w:cs="黑体"/>
                <w:b w:val="0"/>
                <w:bCs w:val="0"/>
                <w:color w:val="auto"/>
                <w:kern w:val="0"/>
                <w:sz w:val="20"/>
                <w:szCs w:val="20"/>
                <w:lang w:val="en-US" w:eastAsia="zh-CN"/>
              </w:rPr>
              <w:t>自治区</w:t>
            </w:r>
            <w:r>
              <w:rPr>
                <w:rFonts w:hint="eastAsia" w:ascii="黑体" w:hAnsi="黑体" w:eastAsia="黑体" w:cs="黑体"/>
                <w:b w:val="0"/>
                <w:bCs w:val="0"/>
                <w:color w:val="auto"/>
                <w:kern w:val="0"/>
                <w:sz w:val="20"/>
                <w:szCs w:val="20"/>
              </w:rPr>
              <w:t>财政资金拨付数</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2"/>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0.00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bidi="ar-SA"/>
              </w:rPr>
            </w:pPr>
            <w:r>
              <w:rPr>
                <w:rFonts w:hint="eastAsia" w:ascii="黑体" w:hAnsi="黑体" w:eastAsia="黑体" w:cs="黑体"/>
                <w:b w:val="0"/>
                <w:bCs w:val="0"/>
                <w:color w:val="auto"/>
                <w:kern w:val="0"/>
                <w:sz w:val="20"/>
                <w:szCs w:val="20"/>
                <w:lang w:val="en-US" w:eastAsia="zh-CN"/>
              </w:rPr>
              <w:t>自治区财政资金抽查数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2"/>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bidi="ar-SA"/>
              </w:rPr>
            </w:pPr>
            <w:r>
              <w:rPr>
                <w:rFonts w:hint="eastAsia" w:ascii="黑体" w:hAnsi="黑体" w:eastAsia="黑体" w:cs="黑体"/>
                <w:b w:val="0"/>
                <w:bCs w:val="0"/>
                <w:color w:val="auto"/>
                <w:kern w:val="0"/>
                <w:sz w:val="20"/>
                <w:szCs w:val="20"/>
                <w:lang w:val="en-US" w:eastAsia="zh-CN"/>
              </w:rPr>
              <w:t>自治区</w:t>
            </w:r>
            <w:r>
              <w:rPr>
                <w:rFonts w:hint="eastAsia" w:ascii="黑体" w:hAnsi="黑体" w:eastAsia="黑体" w:cs="黑体"/>
                <w:b w:val="0"/>
                <w:bCs w:val="0"/>
                <w:color w:val="auto"/>
                <w:kern w:val="0"/>
                <w:sz w:val="20"/>
                <w:szCs w:val="20"/>
              </w:rPr>
              <w:t>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2"/>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0%</w:t>
            </w:r>
          </w:p>
        </w:tc>
      </w:tr>
      <w:tr>
        <w:tblPrEx>
          <w:tblLayout w:type="fixed"/>
          <w:tblCellMar>
            <w:top w:w="15" w:type="dxa"/>
            <w:left w:w="15" w:type="dxa"/>
            <w:bottom w:w="15" w:type="dxa"/>
            <w:right w:w="15" w:type="dxa"/>
          </w:tblCellMar>
        </w:tblPrEx>
        <w:trPr>
          <w:trHeight w:val="49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宋体" w:eastAsia="黑体" w:cs="黑体"/>
                <w:color w:val="000000"/>
                <w:kern w:val="0"/>
                <w:sz w:val="20"/>
                <w:szCs w:val="20"/>
                <w:highlight w:val="none"/>
              </w:rPr>
            </w:pPr>
            <w:r>
              <w:rPr>
                <w:rFonts w:hint="eastAsia" w:ascii="黑体" w:hAnsi="黑体" w:eastAsia="黑体" w:cs="黑体"/>
                <w:b w:val="0"/>
                <w:bCs w:val="0"/>
                <w:color w:val="auto"/>
                <w:kern w:val="0"/>
                <w:sz w:val="20"/>
                <w:szCs w:val="20"/>
              </w:rPr>
              <w:t>拨付数</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auto"/>
                <w:sz w:val="20"/>
                <w:szCs w:val="20"/>
                <w:highlight w:val="none"/>
                <w:lang w:val="en-US" w:eastAsia="zh-CN"/>
              </w:rPr>
              <w:t>0.00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宋体" w:eastAsia="黑体" w:cs="黑体"/>
                <w:color w:val="000000"/>
                <w:kern w:val="0"/>
                <w:sz w:val="20"/>
                <w:szCs w:val="20"/>
                <w:highlight w:val="none"/>
              </w:rPr>
            </w:pPr>
            <w:r>
              <w:rPr>
                <w:rFonts w:hint="eastAsia" w:ascii="黑体" w:hAnsi="黑体" w:eastAsia="黑体" w:cs="黑体"/>
                <w:b w:val="0"/>
                <w:bCs w:val="0"/>
                <w:color w:val="auto"/>
                <w:kern w:val="0"/>
                <w:sz w:val="20"/>
                <w:szCs w:val="20"/>
              </w:rPr>
              <w:t>抽查数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auto"/>
                <w:sz w:val="20"/>
                <w:szCs w:val="20"/>
                <w:highlight w:val="none"/>
                <w:lang w:val="en-US" w:eastAsia="zh-CN"/>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宋体" w:eastAsia="黑体" w:cs="黑体"/>
                <w:color w:val="000000"/>
                <w:kern w:val="0"/>
                <w:sz w:val="20"/>
                <w:szCs w:val="20"/>
                <w:highlight w:val="none"/>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auto"/>
                <w:sz w:val="20"/>
                <w:szCs w:val="20"/>
                <w:highlight w:val="none"/>
                <w:lang w:val="en-US" w:eastAsia="zh-CN"/>
              </w:rPr>
              <w:t>0%</w:t>
            </w:r>
          </w:p>
        </w:tc>
      </w:tr>
      <w:tr>
        <w:tblPrEx>
          <w:tblLayout w:type="fixed"/>
          <w:tblCellMar>
            <w:top w:w="15" w:type="dxa"/>
            <w:left w:w="15" w:type="dxa"/>
            <w:bottom w:w="15" w:type="dxa"/>
            <w:right w:w="15" w:type="dxa"/>
          </w:tblCellMar>
        </w:tblPrEx>
        <w:trPr>
          <w:trHeight w:val="488"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项目类别</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补助类</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抽查类别</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补助类</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w:t>
            </w:r>
          </w:p>
        </w:tc>
      </w:tr>
      <w:tr>
        <w:tblPrEx>
          <w:tblLayout w:type="fixed"/>
          <w:tblCellMar>
            <w:top w:w="15" w:type="dxa"/>
            <w:left w:w="15" w:type="dxa"/>
            <w:bottom w:w="15" w:type="dxa"/>
            <w:right w:w="15" w:type="dxa"/>
          </w:tblCellMar>
        </w:tblPrEx>
        <w:trPr>
          <w:trHeight w:val="5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项目数量</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eastAsia="zh-CN"/>
              </w:rPr>
              <w:t>1</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抽查项目数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eastAsia="zh-CN"/>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100%</w:t>
            </w:r>
          </w:p>
        </w:tc>
      </w:tr>
      <w:tr>
        <w:tblPrEx>
          <w:tblLayout w:type="fixed"/>
          <w:tblCellMar>
            <w:top w:w="15" w:type="dxa"/>
            <w:left w:w="15" w:type="dxa"/>
            <w:bottom w:w="15" w:type="dxa"/>
            <w:right w:w="15" w:type="dxa"/>
          </w:tblCellMar>
        </w:tblPrEx>
        <w:trPr>
          <w:trHeight w:val="410"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涉及</w:t>
            </w:r>
          </w:p>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项目点</w:t>
            </w:r>
          </w:p>
        </w:tc>
        <w:tc>
          <w:tcPr>
            <w:tcW w:w="99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1</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抽查</w:t>
            </w:r>
            <w:r>
              <w:rPr>
                <w:rFonts w:hint="eastAsia" w:ascii="黑体" w:hAnsi="黑体" w:eastAsia="黑体" w:cs="仿宋_GB2312"/>
                <w:color w:val="000000"/>
                <w:sz w:val="20"/>
                <w:szCs w:val="20"/>
                <w:highlight w:val="none"/>
                <w:lang w:eastAsia="zh-CN"/>
              </w:rPr>
              <w:t>乡镇</w:t>
            </w:r>
            <w:r>
              <w:rPr>
                <w:rFonts w:hint="eastAsia" w:ascii="黑体" w:hAnsi="黑体" w:eastAsia="黑体" w:cs="仿宋_GB2312"/>
                <w:color w:val="000000"/>
                <w:sz w:val="20"/>
                <w:szCs w:val="20"/>
                <w:highlight w:val="none"/>
              </w:rPr>
              <w:t>数</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宋体" w:eastAsia="黑体" w:cs="黑体"/>
                <w:color w:val="000000"/>
                <w:kern w:val="0"/>
                <w:sz w:val="20"/>
                <w:szCs w:val="20"/>
                <w:highlight w:val="none"/>
              </w:rPr>
            </w:pPr>
            <w:r>
              <w:rPr>
                <w:rFonts w:hint="eastAsia" w:ascii="黑体" w:hAnsi="黑体" w:eastAsia="黑体" w:cs="仿宋_GB2312"/>
                <w:color w:val="000000"/>
                <w:sz w:val="20"/>
                <w:szCs w:val="20"/>
                <w:highlight w:val="none"/>
              </w:rPr>
              <w:t>或项目点</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default"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1</w:t>
            </w:r>
          </w:p>
        </w:tc>
        <w:tc>
          <w:tcPr>
            <w:tcW w:w="212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抽查</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宋体" w:eastAsia="黑体" w:cs="黑体"/>
                <w:color w:val="000000"/>
                <w:kern w:val="0"/>
                <w:sz w:val="20"/>
                <w:szCs w:val="20"/>
                <w:highlight w:val="none"/>
              </w:rPr>
            </w:pPr>
            <w:r>
              <w:rPr>
                <w:rFonts w:hint="eastAsia" w:ascii="黑体" w:hAnsi="黑体" w:eastAsia="黑体" w:cs="仿宋_GB2312"/>
                <w:color w:val="000000"/>
                <w:sz w:val="20"/>
                <w:szCs w:val="20"/>
                <w:highlight w:val="none"/>
              </w:rPr>
              <w:t>区域</w:t>
            </w:r>
          </w:p>
        </w:tc>
        <w:tc>
          <w:tcPr>
            <w:tcW w:w="2589"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default"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疏附县</w:t>
            </w:r>
          </w:p>
        </w:tc>
      </w:tr>
      <w:tr>
        <w:tblPrEx>
          <w:tblLayout w:type="fixed"/>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w:t>
            </w:r>
          </w:p>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99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default"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194</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有效调查</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黑体" w:eastAsia="黑体" w:cs="仿宋_GB2312"/>
                <w:color w:val="000000"/>
                <w:kern w:val="0"/>
                <w:sz w:val="20"/>
                <w:szCs w:val="20"/>
                <w:highlight w:val="none"/>
              </w:rPr>
            </w:pPr>
            <w:r>
              <w:rPr>
                <w:rFonts w:hint="eastAsia" w:ascii="黑体" w:hAnsi="黑体" w:eastAsia="黑体" w:cs="仿宋_GB2312"/>
                <w:color w:val="000000"/>
                <w:sz w:val="20"/>
                <w:szCs w:val="20"/>
                <w:highlight w:val="none"/>
              </w:rPr>
              <w:t>问卷</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default"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194</w:t>
            </w:r>
          </w:p>
        </w:tc>
        <w:tc>
          <w:tcPr>
            <w:tcW w:w="212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仿宋_GB2312" w:hAnsi="宋体" w:eastAsia="仿宋_GB2312" w:cs="仿宋_GB2312"/>
                <w:color w:val="000000"/>
                <w:kern w:val="0"/>
                <w:sz w:val="20"/>
                <w:szCs w:val="20"/>
                <w:highlight w:val="none"/>
              </w:rPr>
            </w:pPr>
            <w:r>
              <w:rPr>
                <w:rFonts w:hint="eastAsia" w:ascii="黑体" w:hAnsi="黑体" w:eastAsia="黑体" w:cs="仿宋_GB2312"/>
                <w:color w:val="000000"/>
                <w:sz w:val="20"/>
                <w:szCs w:val="20"/>
                <w:highlight w:val="none"/>
              </w:rPr>
              <w:t>情况</w:t>
            </w:r>
          </w:p>
        </w:tc>
        <w:tc>
          <w:tcPr>
            <w:tcW w:w="2589"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95%</w:t>
            </w:r>
          </w:p>
        </w:tc>
      </w:tr>
      <w:tr>
        <w:tblPrEx>
          <w:tblLayout w:type="fixed"/>
          <w:tblCellMar>
            <w:top w:w="15" w:type="dxa"/>
            <w:left w:w="15" w:type="dxa"/>
            <w:bottom w:w="15" w:type="dxa"/>
            <w:right w:w="15" w:type="dxa"/>
          </w:tblCellMar>
        </w:tblPrEx>
        <w:trPr>
          <w:trHeight w:val="720"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lang w:val="en-US" w:eastAsia="zh-CN"/>
              </w:rPr>
            </w:pPr>
            <w:r>
              <w:rPr>
                <w:rFonts w:hint="eastAsia" w:ascii="黑体" w:hAnsi="黑体" w:eastAsia="黑体" w:cs="仿宋_GB2312"/>
                <w:color w:val="000000"/>
                <w:sz w:val="20"/>
                <w:szCs w:val="20"/>
                <w:highlight w:val="none"/>
                <w:lang w:val="en-US" w:eastAsia="zh-CN"/>
              </w:rPr>
              <w:t>绩效目标</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宋体" w:eastAsia="黑体" w:cs="黑体"/>
                <w:color w:val="000000"/>
                <w:sz w:val="20"/>
                <w:szCs w:val="20"/>
                <w:highlight w:val="none"/>
              </w:rPr>
            </w:pPr>
            <w:r>
              <w:rPr>
                <w:rFonts w:hint="eastAsia" w:ascii="黑体" w:hAnsi="黑体" w:eastAsia="黑体" w:cs="仿宋_GB2312"/>
                <w:color w:val="000000"/>
                <w:sz w:val="20"/>
                <w:szCs w:val="20"/>
                <w:highlight w:val="none"/>
                <w:lang w:val="en-US" w:eastAsia="zh-CN"/>
              </w:rPr>
              <w:t>实现情况</w:t>
            </w:r>
          </w:p>
        </w:tc>
        <w:tc>
          <w:tcPr>
            <w:tcW w:w="769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截止绩效评价日，本项目已发放194户草原管护的劳务补助194万元，每人每年1万元，提高了农民生活质量，保障了草原管护员基本生活，草原管护员满意度达到了95%。</w:t>
            </w:r>
          </w:p>
        </w:tc>
      </w:tr>
      <w:tr>
        <w:tblPrEx>
          <w:tblLayout w:type="fixed"/>
          <w:tblCellMar>
            <w:top w:w="15" w:type="dxa"/>
            <w:left w:w="15" w:type="dxa"/>
            <w:bottom w:w="15" w:type="dxa"/>
            <w:right w:w="15" w:type="dxa"/>
          </w:tblCellMar>
        </w:tblPrEx>
        <w:trPr>
          <w:trHeight w:val="620"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评价问题</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黑体" w:hAnsi="宋体" w:eastAsia="黑体" w:cs="黑体"/>
                <w:color w:val="000000"/>
                <w:kern w:val="0"/>
                <w:sz w:val="20"/>
                <w:szCs w:val="20"/>
                <w:highlight w:val="none"/>
              </w:rPr>
            </w:pPr>
            <w:r>
              <w:rPr>
                <w:rFonts w:hint="eastAsia" w:ascii="黑体" w:hAnsi="黑体" w:eastAsia="黑体" w:cs="仿宋_GB2312"/>
                <w:color w:val="000000"/>
                <w:sz w:val="20"/>
                <w:szCs w:val="20"/>
                <w:highlight w:val="none"/>
              </w:rPr>
              <w:t>简要情况</w:t>
            </w:r>
          </w:p>
        </w:tc>
        <w:tc>
          <w:tcPr>
            <w:tcW w:w="7692" w:type="dxa"/>
            <w:gridSpan w:val="7"/>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宋体" w:hAnsi="宋体" w:eastAsia="宋体" w:cs="宋体"/>
                <w:b w:val="0"/>
                <w:bCs w:val="0"/>
                <w:color w:val="000000"/>
                <w:kern w:val="2"/>
                <w:sz w:val="20"/>
                <w:szCs w:val="20"/>
                <w:highlight w:val="none"/>
                <w:lang w:val="en-US" w:eastAsia="zh-CN" w:bidi="ar-SA"/>
              </w:rPr>
            </w:pPr>
            <w:r>
              <w:rPr>
                <w:rFonts w:hint="eastAsia" w:ascii="仿宋_GB2312" w:hAnsi="宋体" w:eastAsia="仿宋_GB2312" w:cs="仿宋_GB2312"/>
                <w:color w:val="000000"/>
                <w:sz w:val="20"/>
                <w:szCs w:val="20"/>
                <w:lang w:val="en-US" w:eastAsia="zh-CN"/>
              </w:rPr>
              <w:t>该项目缺少相关的会议纪要材料，项目材料归档不完整。</w:t>
            </w:r>
          </w:p>
        </w:tc>
      </w:tr>
      <w:tr>
        <w:tblPrEx>
          <w:tblLayout w:type="fixed"/>
          <w:tblCellMar>
            <w:top w:w="15" w:type="dxa"/>
            <w:left w:w="15" w:type="dxa"/>
            <w:bottom w:w="15" w:type="dxa"/>
            <w:right w:w="15" w:type="dxa"/>
          </w:tblCellMar>
        </w:tblPrEx>
        <w:trPr>
          <w:trHeight w:val="832"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黑体" w:hAnsi="黑体" w:eastAsia="黑体" w:cs="仿宋_GB2312"/>
                <w:color w:val="000000"/>
                <w:sz w:val="20"/>
                <w:szCs w:val="20"/>
                <w:highlight w:val="none"/>
                <w:lang w:val="en-US" w:eastAsia="zh-CN"/>
              </w:rPr>
            </w:pPr>
            <w:r>
              <w:rPr>
                <w:rFonts w:hint="eastAsia" w:ascii="黑体" w:hAnsi="黑体" w:eastAsia="黑体" w:cs="仿宋_GB2312"/>
                <w:color w:val="000000"/>
                <w:sz w:val="20"/>
                <w:szCs w:val="20"/>
                <w:highlight w:val="none"/>
                <w:lang w:val="en-US" w:eastAsia="zh-CN"/>
              </w:rPr>
              <w:t>评价问题</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黑体" w:hAnsi="宋体" w:eastAsia="黑体" w:cs="黑体"/>
                <w:color w:val="000000"/>
                <w:sz w:val="20"/>
                <w:szCs w:val="20"/>
                <w:highlight w:val="none"/>
              </w:rPr>
            </w:pPr>
            <w:r>
              <w:rPr>
                <w:rFonts w:hint="eastAsia" w:ascii="黑体" w:hAnsi="黑体" w:eastAsia="黑体" w:cs="仿宋_GB2312"/>
                <w:color w:val="000000"/>
                <w:sz w:val="20"/>
                <w:szCs w:val="20"/>
                <w:highlight w:val="none"/>
                <w:lang w:val="en-US" w:eastAsia="zh-CN"/>
              </w:rPr>
              <w:t>简要建议</w:t>
            </w:r>
          </w:p>
        </w:tc>
        <w:tc>
          <w:tcPr>
            <w:tcW w:w="7692" w:type="dxa"/>
            <w:gridSpan w:val="7"/>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加强项目管理工作，按项目实施节点及时将项目材料归档，确保项目资料完整性。</w:t>
            </w:r>
          </w:p>
        </w:tc>
      </w:tr>
      <w:tr>
        <w:tblPrEx>
          <w:tblLayout w:type="fixed"/>
          <w:tblCellMar>
            <w:top w:w="15" w:type="dxa"/>
            <w:left w:w="15" w:type="dxa"/>
            <w:bottom w:w="15" w:type="dxa"/>
            <w:right w:w="15" w:type="dxa"/>
          </w:tblCellMar>
        </w:tblPrEx>
        <w:trPr>
          <w:trHeight w:val="508"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评价结果</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应用建议</w:t>
            </w:r>
          </w:p>
        </w:tc>
        <w:tc>
          <w:tcPr>
            <w:tcW w:w="7692" w:type="dxa"/>
            <w:gridSpan w:val="7"/>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outlineLvl w:val="9"/>
              <w:rPr>
                <w:rFonts w:hint="eastAsia" w:ascii="仿宋_GB2312" w:hAnsi="宋体" w:eastAsia="仿宋_GB2312" w:cs="仿宋_GB2312"/>
                <w:color w:val="000000"/>
                <w:sz w:val="20"/>
                <w:szCs w:val="20"/>
                <w:lang w:eastAsia="zh-CN"/>
              </w:rPr>
            </w:pPr>
            <w:r>
              <w:rPr>
                <w:rFonts w:hint="eastAsia" w:ascii="仿宋_GB2312" w:hAnsi="宋体" w:eastAsia="仿宋_GB2312" w:cs="仿宋_GB2312"/>
                <w:color w:val="000000"/>
                <w:sz w:val="20"/>
                <w:szCs w:val="20"/>
                <w:lang w:eastAsia="zh-CN"/>
              </w:rPr>
              <w:t>1.建议将此次绩效评价过程中发现的问题进行及时整改；</w:t>
            </w:r>
          </w:p>
          <w:p>
            <w:pPr>
              <w:widowControl/>
              <w:jc w:val="left"/>
              <w:textAlignment w:val="center"/>
              <w:outlineLvl w:val="9"/>
              <w:rPr>
                <w:rFonts w:hint="eastAsia" w:ascii="仿宋_GB2312" w:hAnsi="宋体" w:eastAsia="仿宋_GB2312" w:cs="仿宋_GB2312"/>
                <w:color w:val="000000"/>
                <w:sz w:val="20"/>
                <w:szCs w:val="20"/>
                <w:lang w:eastAsia="zh-CN"/>
              </w:rPr>
            </w:pPr>
            <w:r>
              <w:rPr>
                <w:rFonts w:hint="eastAsia" w:ascii="仿宋_GB2312" w:hAnsi="宋体" w:eastAsia="仿宋_GB2312" w:cs="仿宋_GB2312"/>
                <w:color w:val="000000"/>
                <w:sz w:val="20"/>
                <w:szCs w:val="20"/>
                <w:lang w:eastAsia="zh-CN"/>
              </w:rPr>
              <w:t>2.建议加大对绩效评价结果的应用，此次绩效评价结果，可作为202</w:t>
            </w:r>
            <w:r>
              <w:rPr>
                <w:rFonts w:hint="eastAsia" w:ascii="仿宋_GB2312" w:hAnsi="宋体" w:eastAsia="仿宋_GB2312" w:cs="仿宋_GB2312"/>
                <w:color w:val="000000"/>
                <w:sz w:val="20"/>
                <w:szCs w:val="20"/>
                <w:lang w:val="en-US" w:eastAsia="zh-CN"/>
              </w:rPr>
              <w:t>3</w:t>
            </w:r>
            <w:r>
              <w:rPr>
                <w:rFonts w:hint="eastAsia" w:ascii="仿宋_GB2312" w:hAnsi="宋体" w:eastAsia="仿宋_GB2312" w:cs="仿宋_GB2312"/>
                <w:color w:val="000000"/>
                <w:sz w:val="20"/>
                <w:szCs w:val="20"/>
                <w:lang w:eastAsia="zh-CN"/>
              </w:rPr>
              <w:t>年各部门（单位）改进管理、调整财政支出方向、预算编制和安排财政资金的重要依据；</w:t>
            </w:r>
          </w:p>
          <w:p>
            <w:pPr>
              <w:widowControl/>
              <w:jc w:val="left"/>
              <w:textAlignment w:val="center"/>
              <w:outlineLvl w:val="9"/>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lang w:eastAsia="zh-CN"/>
              </w:rPr>
              <w:t>3.建议建立绩效评价结果应用制度，将20</w:t>
            </w:r>
            <w:r>
              <w:rPr>
                <w:rFonts w:hint="eastAsia" w:ascii="仿宋_GB2312" w:hAnsi="宋体" w:eastAsia="仿宋_GB2312" w:cs="仿宋_GB2312"/>
                <w:color w:val="000000"/>
                <w:sz w:val="20"/>
                <w:szCs w:val="20"/>
                <w:lang w:val="en-US" w:eastAsia="zh-CN"/>
              </w:rPr>
              <w:t>22</w:t>
            </w:r>
            <w:r>
              <w:rPr>
                <w:rFonts w:hint="eastAsia" w:ascii="仿宋_GB2312" w:hAnsi="宋体" w:eastAsia="仿宋_GB2312" w:cs="仿宋_GB2312"/>
                <w:color w:val="000000"/>
                <w:sz w:val="20"/>
                <w:szCs w:val="20"/>
                <w:lang w:eastAsia="zh-CN"/>
              </w:rPr>
              <w:t>年绩效评价结果进行</w:t>
            </w:r>
            <w:r>
              <w:rPr>
                <w:rFonts w:hint="eastAsia" w:ascii="仿宋_GB2312" w:hAnsi="宋体" w:eastAsia="仿宋_GB2312" w:cs="仿宋_GB2312"/>
                <w:color w:val="000000"/>
                <w:sz w:val="20"/>
                <w:szCs w:val="20"/>
                <w:lang w:val="en-US" w:eastAsia="zh-CN"/>
              </w:rPr>
              <w:t>公示</w:t>
            </w:r>
            <w:r>
              <w:rPr>
                <w:rFonts w:hint="eastAsia" w:ascii="仿宋_GB2312" w:hAnsi="宋体" w:eastAsia="仿宋_GB2312" w:cs="仿宋_GB2312"/>
                <w:color w:val="000000"/>
                <w:sz w:val="20"/>
                <w:szCs w:val="20"/>
                <w:lang w:eastAsia="zh-CN"/>
              </w:rPr>
              <w:t>、公开。</w:t>
            </w:r>
          </w:p>
        </w:tc>
      </w:tr>
    </w:tbl>
    <w:tbl>
      <w:tblPr>
        <w:tblStyle w:val="17"/>
        <w:tblpPr w:leftFromText="180" w:rightFromText="180" w:vertAnchor="text" w:horzAnchor="page" w:tblpX="1823" w:tblpY="1303"/>
        <w:tblOverlap w:val="never"/>
        <w:tblW w:w="9000" w:type="dxa"/>
        <w:tblInd w:w="-60" w:type="dxa"/>
        <w:tblLayout w:type="fixed"/>
        <w:tblCellMar>
          <w:top w:w="15" w:type="dxa"/>
          <w:left w:w="15" w:type="dxa"/>
          <w:bottom w:w="15" w:type="dxa"/>
          <w:right w:w="15" w:type="dxa"/>
        </w:tblCellMar>
      </w:tblPr>
      <w:tblGrid>
        <w:gridCol w:w="2528"/>
        <w:gridCol w:w="2632"/>
        <w:gridCol w:w="1858"/>
        <w:gridCol w:w="1982"/>
      </w:tblGrid>
      <w:tr>
        <w:tblPrEx>
          <w:tblLayout w:type="fixed"/>
          <w:tblCellMar>
            <w:top w:w="15" w:type="dxa"/>
            <w:left w:w="15" w:type="dxa"/>
            <w:bottom w:w="15" w:type="dxa"/>
            <w:right w:w="15" w:type="dxa"/>
          </w:tblCellMar>
        </w:tblPrEx>
        <w:trPr>
          <w:trHeight w:val="650" w:hRule="atLeast"/>
        </w:trPr>
        <w:tc>
          <w:tcPr>
            <w:tcW w:w="252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仿宋_GB2312"/>
                <w:color w:val="000000"/>
                <w:sz w:val="20"/>
                <w:szCs w:val="20"/>
                <w:lang w:val="en-US" w:eastAsia="zh-CN"/>
              </w:rPr>
            </w:pPr>
            <w:r>
              <w:rPr>
                <w:rFonts w:hint="eastAsia" w:ascii="黑体" w:hAnsi="宋体" w:eastAsia="黑体" w:cs="黑体"/>
                <w:color w:val="000000"/>
                <w:kern w:val="0"/>
                <w:sz w:val="20"/>
                <w:szCs w:val="20"/>
                <w:highlight w:val="none"/>
              </w:rPr>
              <w:t>评价时间</w:t>
            </w:r>
          </w:p>
        </w:tc>
        <w:tc>
          <w:tcPr>
            <w:tcW w:w="263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仿宋_GB2312"/>
                <w:color w:val="000000"/>
                <w:sz w:val="20"/>
                <w:szCs w:val="20"/>
                <w:lang w:val="en-US" w:eastAsia="zh-CN"/>
              </w:rPr>
            </w:pPr>
            <w:r>
              <w:rPr>
                <w:rFonts w:hint="eastAsia" w:ascii="仿宋_GB2312" w:hAnsi="仿宋_GB2312" w:eastAsia="仿宋_GB2312" w:cs="仿宋_GB2312"/>
                <w:color w:val="auto"/>
                <w:sz w:val="20"/>
                <w:szCs w:val="20"/>
              </w:rPr>
              <w:t>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06</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1日至202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07</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11日</w:t>
            </w:r>
          </w:p>
        </w:tc>
        <w:tc>
          <w:tcPr>
            <w:tcW w:w="185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宋体" w:eastAsia="仿宋_GB2312" w:cs="仿宋_GB2312"/>
                <w:color w:val="000000"/>
                <w:sz w:val="20"/>
                <w:szCs w:val="20"/>
                <w:highlight w:val="none"/>
                <w:lang w:val="en-US" w:eastAsia="zh-CN"/>
              </w:rPr>
            </w:pPr>
            <w:r>
              <w:rPr>
                <w:rFonts w:hint="eastAsia" w:ascii="黑体" w:hAnsi="宋体" w:eastAsia="黑体" w:cs="黑体"/>
                <w:color w:val="000000"/>
                <w:kern w:val="0"/>
                <w:sz w:val="20"/>
                <w:szCs w:val="20"/>
                <w:highlight w:val="none"/>
              </w:rPr>
              <w:t>评价机构报告编号</w:t>
            </w:r>
          </w:p>
        </w:tc>
        <w:tc>
          <w:tcPr>
            <w:tcW w:w="198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中</w:t>
            </w:r>
            <w:r>
              <w:rPr>
                <w:rFonts w:hint="eastAsia" w:ascii="仿宋_GB2312" w:hAnsi="仿宋_GB2312" w:eastAsia="仿宋_GB2312" w:cs="仿宋_GB2312"/>
                <w:color w:val="auto"/>
                <w:sz w:val="20"/>
                <w:szCs w:val="20"/>
                <w:highlight w:val="none"/>
              </w:rPr>
              <w:t>瑞诚喀绩评字[202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rPr>
              <w:t>]</w:t>
            </w:r>
            <w:r>
              <w:rPr>
                <w:rFonts w:hint="eastAsia" w:ascii="仿宋_GB2312" w:hAnsi="仿宋_GB2312" w:eastAsia="仿宋_GB2312" w:cs="仿宋_GB2312"/>
                <w:color w:val="auto"/>
                <w:sz w:val="20"/>
                <w:szCs w:val="20"/>
                <w:highlight w:val="none"/>
                <w:lang w:val="en-US" w:eastAsia="zh-CN"/>
              </w:rPr>
              <w:t>016</w:t>
            </w:r>
            <w:r>
              <w:rPr>
                <w:rFonts w:hint="eastAsia" w:ascii="仿宋_GB2312" w:hAnsi="仿宋_GB2312" w:eastAsia="仿宋_GB2312" w:cs="仿宋_GB2312"/>
                <w:color w:val="auto"/>
                <w:sz w:val="20"/>
                <w:szCs w:val="20"/>
                <w:highlight w:val="none"/>
              </w:rPr>
              <w:t>号</w:t>
            </w:r>
          </w:p>
        </w:tc>
      </w:tr>
      <w:tr>
        <w:tblPrEx>
          <w:tblLayout w:type="fixed"/>
          <w:tblCellMar>
            <w:top w:w="15" w:type="dxa"/>
            <w:left w:w="15" w:type="dxa"/>
            <w:bottom w:w="15" w:type="dxa"/>
            <w:right w:w="15" w:type="dxa"/>
          </w:tblCellMar>
        </w:tblPrEx>
        <w:trPr>
          <w:trHeight w:val="882" w:hRule="atLeast"/>
        </w:trPr>
        <w:tc>
          <w:tcPr>
            <w:tcW w:w="516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outlineLvl w:val="9"/>
              <w:rPr>
                <w:rFonts w:hint="default" w:ascii="仿宋_GB2312" w:hAnsi="宋体" w:eastAsia="仿宋_GB2312" w:cs="仿宋_GB2312"/>
                <w:color w:val="000000"/>
                <w:sz w:val="20"/>
                <w:szCs w:val="20"/>
                <w:lang w:val="en-US" w:eastAsia="zh-CN"/>
              </w:rPr>
            </w:pPr>
            <w:r>
              <w:rPr>
                <w:rFonts w:hint="eastAsia" w:ascii="黑体" w:hAnsi="黑体" w:eastAsia="黑体" w:cs="仿宋_GB2312"/>
                <w:color w:val="000000"/>
                <w:sz w:val="20"/>
                <w:szCs w:val="20"/>
                <w:lang w:val="en-US" w:eastAsia="zh-CN"/>
              </w:rPr>
              <w:t>主评人及联系方式</w:t>
            </w:r>
          </w:p>
        </w:tc>
        <w:tc>
          <w:tcPr>
            <w:tcW w:w="384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outlineLvl w:val="9"/>
              <w:rPr>
                <w:rFonts w:hint="eastAsia" w:ascii="仿宋_GB2312" w:hAnsi="宋体" w:eastAsia="仿宋_GB2312" w:cs="仿宋_GB2312"/>
                <w:color w:val="000000"/>
                <w:sz w:val="20"/>
                <w:szCs w:val="20"/>
                <w:lang w:val="en-US" w:eastAsia="zh-CN"/>
              </w:rPr>
            </w:pPr>
            <w:r>
              <w:rPr>
                <w:rFonts w:hint="eastAsia" w:ascii="仿宋_GB2312" w:hAnsi="仿宋_GB2312" w:eastAsia="仿宋_GB2312" w:cs="仿宋_GB2312"/>
                <w:color w:val="000000"/>
                <w:sz w:val="20"/>
                <w:szCs w:val="20"/>
                <w:highlight w:val="none"/>
                <w:lang w:val="en-US" w:eastAsia="zh-CN"/>
              </w:rPr>
              <w:t>叶金玲13899129971</w:t>
            </w:r>
          </w:p>
        </w:tc>
      </w:tr>
    </w:tbl>
    <w:p>
      <w:pPr>
        <w:jc w:val="center"/>
        <w:rPr>
          <w:rFonts w:hint="eastAsia" w:ascii="方正黑体_GBK" w:hAnsi="方正黑体_GBK" w:eastAsia="方正黑体_GBK" w:cs="方正黑体_GBK"/>
          <w:b w:val="0"/>
          <w:bCs w:val="0"/>
          <w:color w:val="auto"/>
          <w:sz w:val="44"/>
          <w:szCs w:val="44"/>
        </w:rPr>
      </w:pPr>
      <w:r>
        <w:rPr>
          <w:rFonts w:hint="eastAsia" w:ascii="方正黑体_GBK" w:hAnsi="方正黑体_GBK" w:eastAsia="方正黑体_GBK" w:cs="方正黑体_GBK"/>
          <w:b w:val="0"/>
          <w:bCs w:val="0"/>
          <w:color w:val="auto"/>
          <w:sz w:val="44"/>
          <w:szCs w:val="44"/>
        </w:rPr>
        <w:t>摘   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0" w:name="_Toc4335"/>
      <w:bookmarkStart w:id="1" w:name="_Toc5990"/>
      <w:bookmarkStart w:id="2" w:name="_Toc27504"/>
      <w:bookmarkStart w:id="3" w:name="_Toc3788"/>
      <w:bookmarkStart w:id="4" w:name="_Toc20887"/>
      <w:bookmarkStart w:id="5" w:name="_Toc27396"/>
      <w:bookmarkStart w:id="6" w:name="_Toc22689"/>
      <w:bookmarkStart w:id="7" w:name="_Toc1784"/>
      <w:r>
        <w:rPr>
          <w:rFonts w:hint="eastAsia" w:ascii="仿宋_GB2312" w:hAnsi="仿宋_GB2312" w:eastAsia="仿宋_GB2312" w:cs="仿宋_GB2312"/>
          <w:color w:val="auto"/>
          <w:sz w:val="32"/>
          <w:szCs w:val="32"/>
          <w:highlight w:val="none"/>
          <w:lang w:val="en-US" w:eastAsia="zh-CN"/>
        </w:rPr>
        <w:t>为规范和加强财政资金的管理，进一步发挥绩效管理工作对财政资金使用管理的导向和激励作用，提高资金使用效益，根据财政部《项目支出绩效评价管理办法》及《自治区财政支出绩效评价管理暂行办法》相关规定，受疏附县财政局委托，中瑞诚会计师事务所（特殊普通合伙）喀什分所作为第三方评价机构于2023年06月01日至2023年07月11对疏附县自然资源局管理负责实施的草原管护员补助项目（以下简称“该项目”）开展了绩效评价，评价情况如下：</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8" w:name="_Toc27715"/>
      <w:bookmarkStart w:id="9" w:name="_Toc24550"/>
      <w:bookmarkStart w:id="10" w:name="_Toc9424"/>
      <w:r>
        <w:rPr>
          <w:rFonts w:hint="eastAsia" w:ascii="方正黑体_GBK" w:hAnsi="方正黑体_GBK" w:eastAsia="方正黑体_GBK" w:cs="方正黑体_GBK"/>
          <w:color w:val="auto"/>
          <w:sz w:val="32"/>
          <w:szCs w:val="32"/>
          <w:highlight w:val="none"/>
        </w:rPr>
        <w:t>一、项目概述</w:t>
      </w:r>
      <w:bookmarkEnd w:id="3"/>
      <w:bookmarkEnd w:id="4"/>
      <w:bookmarkEnd w:id="5"/>
      <w:bookmarkEnd w:id="6"/>
      <w:bookmarkEnd w:id="7"/>
      <w:bookmarkEnd w:id="8"/>
      <w:bookmarkEnd w:id="9"/>
      <w:bookmarkEnd w:id="10"/>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bookmarkStart w:id="11" w:name="_Toc4983"/>
      <w:bookmarkStart w:id="12" w:name="_Toc4382"/>
      <w:bookmarkStart w:id="13" w:name="_Toc18724"/>
      <w:bookmarkStart w:id="14" w:name="_Toc22576"/>
      <w:bookmarkStart w:id="15" w:name="_Toc26078"/>
      <w:bookmarkStart w:id="16" w:name="_Toc6005"/>
      <w:bookmarkStart w:id="17" w:name="_Toc16776"/>
      <w:bookmarkStart w:id="18" w:name="_Toc23831"/>
      <w:r>
        <w:rPr>
          <w:rFonts w:hint="eastAsia" w:ascii="仿宋_GB2312" w:hAnsi="仿宋_GB2312" w:eastAsia="仿宋_GB2312" w:cs="仿宋_GB2312"/>
          <w:color w:val="auto"/>
          <w:sz w:val="32"/>
          <w:szCs w:val="32"/>
          <w:highlight w:val="none"/>
          <w:lang w:val="en-US" w:eastAsia="zh-CN"/>
        </w:rPr>
        <w:t>为全面落实国家草原生态保护补助奖励机制，依法保护草原生态，科学合理利用草原、加强草原管护人员管理，规范管护行为，提高管护水平，强化草原火灾预警、结合我县实际以及疏附县林业和草原局工作职责，根据《财政部关于印发&lt;中央对地方国家生态功能区转移支付办法&gt;的通知》; 《关于印发&lt;新疆维吾尔自治区生态功能区转移支付办法&gt;的通知》，《关于拨付2022年草原管护员补助资金的通知》，《关于拨付提前下达2022年中央林业草原生态保护恢复资金的通知》文件要求实施该项目。</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本项目主要是194名草原管护员对草原进行管护，每年按1万元/人/年的标准给草原管护员发放补助，项目的实施提高草原管护员的生活质量，保障草原管护员的基本生活。</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二、评价工作简述</w:t>
      </w:r>
      <w:bookmarkEnd w:id="11"/>
      <w:bookmarkEnd w:id="12"/>
      <w:bookmarkEnd w:id="13"/>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bookmarkStart w:id="19" w:name="_Toc9060"/>
      <w:bookmarkStart w:id="20" w:name="_Toc12920"/>
      <w:bookmarkStart w:id="21" w:name="_Toc12317"/>
      <w:bookmarkStart w:id="22" w:name="_Toc13087"/>
      <w:r>
        <w:rPr>
          <w:rFonts w:hint="eastAsia" w:ascii="仿宋_GB2312" w:hAnsi="仿宋_GB2312" w:eastAsia="仿宋_GB2312" w:cs="仿宋_GB2312"/>
          <w:color w:val="auto"/>
          <w:sz w:val="32"/>
          <w:szCs w:val="32"/>
          <w:highlight w:val="none"/>
          <w:lang w:val="en-US" w:eastAsia="zh-CN"/>
        </w:rPr>
        <w:t xml:space="preserve"> 评价组自承接该项目后，立足于该项目特点，本次评价关注重点：一是针对预算编制、资金执行的相关情况评价项目预算编制是否完成、财务核算是否到位；二是评价项目实施单位的管理制度、监管考核机制是否健全；三是评价项目是否按照目标执行，项目实施效果是否达到预期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工作组通过前期调研，从项目决策、项目过程、项目产出和项目效益四个维度制定了工作方案，明确了评价的目的、方法、原则、指标、标准、社会调查方案等，该项目的实施情况及效益进行了核实；评价工作组本着科学规范的绩效评价原则，运用成本效益分析法、比较分析法等方法，严格按照工作方案，经过数据采集、问卷调查、实地调研、数据分析和报告撰写等环节，完成了绩效评价工作。</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rPr>
      </w:pPr>
      <w:bookmarkStart w:id="23" w:name="_Toc4391"/>
      <w:bookmarkStart w:id="24" w:name="_Toc7710"/>
      <w:bookmarkStart w:id="25" w:name="_Toc2423"/>
      <w:bookmarkStart w:id="26" w:name="_Toc1040"/>
      <w:r>
        <w:rPr>
          <w:rFonts w:hint="eastAsia" w:ascii="方正黑体_GBK" w:hAnsi="方正黑体_GBK" w:eastAsia="方正黑体_GBK" w:cs="方正黑体_GBK"/>
          <w:color w:val="auto"/>
          <w:sz w:val="32"/>
          <w:szCs w:val="32"/>
          <w:highlight w:val="none"/>
        </w:rPr>
        <w:t>三、绩效评价分析</w:t>
      </w:r>
      <w:bookmarkEnd w:id="19"/>
      <w:bookmarkEnd w:id="20"/>
      <w:bookmarkEnd w:id="21"/>
      <w:bookmarkEnd w:id="22"/>
      <w:bookmarkEnd w:id="23"/>
      <w:bookmarkEnd w:id="24"/>
      <w:bookmarkEnd w:id="25"/>
      <w:bookmarkEnd w:id="2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7" w:name="_Toc21150"/>
      <w:bookmarkStart w:id="28" w:name="_Toc32071"/>
      <w:bookmarkStart w:id="29" w:name="_Toc2405"/>
      <w:bookmarkStart w:id="30" w:name="_Toc4082"/>
      <w:bookmarkStart w:id="31" w:name="_Toc1336"/>
      <w:bookmarkStart w:id="32" w:name="_Toc9075"/>
      <w:bookmarkStart w:id="33" w:name="_Toc23958"/>
      <w:bookmarkStart w:id="34" w:name="_Toc18303"/>
      <w:r>
        <w:rPr>
          <w:rFonts w:hint="eastAsia" w:ascii="仿宋_GB2312" w:hAnsi="仿宋_GB2312" w:eastAsia="仿宋_GB2312" w:cs="仿宋_GB2312"/>
          <w:color w:val="auto"/>
          <w:sz w:val="32"/>
          <w:szCs w:val="32"/>
          <w:highlight w:val="none"/>
          <w:lang w:val="en-US" w:eastAsia="zh-CN"/>
        </w:rPr>
        <w:t>依据财政部《项目支出绩效评价管理办法》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w:t>
      </w:r>
      <w:bookmarkEnd w:id="27"/>
      <w:bookmarkEnd w:id="28"/>
      <w:bookmarkEnd w:id="29"/>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rPr>
      </w:pPr>
      <w:bookmarkStart w:id="35" w:name="_Toc17391"/>
      <w:bookmarkStart w:id="36" w:name="_Toc14558"/>
      <w:bookmarkStart w:id="37" w:name="_Toc5884"/>
      <w:r>
        <w:rPr>
          <w:rFonts w:hint="eastAsia" w:ascii="方正黑体_GBK" w:hAnsi="方正黑体_GBK" w:eastAsia="方正黑体_GBK" w:cs="方正黑体_GBK"/>
          <w:color w:val="auto"/>
          <w:sz w:val="32"/>
          <w:szCs w:val="32"/>
        </w:rPr>
        <w:t>四、评价结论</w:t>
      </w:r>
      <w:bookmarkEnd w:id="30"/>
      <w:bookmarkEnd w:id="31"/>
      <w:bookmarkEnd w:id="32"/>
      <w:bookmarkEnd w:id="33"/>
      <w:bookmarkEnd w:id="34"/>
      <w:bookmarkEnd w:id="35"/>
      <w:bookmarkEnd w:id="36"/>
      <w:bookmarkEnd w:id="3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经综合评价，项目得分为98.5分，其中：项目决策得分20分、项目过程得分18.5分；项目产出得分30分、项目效益得分30分，评价等级为优。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38" w:name="_Toc10157"/>
      <w:r>
        <w:rPr>
          <w:rFonts w:hint="eastAsia" w:ascii="仿宋_GB2312" w:hAnsi="仿宋_GB2312" w:eastAsia="仿宋_GB2312" w:cs="仿宋_GB2312"/>
          <w:color w:val="auto"/>
          <w:sz w:val="32"/>
          <w:szCs w:val="32"/>
          <w:highlight w:val="none"/>
          <w:lang w:val="en-US" w:eastAsia="zh-CN"/>
        </w:rPr>
        <w:t>项目立项较规范，绩效目标合理绩效指标明确，项目管理制度较健全。该项目调整后预算资金为194.00万元，实际支出194.00万元，预算资金执行率100%。通过文件研读、实地调研、数据分析等方式，全面了解该项目的使用效果，项目管理过程较规范；总的来看，</w:t>
      </w:r>
      <w:bookmarkEnd w:id="38"/>
      <w:bookmarkStart w:id="39" w:name="_Toc25703"/>
      <w:r>
        <w:rPr>
          <w:rFonts w:hint="eastAsia" w:ascii="仿宋_GB2312" w:hAnsi="仿宋_GB2312" w:eastAsia="仿宋_GB2312" w:cs="仿宋_GB2312"/>
          <w:color w:val="auto"/>
          <w:sz w:val="32"/>
          <w:szCs w:val="32"/>
          <w:highlight w:val="none"/>
          <w:lang w:val="en-US" w:eastAsia="zh-CN"/>
        </w:rPr>
        <w:t>该项目的实施解决了194名草原管护员的就业问题，按照每人每年10000元的补助标准兑现补助资金，增加了经济收入，从而提高了草原管护员的生活质量，保障了草原管护员的基本生活。</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rPr>
      </w:pPr>
      <w:bookmarkStart w:id="40" w:name="_Toc25401"/>
      <w:bookmarkStart w:id="41" w:name="_Toc21311"/>
      <w:bookmarkStart w:id="42" w:name="_Toc24803"/>
      <w:bookmarkStart w:id="43" w:name="_Toc3758"/>
      <w:bookmarkStart w:id="44" w:name="_Toc11299"/>
      <w:bookmarkStart w:id="45" w:name="_Toc24317"/>
      <w:bookmarkStart w:id="46" w:name="_Toc16974"/>
      <w:r>
        <w:rPr>
          <w:rFonts w:hint="eastAsia" w:ascii="方正黑体_GBK" w:hAnsi="方正黑体_GBK" w:eastAsia="方正黑体_GBK" w:cs="方正黑体_GBK"/>
          <w:color w:val="auto"/>
          <w:sz w:val="32"/>
          <w:szCs w:val="32"/>
          <w:lang w:val="en-US" w:eastAsia="zh-CN"/>
        </w:rPr>
        <w:t>五、</w:t>
      </w:r>
      <w:r>
        <w:rPr>
          <w:rFonts w:hint="eastAsia" w:ascii="方正黑体_GBK" w:hAnsi="方正黑体_GBK" w:eastAsia="方正黑体_GBK" w:cs="方正黑体_GBK"/>
          <w:color w:val="auto"/>
          <w:sz w:val="32"/>
          <w:szCs w:val="32"/>
        </w:rPr>
        <w:t>问题建议</w:t>
      </w:r>
      <w:bookmarkEnd w:id="39"/>
      <w:bookmarkEnd w:id="40"/>
      <w:bookmarkEnd w:id="41"/>
      <w:bookmarkEnd w:id="42"/>
      <w:bookmarkEnd w:id="43"/>
      <w:bookmarkEnd w:id="44"/>
      <w:bookmarkEnd w:id="45"/>
      <w:bookmarkEnd w:id="46"/>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47" w:name="_Toc26747"/>
      <w:bookmarkStart w:id="48" w:name="_Toc6363"/>
      <w:bookmarkStart w:id="49" w:name="_Toc6532"/>
      <w:bookmarkStart w:id="50" w:name="_Toc2146"/>
      <w:bookmarkStart w:id="51" w:name="_Toc11908"/>
      <w:bookmarkStart w:id="52" w:name="_Toc2815"/>
      <w:bookmarkStart w:id="53" w:name="_Toc11988"/>
      <w:r>
        <w:rPr>
          <w:rFonts w:hint="eastAsia" w:ascii="方正楷体_GBK" w:hAnsi="方正楷体_GBK" w:eastAsia="方正楷体_GBK" w:cs="方正楷体_GBK"/>
          <w:b/>
          <w:bCs/>
          <w:color w:val="auto"/>
          <w:sz w:val="32"/>
          <w:szCs w:val="32"/>
        </w:rPr>
        <w:t>（一）问题</w:t>
      </w:r>
      <w:bookmarkEnd w:id="47"/>
      <w:bookmarkEnd w:id="48"/>
      <w:bookmarkEnd w:id="49"/>
      <w:bookmarkEnd w:id="50"/>
      <w:bookmarkEnd w:id="51"/>
      <w:bookmarkEnd w:id="52"/>
      <w:bookmarkEnd w:id="53"/>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方正楷体_GBK" w:hAnsi="方正楷体_GBK" w:eastAsia="方正楷体_GBK" w:cs="方正楷体_GBK"/>
          <w:b/>
          <w:bCs/>
          <w:color w:val="auto"/>
          <w:sz w:val="32"/>
          <w:szCs w:val="32"/>
        </w:rPr>
      </w:pPr>
      <w:bookmarkStart w:id="54" w:name="_Toc32394"/>
      <w:bookmarkStart w:id="55" w:name="_Toc4327"/>
      <w:bookmarkStart w:id="56" w:name="_Toc2891"/>
      <w:bookmarkStart w:id="57" w:name="_Toc32169"/>
      <w:bookmarkStart w:id="58" w:name="_Toc9208"/>
      <w:bookmarkStart w:id="59" w:name="_Toc27763"/>
      <w:bookmarkStart w:id="60" w:name="_Toc27668"/>
      <w:r>
        <w:rPr>
          <w:rFonts w:hint="eastAsia" w:ascii="仿宋_GB2312" w:hAnsi="仿宋_GB2312" w:eastAsia="仿宋_GB2312" w:cs="仿宋_GB2312"/>
          <w:color w:val="auto"/>
          <w:sz w:val="32"/>
          <w:szCs w:val="32"/>
          <w:highlight w:val="none"/>
          <w:lang w:val="en-US" w:eastAsia="zh-CN"/>
        </w:rPr>
        <w:t>该项目缺少相关的会议纪要材料，项目材料归档不完整。</w:t>
      </w:r>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二</w:t>
      </w:r>
      <w:r>
        <w:rPr>
          <w:rFonts w:hint="eastAsia" w:ascii="方正楷体_GBK" w:hAnsi="方正楷体_GBK" w:eastAsia="方正楷体_GBK" w:cs="方正楷体_GBK"/>
          <w:b/>
          <w:bCs/>
          <w:color w:val="auto"/>
          <w:sz w:val="32"/>
          <w:szCs w:val="32"/>
        </w:rPr>
        <w:t>）意见和建议</w:t>
      </w:r>
      <w:bookmarkEnd w:id="54"/>
      <w:bookmarkEnd w:id="55"/>
      <w:bookmarkEnd w:id="56"/>
      <w:bookmarkEnd w:id="57"/>
      <w:bookmarkEnd w:id="58"/>
      <w:bookmarkEnd w:id="59"/>
      <w:bookmarkEnd w:id="6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加强项目管理工作，按项目实施节点及时将项目材料归档，确保项目资料完整性。</w:t>
      </w:r>
    </w:p>
    <w:p>
      <w:pPr>
        <w:pStyle w:val="2"/>
        <w:rPr>
          <w:rFonts w:hint="eastAsia"/>
          <w:lang w:val="en-US" w:eastAsia="zh-CN"/>
        </w:rPr>
      </w:pPr>
    </w:p>
    <w:p>
      <w:pPr>
        <w:jc w:val="center"/>
        <w:rPr>
          <w:rFonts w:hint="eastAsia" w:ascii="Times New Roman" w:hAnsi="Times New Roman" w:eastAsia="仿宋_GB2312"/>
          <w:b/>
          <w:bCs/>
          <w:color w:val="auto"/>
          <w:sz w:val="32"/>
          <w:szCs w:val="32"/>
        </w:rPr>
      </w:pPr>
    </w:p>
    <w:p>
      <w:pPr>
        <w:jc w:val="center"/>
        <w:rPr>
          <w:rFonts w:hint="eastAsia" w:ascii="Times New Roman" w:hAnsi="Times New Roman" w:eastAsia="仿宋_GB2312"/>
          <w:b/>
          <w:bCs/>
          <w:color w:val="auto"/>
          <w:sz w:val="32"/>
          <w:szCs w:val="32"/>
        </w:rPr>
      </w:pPr>
    </w:p>
    <w:p>
      <w:pPr>
        <w:jc w:val="center"/>
        <w:rPr>
          <w:rFonts w:hint="eastAsia" w:ascii="Times New Roman" w:hAnsi="Times New Roman" w:eastAsia="仿宋_GB2312"/>
          <w:b/>
          <w:bCs/>
          <w:color w:val="auto"/>
          <w:sz w:val="32"/>
          <w:szCs w:val="32"/>
        </w:rPr>
      </w:pPr>
    </w:p>
    <w:p>
      <w:pPr>
        <w:jc w:val="center"/>
        <w:rPr>
          <w:rFonts w:hint="eastAsia" w:ascii="Times New Roman" w:hAnsi="Times New Roman" w:eastAsia="仿宋_GB2312"/>
          <w:b/>
          <w:bCs/>
          <w:color w:val="auto"/>
          <w:sz w:val="32"/>
          <w:szCs w:val="32"/>
        </w:rPr>
      </w:pPr>
    </w:p>
    <w:p>
      <w:pPr>
        <w:jc w:val="center"/>
        <w:rPr>
          <w:rFonts w:hint="eastAsia" w:ascii="Times New Roman" w:hAnsi="Times New Roman" w:eastAsia="仿宋_GB2312"/>
          <w:b/>
          <w:bCs/>
          <w:color w:val="auto"/>
          <w:sz w:val="32"/>
          <w:szCs w:val="32"/>
        </w:rPr>
      </w:pPr>
    </w:p>
    <w:p>
      <w:pPr>
        <w:jc w:val="center"/>
        <w:rPr>
          <w:rFonts w:hint="eastAsia" w:ascii="Times New Roman" w:hAnsi="Times New Roman" w:eastAsia="仿宋_GB2312"/>
          <w:b/>
          <w:bCs/>
          <w:color w:val="auto"/>
          <w:sz w:val="32"/>
          <w:szCs w:val="32"/>
        </w:rPr>
      </w:pPr>
    </w:p>
    <w:p>
      <w:pPr>
        <w:jc w:val="center"/>
        <w:rPr>
          <w:rFonts w:ascii="Times New Roman" w:hAnsi="Times New Roman" w:eastAsia="仿宋_GB2312"/>
          <w:b/>
          <w:bCs/>
          <w:color w:val="auto"/>
          <w:sz w:val="32"/>
          <w:szCs w:val="32"/>
        </w:rPr>
      </w:pPr>
      <w:r>
        <w:rPr>
          <w:rFonts w:hint="eastAsia" w:ascii="Times New Roman" w:hAnsi="Times New Roman" w:eastAsia="仿宋_GB2312"/>
          <w:b/>
          <w:bCs/>
          <w:color w:val="auto"/>
          <w:sz w:val="32"/>
          <w:szCs w:val="32"/>
        </w:rPr>
        <w:t>绩效评价工作组成员</w:t>
      </w:r>
    </w:p>
    <w:tbl>
      <w:tblPr>
        <w:tblStyle w:val="18"/>
        <w:tblpPr w:leftFromText="180" w:rightFromText="180" w:vertAnchor="text" w:horzAnchor="page" w:tblpX="1849" w:tblpY="836"/>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1332"/>
        <w:gridCol w:w="1739"/>
        <w:gridCol w:w="1722"/>
        <w:gridCol w:w="1489"/>
        <w:gridCol w:w="1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both"/>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序号</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项目职务</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姓名</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执业（从业）</w:t>
            </w: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资格</w:t>
            </w: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职称</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1</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color w:val="auto"/>
                <w:kern w:val="0"/>
                <w:sz w:val="24"/>
              </w:rPr>
              <w:t>项目</w:t>
            </w:r>
            <w:r>
              <w:rPr>
                <w:rFonts w:hint="eastAsia" w:eastAsia="仿宋_GB2312" w:cs="宋体"/>
                <w:color w:val="auto"/>
                <w:kern w:val="0"/>
                <w:sz w:val="24"/>
                <w:lang w:val="en-US" w:eastAsia="zh-CN"/>
              </w:rPr>
              <w:t>主评人</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叶金玲</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eastAsia="仿宋_GB2312" w:cs="宋体"/>
                <w:color w:val="auto"/>
                <w:kern w:val="0"/>
                <w:sz w:val="24"/>
                <w:lang w:val="en-US" w:eastAsia="zh-CN"/>
              </w:rPr>
            </w:pPr>
            <w:r>
              <w:rPr>
                <w:rFonts w:hint="eastAsia" w:eastAsia="仿宋_GB2312" w:cs="宋体"/>
                <w:color w:val="auto"/>
                <w:kern w:val="0"/>
                <w:sz w:val="24"/>
                <w:lang w:val="en-US" w:eastAsia="zh-CN"/>
              </w:rPr>
              <w:t>项目主审</w:t>
            </w: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2</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项目财务专家</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孟凯</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rPr>
            </w:pPr>
            <w:r>
              <w:rPr>
                <w:rFonts w:hint="eastAsia"/>
              </w:rPr>
              <w:t>注册会计师</w:t>
            </w: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eastAsia="仿宋_GB2312"/>
                <w:lang w:val="en-US" w:eastAsia="zh-CN"/>
              </w:rPr>
            </w:pPr>
            <w:r>
              <w:rPr>
                <w:rFonts w:hint="eastAsia"/>
                <w:lang w:val="en-US" w:eastAsia="zh-CN"/>
              </w:rPr>
              <w:t>注册税务师</w:t>
            </w: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资金审查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3</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项目行业专家</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曹堂哲</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教授</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中央财经大学政府管理学院教授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rPr>
              <w:t>5</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rPr>
              <w:t>项目组成员</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eastAsia="仿宋_GB2312" w:cs="宋体"/>
                <w:kern w:val="0"/>
                <w:sz w:val="24"/>
                <w:lang w:val="en-US" w:eastAsia="zh-CN"/>
              </w:rPr>
              <w:t>热孜亚</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助理</w:t>
            </w:r>
            <w:r>
              <w:rPr>
                <w:rFonts w:hint="eastAsia" w:ascii="Times New Roman" w:hAnsi="Times New Roman" w:eastAsia="仿宋_GB2312" w:cs="宋体"/>
                <w:kern w:val="0"/>
                <w:sz w:val="24"/>
              </w:rPr>
              <w:t>会计师</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撰写报告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rPr>
              <w:t>6</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eastAsia="仿宋_GB2312" w:cs="宋体"/>
                <w:kern w:val="0"/>
                <w:sz w:val="24"/>
                <w:lang w:val="en-US" w:eastAsia="zh-CN"/>
              </w:rPr>
              <w:t>哈丽米拉</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lang w:val="en-US" w:eastAsia="zh-CN"/>
              </w:rPr>
              <w:t>7</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rPr>
              <w:t>项目组成员</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eastAsia="仿宋_GB2312" w:cs="宋体"/>
                <w:kern w:val="0"/>
                <w:sz w:val="24"/>
                <w:lang w:val="en-US" w:eastAsia="zh-CN"/>
              </w:rPr>
              <w:t>阿布都海比尔</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lang w:val="en-US" w:eastAsia="zh-CN"/>
              </w:rPr>
              <w:t>8</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eastAsia="仿宋_GB2312" w:cs="宋体"/>
                <w:kern w:val="0"/>
                <w:sz w:val="24"/>
                <w:lang w:val="en-US" w:eastAsia="zh-CN"/>
              </w:rPr>
              <w:t>马木江</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r>
    </w:tbl>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rPr>
          <w:rFonts w:hint="eastAsia" w:ascii="方正黑体_GBK" w:hAnsi="方正黑体_GBK" w:eastAsia="方正黑体_GBK" w:cs="方正黑体_GBK"/>
          <w:b w:val="0"/>
          <w:bCs/>
          <w:color w:val="auto"/>
          <w:sz w:val="44"/>
          <w:szCs w:val="44"/>
        </w:rPr>
      </w:pPr>
    </w:p>
    <w:p>
      <w:pPr>
        <w:pStyle w:val="2"/>
        <w:rPr>
          <w:rFonts w:hint="eastAsia"/>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r>
        <w:rPr>
          <w:rFonts w:hint="eastAsia" w:ascii="方正黑体_GBK" w:hAnsi="方正黑体_GBK" w:eastAsia="方正黑体_GBK" w:cs="方正黑体_GBK"/>
          <w:b w:val="0"/>
          <w:bCs/>
          <w:color w:val="auto"/>
          <w:sz w:val="44"/>
          <w:szCs w:val="44"/>
        </w:rPr>
        <w:t>目 录</w:t>
      </w:r>
    </w:p>
    <w:sdt>
      <w:sdtPr>
        <w:rPr>
          <w:rFonts w:ascii="Times New Roman" w:hAnsi="Times New Roman" w:eastAsia="仿宋_GB2312" w:cstheme="minorBidi"/>
          <w:kern w:val="2"/>
          <w:sz w:val="21"/>
          <w:szCs w:val="24"/>
          <w:lang w:val="en-US" w:eastAsia="zh-CN" w:bidi="ar-SA"/>
        </w:rPr>
        <w:id w:val="147471803"/>
        <w15:color w:val="DBDBDB"/>
        <w:docPartObj>
          <w:docPartGallery w:val="Table of Contents"/>
          <w:docPartUnique/>
        </w:docPartObj>
      </w:sdtPr>
      <w:sdtEndPr>
        <w:rPr>
          <w:rFonts w:ascii="Times New Roman" w:hAnsi="Times New Roman" w:eastAsia="仿宋_GB2312" w:cs="宋体"/>
          <w:b/>
          <w:color w:val="auto"/>
          <w:kern w:val="2"/>
          <w:sz w:val="21"/>
          <w:szCs w:val="32"/>
          <w:lang w:val="en-US" w:eastAsia="zh-CN" w:bidi="ar-SA"/>
        </w:rPr>
      </w:sdtEndPr>
      <w:sdtContent>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 w:val="32"/>
              <w:szCs w:val="32"/>
            </w:rPr>
            <w:fldChar w:fldCharType="begin"/>
          </w:r>
          <w:r>
            <w:rPr>
              <w:rFonts w:ascii="Times New Roman" w:hAnsi="Times New Roman" w:eastAsia="仿宋_GB2312" w:cs="宋体"/>
              <w:color w:val="auto"/>
              <w:sz w:val="32"/>
              <w:szCs w:val="32"/>
            </w:rPr>
            <w:instrText xml:space="preserve">TOC \o "1-2" \h \u </w:instrText>
          </w:r>
          <w:r>
            <w:rPr>
              <w:rFonts w:ascii="Times New Roman" w:hAnsi="Times New Roman" w:eastAsia="仿宋_GB2312" w:cs="宋体"/>
              <w:color w:val="auto"/>
              <w:sz w:val="32"/>
              <w:szCs w:val="32"/>
            </w:rPr>
            <w:fldChar w:fldCharType="separate"/>
          </w: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_Toc19132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rPr>
            <w:t>一、项目概述</w:t>
          </w:r>
          <w:r>
            <w:tab/>
          </w:r>
          <w:r>
            <w:fldChar w:fldCharType="begin"/>
          </w:r>
          <w:r>
            <w:instrText xml:space="preserve"> PAGEREF _Toc19132 \h </w:instrText>
          </w:r>
          <w:r>
            <w:fldChar w:fldCharType="separate"/>
          </w:r>
          <w:r>
            <w:t>1</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_Toc14064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（一）项目基本情况</w:t>
          </w:r>
          <w:r>
            <w:tab/>
          </w:r>
          <w:r>
            <w:fldChar w:fldCharType="begin"/>
          </w:r>
          <w:r>
            <w:instrText xml:space="preserve"> PAGEREF _Toc14064 \h </w:instrText>
          </w:r>
          <w:r>
            <w:fldChar w:fldCharType="separate"/>
          </w:r>
          <w:r>
            <w:t>1</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_Toc17517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（二）项目资金情况</w:t>
          </w:r>
          <w:r>
            <w:tab/>
          </w:r>
          <w:r>
            <w:fldChar w:fldCharType="begin"/>
          </w:r>
          <w:r>
            <w:instrText xml:space="preserve"> PAGEREF _Toc17517 \h </w:instrText>
          </w:r>
          <w:r>
            <w:fldChar w:fldCharType="separate"/>
          </w:r>
          <w:r>
            <w:t>5</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_Toc20832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（三）绩效目标设置情况</w:t>
          </w:r>
          <w:r>
            <w:tab/>
          </w:r>
          <w:r>
            <w:fldChar w:fldCharType="begin"/>
          </w:r>
          <w:r>
            <w:instrText xml:space="preserve"> PAGEREF _Toc20832 \h </w:instrText>
          </w:r>
          <w:r>
            <w:fldChar w:fldCharType="separate"/>
          </w:r>
          <w:r>
            <w:t>5</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_Toc18230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rPr>
            <w:t>二、评价工作简述</w:t>
          </w:r>
          <w:r>
            <w:tab/>
          </w:r>
          <w:r>
            <w:fldChar w:fldCharType="begin"/>
          </w:r>
          <w:r>
            <w:instrText xml:space="preserve"> PAGEREF _Toc18230 \h </w:instrText>
          </w:r>
          <w:r>
            <w:fldChar w:fldCharType="separate"/>
          </w:r>
          <w:r>
            <w:t>6</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_Toc6354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（一）评价目的</w:t>
          </w:r>
          <w:r>
            <w:tab/>
          </w:r>
          <w:r>
            <w:fldChar w:fldCharType="begin"/>
          </w:r>
          <w:r>
            <w:instrText xml:space="preserve"> PAGEREF _Toc6354 \h </w:instrText>
          </w:r>
          <w:r>
            <w:fldChar w:fldCharType="separate"/>
          </w:r>
          <w:r>
            <w:t>7</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_Toc1362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（二）绩效评价工作</w:t>
          </w:r>
          <w:r>
            <w:rPr>
              <w:rFonts w:hint="eastAsia" w:ascii="Times New Roman" w:hAnsi="Times New Roman" w:eastAsia="仿宋_GB2312" w:cs="宋体"/>
              <w:bCs/>
              <w:szCs w:val="32"/>
              <w:lang w:val="en-US" w:eastAsia="zh-CN"/>
            </w:rPr>
            <w:t>的基本</w:t>
          </w:r>
          <w:r>
            <w:rPr>
              <w:rFonts w:hint="eastAsia" w:ascii="Times New Roman" w:hAnsi="Times New Roman" w:eastAsia="仿宋_GB2312" w:cs="宋体"/>
              <w:bCs/>
              <w:szCs w:val="32"/>
            </w:rPr>
            <w:t>思路</w:t>
          </w:r>
          <w:r>
            <w:tab/>
          </w:r>
          <w:r>
            <w:fldChar w:fldCharType="begin"/>
          </w:r>
          <w:r>
            <w:instrText xml:space="preserve"> PAGEREF _Toc1362 \h </w:instrText>
          </w:r>
          <w:r>
            <w:fldChar w:fldCharType="separate"/>
          </w:r>
          <w:r>
            <w:t>8</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_Toc7165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（三）评价原则</w:t>
          </w:r>
          <w:r>
            <w:tab/>
          </w:r>
          <w:r>
            <w:fldChar w:fldCharType="begin"/>
          </w:r>
          <w:r>
            <w:instrText xml:space="preserve"> PAGEREF _Toc7165 \h </w:instrText>
          </w:r>
          <w:r>
            <w:fldChar w:fldCharType="separate"/>
          </w:r>
          <w:r>
            <w:t>8</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_Toc30554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四</w:t>
          </w:r>
          <w:r>
            <w:rPr>
              <w:rFonts w:hint="eastAsia" w:ascii="Times New Roman" w:hAnsi="Times New Roman" w:eastAsia="仿宋_GB2312" w:cs="宋体"/>
              <w:bCs/>
              <w:szCs w:val="32"/>
            </w:rPr>
            <w:t>）评价方法</w:t>
          </w:r>
          <w:r>
            <w:tab/>
          </w:r>
          <w:r>
            <w:fldChar w:fldCharType="begin"/>
          </w:r>
          <w:r>
            <w:instrText xml:space="preserve"> PAGEREF _Toc30554 \h </w:instrText>
          </w:r>
          <w:r>
            <w:fldChar w:fldCharType="separate"/>
          </w:r>
          <w:r>
            <w:t>9</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_Toc12502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lang w:eastAsia="zh-CN"/>
            </w:rPr>
            <w:t>（</w:t>
          </w:r>
          <w:r>
            <w:rPr>
              <w:rFonts w:hint="eastAsia" w:ascii="Times New Roman" w:hAnsi="Times New Roman" w:eastAsia="仿宋_GB2312" w:cs="宋体"/>
              <w:bCs/>
              <w:szCs w:val="32"/>
              <w:lang w:val="en-US" w:eastAsia="zh-CN"/>
            </w:rPr>
            <w:t>五</w:t>
          </w:r>
          <w:r>
            <w:rPr>
              <w:rFonts w:hint="eastAsia" w:ascii="Times New Roman" w:hAnsi="Times New Roman" w:eastAsia="仿宋_GB2312" w:cs="宋体"/>
              <w:bCs/>
              <w:szCs w:val="32"/>
              <w:lang w:eastAsia="zh-CN"/>
            </w:rPr>
            <w:t>）</w:t>
          </w:r>
          <w:r>
            <w:rPr>
              <w:rFonts w:hint="eastAsia" w:ascii="Times New Roman" w:hAnsi="Times New Roman" w:eastAsia="仿宋_GB2312" w:cs="宋体"/>
              <w:bCs/>
              <w:szCs w:val="32"/>
            </w:rPr>
            <w:t>指标体系</w:t>
          </w:r>
          <w:r>
            <w:tab/>
          </w:r>
          <w:r>
            <w:fldChar w:fldCharType="begin"/>
          </w:r>
          <w:r>
            <w:instrText xml:space="preserve"> PAGEREF _Toc12502 \h </w:instrText>
          </w:r>
          <w:r>
            <w:fldChar w:fldCharType="separate"/>
          </w:r>
          <w:r>
            <w:t>10</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_Toc25991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六</w:t>
          </w:r>
          <w:r>
            <w:rPr>
              <w:rFonts w:hint="eastAsia" w:ascii="Times New Roman" w:hAnsi="Times New Roman" w:eastAsia="仿宋_GB2312" w:cs="宋体"/>
              <w:bCs/>
              <w:szCs w:val="32"/>
            </w:rPr>
            <w:t>）评价等级划分</w:t>
          </w:r>
          <w:r>
            <w:tab/>
          </w:r>
          <w:r>
            <w:fldChar w:fldCharType="begin"/>
          </w:r>
          <w:r>
            <w:instrText xml:space="preserve"> PAGEREF _Toc25991 \h </w:instrText>
          </w:r>
          <w:r>
            <w:fldChar w:fldCharType="separate"/>
          </w:r>
          <w:r>
            <w:t>10</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_Toc29005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七</w:t>
          </w:r>
          <w:r>
            <w:rPr>
              <w:rFonts w:hint="eastAsia" w:ascii="Times New Roman" w:hAnsi="Times New Roman" w:eastAsia="仿宋_GB2312" w:cs="宋体"/>
              <w:bCs/>
              <w:szCs w:val="32"/>
              <w:highlight w:val="none"/>
            </w:rPr>
            <w:t>）评价工作实施情况</w:t>
          </w:r>
          <w:r>
            <w:tab/>
          </w:r>
          <w:r>
            <w:fldChar w:fldCharType="begin"/>
          </w:r>
          <w:r>
            <w:instrText xml:space="preserve"> PAGEREF _Toc29005 \h </w:instrText>
          </w:r>
          <w:r>
            <w:fldChar w:fldCharType="separate"/>
          </w:r>
          <w:r>
            <w:t>11</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_Toc28676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rPr>
            <w:t>三、绩效评价分析</w:t>
          </w:r>
          <w:r>
            <w:tab/>
          </w:r>
          <w:r>
            <w:fldChar w:fldCharType="begin"/>
          </w:r>
          <w:r>
            <w:instrText xml:space="preserve"> PAGEREF _Toc28676 \h </w:instrText>
          </w:r>
          <w:r>
            <w:fldChar w:fldCharType="separate"/>
          </w:r>
          <w:r>
            <w:t>13</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_Toc25693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（一）项目决策分析</w:t>
          </w:r>
          <w:r>
            <w:tab/>
          </w:r>
          <w:r>
            <w:fldChar w:fldCharType="begin"/>
          </w:r>
          <w:r>
            <w:instrText xml:space="preserve"> PAGEREF _Toc25693 \h </w:instrText>
          </w:r>
          <w:r>
            <w:fldChar w:fldCharType="separate"/>
          </w:r>
          <w:r>
            <w:t>13</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_Toc7048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（二）项目管理</w:t>
          </w:r>
          <w:r>
            <w:rPr>
              <w:rFonts w:hint="eastAsia" w:ascii="Times New Roman" w:hAnsi="Times New Roman" w:eastAsia="仿宋_GB2312" w:cs="宋体"/>
              <w:bCs/>
              <w:szCs w:val="32"/>
              <w:lang w:val="en-US" w:eastAsia="zh-CN"/>
            </w:rPr>
            <w:t>过程</w:t>
          </w:r>
          <w:r>
            <w:rPr>
              <w:rFonts w:hint="eastAsia" w:ascii="Times New Roman" w:hAnsi="Times New Roman" w:eastAsia="仿宋_GB2312" w:cs="宋体"/>
              <w:bCs/>
              <w:szCs w:val="32"/>
            </w:rPr>
            <w:t>情况分析</w:t>
          </w:r>
          <w:r>
            <w:tab/>
          </w:r>
          <w:r>
            <w:fldChar w:fldCharType="begin"/>
          </w:r>
          <w:r>
            <w:instrText xml:space="preserve"> PAGEREF _Toc7048 \h </w:instrText>
          </w:r>
          <w:r>
            <w:fldChar w:fldCharType="separate"/>
          </w:r>
          <w:r>
            <w:t>16</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_Toc10347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三</w:t>
          </w:r>
          <w:r>
            <w:rPr>
              <w:rFonts w:hint="eastAsia" w:ascii="Times New Roman" w:hAnsi="Times New Roman" w:eastAsia="仿宋_GB2312" w:cs="宋体"/>
              <w:bCs/>
              <w:szCs w:val="32"/>
              <w:highlight w:val="none"/>
            </w:rPr>
            <w:t>）项目</w:t>
          </w:r>
          <w:r>
            <w:rPr>
              <w:rFonts w:hint="eastAsia" w:ascii="Times New Roman" w:hAnsi="Times New Roman" w:eastAsia="仿宋_GB2312" w:cs="宋体"/>
              <w:bCs/>
              <w:szCs w:val="32"/>
              <w:highlight w:val="none"/>
              <w:lang w:val="en-US" w:eastAsia="zh-CN"/>
            </w:rPr>
            <w:t>产出</w:t>
          </w:r>
          <w:r>
            <w:rPr>
              <w:rFonts w:hint="eastAsia" w:ascii="Times New Roman" w:hAnsi="Times New Roman" w:eastAsia="仿宋_GB2312" w:cs="宋体"/>
              <w:bCs/>
              <w:szCs w:val="32"/>
              <w:highlight w:val="none"/>
            </w:rPr>
            <w:t>情况分析</w:t>
          </w:r>
          <w:r>
            <w:tab/>
          </w:r>
          <w:r>
            <w:fldChar w:fldCharType="begin"/>
          </w:r>
          <w:r>
            <w:instrText xml:space="preserve"> PAGEREF _Toc10347 \h </w:instrText>
          </w:r>
          <w:r>
            <w:fldChar w:fldCharType="separate"/>
          </w:r>
          <w:r>
            <w:t>20</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_Toc1834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lang w:val="en-US" w:eastAsia="zh-CN"/>
            </w:rPr>
            <w:t>（四）项目效益评价分析</w:t>
          </w:r>
          <w:r>
            <w:tab/>
          </w:r>
          <w:r>
            <w:fldChar w:fldCharType="begin"/>
          </w:r>
          <w:r>
            <w:instrText xml:space="preserve"> PAGEREF _Toc1834 \h </w:instrText>
          </w:r>
          <w:r>
            <w:fldChar w:fldCharType="separate"/>
          </w:r>
          <w:r>
            <w:t>21</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_Toc5925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lang w:val="en-US" w:eastAsia="zh-CN"/>
            </w:rPr>
            <w:t>四、</w:t>
          </w:r>
          <w:r>
            <w:rPr>
              <w:rFonts w:hint="eastAsia" w:ascii="方正黑体_GBK" w:hAnsi="方正黑体_GBK" w:eastAsia="方正黑体_GBK" w:cs="方正黑体_GBK"/>
              <w:szCs w:val="32"/>
              <w:highlight w:val="none"/>
            </w:rPr>
            <w:t>评价结论</w:t>
          </w:r>
          <w:r>
            <w:tab/>
          </w:r>
          <w:r>
            <w:fldChar w:fldCharType="begin"/>
          </w:r>
          <w:r>
            <w:instrText xml:space="preserve"> PAGEREF _Toc5925 \h </w:instrText>
          </w:r>
          <w:r>
            <w:fldChar w:fldCharType="separate"/>
          </w:r>
          <w:r>
            <w:t>21</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_Toc13597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（一）评分结果</w:t>
          </w:r>
          <w:r>
            <w:tab/>
          </w:r>
          <w:r>
            <w:fldChar w:fldCharType="begin"/>
          </w:r>
          <w:r>
            <w:instrText xml:space="preserve"> PAGEREF _Toc13597 \h </w:instrText>
          </w:r>
          <w:r>
            <w:fldChar w:fldCharType="separate"/>
          </w:r>
          <w:r>
            <w:t>21</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_Toc14313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（二）项目总体评价结论</w:t>
          </w:r>
          <w:r>
            <w:tab/>
          </w:r>
          <w:r>
            <w:fldChar w:fldCharType="begin"/>
          </w:r>
          <w:r>
            <w:instrText xml:space="preserve"> PAGEREF _Toc14313 \h </w:instrText>
          </w:r>
          <w:r>
            <w:fldChar w:fldCharType="separate"/>
          </w:r>
          <w:r>
            <w:rPr>
              <w:b/>
            </w:rPr>
            <w:t>错误！未定义书签。</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_Toc25630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rPr>
            <w:t>五、</w:t>
          </w:r>
          <w:r>
            <w:rPr>
              <w:rFonts w:hint="eastAsia" w:ascii="方正黑体_GBK" w:hAnsi="方正黑体_GBK" w:eastAsia="方正黑体_GBK" w:cs="方正黑体_GBK"/>
              <w:szCs w:val="32"/>
              <w:highlight w:val="none"/>
              <w:lang w:val="en-US" w:eastAsia="zh-CN"/>
            </w:rPr>
            <w:t>问题及建议</w:t>
          </w:r>
          <w:r>
            <w:tab/>
          </w:r>
          <w:r>
            <w:fldChar w:fldCharType="begin"/>
          </w:r>
          <w:r>
            <w:instrText xml:space="preserve"> PAGEREF _Toc25630 \h </w:instrText>
          </w:r>
          <w:r>
            <w:fldChar w:fldCharType="separate"/>
          </w:r>
          <w:r>
            <w:t>23</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_Toc8617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（一）问题</w:t>
          </w:r>
          <w:r>
            <w:tab/>
          </w:r>
          <w:r>
            <w:fldChar w:fldCharType="begin"/>
          </w:r>
          <w:r>
            <w:instrText xml:space="preserve"> PAGEREF _Toc8617 \h </w:instrText>
          </w:r>
          <w:r>
            <w:fldChar w:fldCharType="separate"/>
          </w:r>
          <w:r>
            <w:t>23</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_Toc12774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二</w:t>
          </w:r>
          <w:r>
            <w:rPr>
              <w:rFonts w:hint="eastAsia" w:ascii="Times New Roman" w:hAnsi="Times New Roman" w:eastAsia="仿宋_GB2312" w:cs="宋体"/>
              <w:bCs/>
              <w:szCs w:val="32"/>
              <w:highlight w:val="none"/>
            </w:rPr>
            <w:t>）意见和建议</w:t>
          </w:r>
          <w:r>
            <w:tab/>
          </w:r>
          <w:r>
            <w:fldChar w:fldCharType="begin"/>
          </w:r>
          <w:r>
            <w:instrText xml:space="preserve"> PAGEREF _Toc12774 \h </w:instrText>
          </w:r>
          <w:r>
            <w:fldChar w:fldCharType="separate"/>
          </w:r>
          <w:r>
            <w:t>23</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_Toc21221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rPr>
            <w:t>六、主要经验及做法</w:t>
          </w:r>
          <w:r>
            <w:tab/>
          </w:r>
          <w:r>
            <w:fldChar w:fldCharType="begin"/>
          </w:r>
          <w:r>
            <w:instrText xml:space="preserve"> PAGEREF _Toc21221 \h </w:instrText>
          </w:r>
          <w:r>
            <w:fldChar w:fldCharType="separate"/>
          </w:r>
          <w:r>
            <w:t>23</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_Toc9446 </w:instrText>
          </w:r>
          <w:r>
            <w:rPr>
              <w:rFonts w:ascii="Times New Roman" w:hAnsi="Times New Roman" w:eastAsia="仿宋_GB2312" w:cs="宋体"/>
              <w:szCs w:val="32"/>
            </w:rPr>
            <w:fldChar w:fldCharType="separate"/>
          </w:r>
          <w:r>
            <w:rPr>
              <w:rFonts w:hint="eastAsia" w:ascii="Times New Roman" w:hAnsi="Times New Roman" w:eastAsia="仿宋_GB2312" w:cs="仿宋_GB2312"/>
              <w:bCs/>
              <w:spacing w:val="0"/>
              <w:kern w:val="2"/>
              <w:szCs w:val="32"/>
              <w:highlight w:val="none"/>
              <w:lang w:val="en-US" w:eastAsia="zh-CN" w:bidi="ar-SA"/>
            </w:rPr>
            <w:t>（一）项目实施过程有效</w:t>
          </w:r>
          <w:r>
            <w:rPr>
              <w:rFonts w:hint="eastAsia" w:eastAsia="仿宋_GB2312" w:cs="仿宋_GB2312"/>
              <w:bCs/>
              <w:spacing w:val="0"/>
              <w:kern w:val="2"/>
              <w:szCs w:val="32"/>
              <w:highlight w:val="none"/>
              <w:lang w:val="en-US" w:eastAsia="zh-CN" w:bidi="ar-SA"/>
            </w:rPr>
            <w:t>监督</w:t>
          </w:r>
          <w:r>
            <w:tab/>
          </w:r>
          <w:r>
            <w:fldChar w:fldCharType="begin"/>
          </w:r>
          <w:r>
            <w:instrText xml:space="preserve"> PAGEREF _Toc9446 \h </w:instrText>
          </w:r>
          <w:r>
            <w:fldChar w:fldCharType="separate"/>
          </w:r>
          <w:r>
            <w:t>23</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_Toc31804 </w:instrText>
          </w:r>
          <w:r>
            <w:rPr>
              <w:rFonts w:ascii="Times New Roman" w:hAnsi="Times New Roman" w:eastAsia="仿宋_GB2312" w:cs="宋体"/>
              <w:szCs w:val="32"/>
            </w:rPr>
            <w:fldChar w:fldCharType="separate"/>
          </w:r>
          <w:r>
            <w:rPr>
              <w:rFonts w:hint="eastAsia" w:ascii="Times New Roman" w:hAnsi="Times New Roman" w:eastAsia="仿宋_GB2312" w:cs="仿宋_GB2312"/>
              <w:bCs/>
              <w:spacing w:val="0"/>
              <w:kern w:val="2"/>
              <w:szCs w:val="32"/>
              <w:highlight w:val="none"/>
              <w:lang w:val="en-US" w:eastAsia="zh-CN" w:bidi="ar-SA"/>
            </w:rPr>
            <w:t>（二）强化领导，明确职责，合理安排使用资金</w:t>
          </w:r>
          <w:r>
            <w:tab/>
          </w:r>
          <w:r>
            <w:fldChar w:fldCharType="begin"/>
          </w:r>
          <w:r>
            <w:instrText xml:space="preserve"> PAGEREF _Toc31804 \h </w:instrText>
          </w:r>
          <w:r>
            <w:fldChar w:fldCharType="separate"/>
          </w:r>
          <w:r>
            <w:t>23</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_Toc110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bCs w:val="0"/>
              <w:szCs w:val="32"/>
              <w:highlight w:val="none"/>
            </w:rPr>
            <w:t>七、评价结果应用建议</w:t>
          </w:r>
          <w:r>
            <w:tab/>
          </w:r>
          <w:r>
            <w:fldChar w:fldCharType="begin"/>
          </w:r>
          <w:r>
            <w:instrText xml:space="preserve"> PAGEREF _Toc110 \h </w:instrText>
          </w:r>
          <w:r>
            <w:fldChar w:fldCharType="separate"/>
          </w:r>
          <w:r>
            <w:t>24</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_Toc10895 </w:instrText>
          </w:r>
          <w:r>
            <w:rPr>
              <w:rFonts w:ascii="Times New Roman" w:hAnsi="Times New Roman" w:eastAsia="仿宋_GB2312" w:cs="宋体"/>
              <w:szCs w:val="32"/>
            </w:rPr>
            <w:fldChar w:fldCharType="separate"/>
          </w:r>
          <w:r>
            <w:rPr>
              <w:rFonts w:hint="eastAsia" w:ascii="Times New Roman" w:hAnsi="Times New Roman" w:eastAsia="仿宋_GB2312" w:cs="Times New Roman"/>
              <w:bCs/>
              <w:szCs w:val="32"/>
              <w:highlight w:val="none"/>
            </w:rPr>
            <w:t>（一）及时对发现的问题进行整改</w:t>
          </w:r>
          <w:r>
            <w:tab/>
          </w:r>
          <w:r>
            <w:fldChar w:fldCharType="begin"/>
          </w:r>
          <w:r>
            <w:instrText xml:space="preserve"> PAGEREF _Toc10895 \h </w:instrText>
          </w:r>
          <w:r>
            <w:fldChar w:fldCharType="separate"/>
          </w:r>
          <w:r>
            <w:t>24</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_Toc32288 </w:instrText>
          </w:r>
          <w:r>
            <w:rPr>
              <w:rFonts w:ascii="Times New Roman" w:hAnsi="Times New Roman" w:eastAsia="仿宋_GB2312" w:cs="宋体"/>
              <w:szCs w:val="32"/>
            </w:rPr>
            <w:fldChar w:fldCharType="separate"/>
          </w:r>
          <w:r>
            <w:rPr>
              <w:rFonts w:hint="eastAsia" w:ascii="Times New Roman" w:hAnsi="Times New Roman" w:eastAsia="仿宋_GB2312" w:cs="Times New Roman"/>
              <w:bCs/>
              <w:szCs w:val="32"/>
            </w:rPr>
            <w:t xml:space="preserve">（二） </w:t>
          </w:r>
          <w:r>
            <w:rPr>
              <w:rFonts w:hint="eastAsia" w:ascii="Times New Roman" w:hAnsi="Times New Roman" w:eastAsia="仿宋_GB2312" w:cs="Times New Roman"/>
              <w:bCs/>
              <w:szCs w:val="32"/>
              <w:highlight w:val="none"/>
            </w:rPr>
            <w:t>建立绩效评价结果应用制度</w:t>
          </w:r>
          <w:r>
            <w:tab/>
          </w:r>
          <w:r>
            <w:fldChar w:fldCharType="begin"/>
          </w:r>
          <w:r>
            <w:instrText xml:space="preserve"> PAGEREF _Toc32288 \h </w:instrText>
          </w:r>
          <w:r>
            <w:fldChar w:fldCharType="separate"/>
          </w:r>
          <w:r>
            <w:t>24</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_Toc11905 </w:instrText>
          </w:r>
          <w:r>
            <w:rPr>
              <w:rFonts w:ascii="Times New Roman" w:hAnsi="Times New Roman" w:eastAsia="仿宋_GB2312" w:cs="宋体"/>
              <w:szCs w:val="32"/>
            </w:rPr>
            <w:fldChar w:fldCharType="separate"/>
          </w:r>
          <w:r>
            <w:rPr>
              <w:rFonts w:hint="eastAsia" w:ascii="Times New Roman" w:hAnsi="Times New Roman" w:eastAsia="仿宋_GB2312" w:cs="Times New Roman"/>
              <w:bCs/>
              <w:szCs w:val="32"/>
              <w:highlight w:val="none"/>
            </w:rPr>
            <w:t>（三）</w:t>
          </w:r>
          <w:r>
            <w:rPr>
              <w:rFonts w:hint="eastAsia" w:ascii="Times New Roman" w:hAnsi="Times New Roman" w:eastAsia="仿宋_GB2312" w:cs="Times New Roman"/>
              <w:bCs/>
              <w:szCs w:val="32"/>
              <w:highlight w:val="none"/>
              <w:lang w:val="en-US" w:eastAsia="zh-CN"/>
            </w:rPr>
            <w:t>强化</w:t>
          </w:r>
          <w:r>
            <w:rPr>
              <w:rFonts w:hint="eastAsia" w:ascii="Times New Roman" w:hAnsi="Times New Roman" w:eastAsia="仿宋_GB2312" w:cs="Times New Roman"/>
              <w:bCs/>
              <w:szCs w:val="32"/>
              <w:highlight w:val="none"/>
            </w:rPr>
            <w:t>绩效评价结果应用</w:t>
          </w:r>
          <w:r>
            <w:tab/>
          </w:r>
          <w:r>
            <w:fldChar w:fldCharType="begin"/>
          </w:r>
          <w:r>
            <w:instrText xml:space="preserve"> PAGEREF _Toc11905 \h </w:instrText>
          </w:r>
          <w:r>
            <w:fldChar w:fldCharType="separate"/>
          </w:r>
          <w:r>
            <w:t>24</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_Toc31056 </w:instrText>
          </w:r>
          <w:r>
            <w:rPr>
              <w:rFonts w:ascii="Times New Roman" w:hAnsi="Times New Roman" w:eastAsia="仿宋_GB2312" w:cs="宋体"/>
              <w:szCs w:val="32"/>
            </w:rPr>
            <w:fldChar w:fldCharType="separate"/>
          </w:r>
          <w:r>
            <w:rPr>
              <w:rFonts w:hint="eastAsia" w:ascii="Times New Roman" w:hAnsi="Times New Roman" w:eastAsia="仿宋_GB2312" w:cs="仿宋_GB2312"/>
              <w:szCs w:val="32"/>
              <w:lang w:val="en-US" w:eastAsia="zh-CN" w:bidi="ar"/>
            </w:rPr>
            <w:t>（四）评价结果公开</w:t>
          </w:r>
          <w:r>
            <w:tab/>
          </w:r>
          <w:r>
            <w:fldChar w:fldCharType="begin"/>
          </w:r>
          <w:r>
            <w:instrText xml:space="preserve"> PAGEREF _Toc31056 \h </w:instrText>
          </w:r>
          <w:r>
            <w:fldChar w:fldCharType="separate"/>
          </w:r>
          <w:r>
            <w:t>25</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_Toc11652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lang w:val="en-US" w:eastAsia="zh-CN"/>
            </w:rPr>
            <w:t>八、</w:t>
          </w:r>
          <w:r>
            <w:rPr>
              <w:rFonts w:hint="eastAsia" w:ascii="方正黑体_GBK" w:hAnsi="方正黑体_GBK" w:eastAsia="方正黑体_GBK" w:cs="方正黑体_GBK"/>
              <w:szCs w:val="32"/>
              <w:highlight w:val="none"/>
            </w:rPr>
            <w:t>其他需说明的问题</w:t>
          </w:r>
          <w:r>
            <w:tab/>
          </w:r>
          <w:r>
            <w:fldChar w:fldCharType="begin"/>
          </w:r>
          <w:r>
            <w:instrText xml:space="preserve"> PAGEREF _Toc11652 \h </w:instrText>
          </w:r>
          <w:r>
            <w:fldChar w:fldCharType="separate"/>
          </w:r>
          <w:r>
            <w:t>25</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_Toc6576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rPr>
            <w:t>九、附件</w:t>
          </w:r>
          <w:r>
            <w:tab/>
          </w:r>
          <w:r>
            <w:fldChar w:fldCharType="begin"/>
          </w:r>
          <w:r>
            <w:instrText xml:space="preserve"> PAGEREF _Toc6576 \h </w:instrText>
          </w:r>
          <w:r>
            <w:fldChar w:fldCharType="separate"/>
          </w:r>
          <w:r>
            <w:t>26</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360" w:lineRule="exact"/>
            <w:ind w:firstLine="420" w:firstLineChars="200"/>
            <w:textAlignment w:val="auto"/>
            <w:rPr>
              <w:rFonts w:ascii="Times New Roman" w:hAnsi="Times New Roman" w:eastAsia="仿宋_GB2312" w:cs="宋体"/>
              <w:color w:val="auto"/>
              <w:sz w:val="32"/>
              <w:szCs w:val="32"/>
            </w:rPr>
          </w:pPr>
          <w:r>
            <w:rPr>
              <w:rFonts w:ascii="Times New Roman" w:hAnsi="Times New Roman" w:eastAsia="仿宋_GB2312" w:cs="宋体"/>
              <w:color w:val="auto"/>
              <w:szCs w:val="32"/>
            </w:rPr>
            <w:fldChar w:fldCharType="end"/>
          </w:r>
        </w:p>
      </w:sdtContent>
    </w:sdt>
    <w:p>
      <w:pPr>
        <w:pageBreakBefore w:val="0"/>
        <w:kinsoku/>
        <w:wordWrap/>
        <w:overflowPunct/>
        <w:topLinePunct w:val="0"/>
        <w:autoSpaceDE/>
        <w:autoSpaceDN/>
        <w:bidi w:val="0"/>
        <w:spacing w:line="600" w:lineRule="exact"/>
        <w:jc w:val="both"/>
        <w:outlineLvl w:val="0"/>
        <w:rPr>
          <w:rFonts w:hint="eastAsia" w:ascii="方正黑体_GBK" w:hAnsi="方正黑体_GBK" w:eastAsia="方正黑体_GBK" w:cs="方正黑体_GBK"/>
          <w:b w:val="0"/>
          <w:bCs w:val="0"/>
          <w:color w:val="auto"/>
          <w:sz w:val="44"/>
          <w:szCs w:val="44"/>
          <w:lang w:eastAsia="zh-CN"/>
        </w:rPr>
        <w:sectPr>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61" w:name="_Toc23032"/>
      <w:bookmarkStart w:id="62" w:name="_Toc22869"/>
      <w:bookmarkStart w:id="63" w:name="_Toc11665"/>
      <w:bookmarkStart w:id="64" w:name="_Toc16603"/>
      <w:bookmarkStart w:id="65" w:name="_Toc18687"/>
    </w:p>
    <w:bookmarkEnd w:id="61"/>
    <w:bookmarkEnd w:id="62"/>
    <w:bookmarkEnd w:id="63"/>
    <w:p>
      <w:pPr>
        <w:pageBreakBefore w:val="0"/>
        <w:kinsoku/>
        <w:wordWrap/>
        <w:overflowPunct/>
        <w:topLinePunct w:val="0"/>
        <w:autoSpaceDE/>
        <w:autoSpaceDN/>
        <w:bidi w:val="0"/>
        <w:spacing w:line="600" w:lineRule="exact"/>
        <w:ind w:firstLine="880" w:firstLineChars="200"/>
        <w:jc w:val="center"/>
        <w:outlineLvl w:val="0"/>
        <w:rPr>
          <w:rFonts w:hint="eastAsia" w:ascii="方正黑体_GBK" w:hAnsi="方正黑体_GBK" w:eastAsia="方正黑体_GBK" w:cs="方正黑体_GBK"/>
          <w:color w:val="auto"/>
          <w:sz w:val="44"/>
          <w:szCs w:val="44"/>
        </w:rPr>
      </w:pPr>
      <w:bookmarkStart w:id="66" w:name="_Toc4062"/>
      <w:bookmarkStart w:id="67" w:name="_Toc26253"/>
      <w:bookmarkStart w:id="68" w:name="_Toc4465"/>
      <w:bookmarkStart w:id="69" w:name="_Toc19311"/>
      <w:bookmarkStart w:id="70" w:name="_Toc14725"/>
      <w:bookmarkStart w:id="71" w:name="_Toc12923"/>
      <w:bookmarkStart w:id="72" w:name="_Toc8051"/>
      <w:bookmarkStart w:id="73" w:name="_Toc29218"/>
      <w:bookmarkStart w:id="74" w:name="_Toc24347"/>
      <w:bookmarkStart w:id="75" w:name="_Toc1397"/>
      <w:bookmarkStart w:id="76" w:name="_Toc7636"/>
      <w:bookmarkStart w:id="77" w:name="_Toc22495"/>
      <w:bookmarkStart w:id="78" w:name="_Toc29294"/>
      <w:bookmarkStart w:id="79" w:name="_Toc31819"/>
      <w:bookmarkStart w:id="80" w:name="_Toc18296"/>
      <w:bookmarkStart w:id="81" w:name="_Toc28273"/>
      <w:r>
        <w:rPr>
          <w:rFonts w:hint="eastAsia" w:ascii="方正黑体_GBK" w:hAnsi="方正黑体_GBK" w:eastAsia="方正黑体_GBK" w:cs="方正黑体_GBK"/>
          <w:b w:val="0"/>
          <w:bCs w:val="0"/>
          <w:color w:val="auto"/>
          <w:sz w:val="44"/>
          <w:szCs w:val="44"/>
          <w:lang w:eastAsia="zh-CN"/>
        </w:rPr>
        <w:t>草原管护员补助项目</w:t>
      </w:r>
      <w:r>
        <w:rPr>
          <w:rFonts w:hint="eastAsia" w:ascii="方正黑体_GBK" w:hAnsi="方正黑体_GBK" w:eastAsia="方正黑体_GBK" w:cs="方正黑体_GBK"/>
          <w:color w:val="auto"/>
          <w:sz w:val="44"/>
          <w:szCs w:val="44"/>
        </w:rPr>
        <w:t>绩效评价报告</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color w:val="auto"/>
          <w:sz w:val="32"/>
          <w:szCs w:val="32"/>
        </w:rPr>
      </w:pPr>
      <w:bookmarkStart w:id="82" w:name="_Toc1359"/>
      <w:bookmarkStart w:id="83" w:name="_Toc11297"/>
      <w:bookmarkStart w:id="84" w:name="_Toc27464"/>
      <w:bookmarkStart w:id="85" w:name="_Toc19132"/>
      <w:bookmarkStart w:id="86" w:name="_Toc9049"/>
      <w:r>
        <w:rPr>
          <w:rFonts w:hint="eastAsia" w:ascii="方正黑体_GBK" w:hAnsi="方正黑体_GBK" w:eastAsia="方正黑体_GBK" w:cs="方正黑体_GBK"/>
          <w:color w:val="auto"/>
          <w:sz w:val="32"/>
          <w:szCs w:val="32"/>
        </w:rPr>
        <w:t>一、项目概述</w:t>
      </w:r>
      <w:bookmarkEnd w:id="82"/>
      <w:bookmarkEnd w:id="83"/>
      <w:bookmarkEnd w:id="84"/>
      <w:bookmarkEnd w:id="85"/>
      <w:bookmarkEnd w:id="86"/>
    </w:p>
    <w:p>
      <w:pPr>
        <w:pStyle w:val="31"/>
        <w:pageBreakBefore w:val="0"/>
        <w:numPr>
          <w:ilvl w:val="0"/>
          <w:numId w:val="3"/>
        </w:numPr>
        <w:kinsoku/>
        <w:wordWrap/>
        <w:overflowPunct/>
        <w:topLinePunct w:val="0"/>
        <w:autoSpaceDE/>
        <w:autoSpaceDN/>
        <w:bidi w:val="0"/>
        <w:adjustRightInd w:val="0"/>
        <w:snapToGrid w:val="0"/>
        <w:spacing w:line="560" w:lineRule="exact"/>
        <w:ind w:left="0" w:firstLine="643" w:firstLineChars="200"/>
        <w:rPr>
          <w:rFonts w:ascii="Times New Roman" w:hAnsi="Times New Roman" w:eastAsia="仿宋_GB2312" w:cs="宋体"/>
          <w:b/>
          <w:bCs/>
          <w:vanish/>
          <w:color w:val="auto"/>
          <w:sz w:val="32"/>
          <w:szCs w:val="32"/>
        </w:rPr>
      </w:pPr>
      <w:bookmarkStart w:id="87" w:name="_Hlk24028365"/>
      <w:r>
        <w:rPr>
          <w:rFonts w:hint="eastAsia" w:ascii="Times New Roman" w:hAnsi="Times New Roman" w:eastAsia="仿宋_GB2312" w:cs="宋体"/>
          <w:b/>
          <w:bCs/>
          <w:vanish/>
          <w:color w:val="auto"/>
          <w:sz w:val="32"/>
          <w:szCs w:val="32"/>
        </w:rPr>
        <w:t>项目概述</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88" w:name="_Toc1274"/>
      <w:bookmarkStart w:id="89" w:name="_Toc5639"/>
      <w:bookmarkStart w:id="90" w:name="_Toc10362"/>
      <w:bookmarkStart w:id="91" w:name="_Toc14064"/>
      <w:r>
        <w:rPr>
          <w:rFonts w:hint="eastAsia" w:ascii="方正楷体_GBK" w:hAnsi="方正楷体_GBK" w:eastAsia="方正楷体_GBK" w:cs="方正楷体_GBK"/>
          <w:b/>
          <w:bCs/>
          <w:color w:val="auto"/>
          <w:sz w:val="32"/>
          <w:szCs w:val="32"/>
        </w:rPr>
        <w:t>（一）项目基本情况</w:t>
      </w:r>
      <w:bookmarkEnd w:id="88"/>
      <w:bookmarkEnd w:id="89"/>
      <w:bookmarkEnd w:id="90"/>
      <w:bookmarkEnd w:id="91"/>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1.项目背景</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自2011年国家实施草原生态保护补助奖励政策以来，各地积极推进草原管护员队伍建设。实践证明，草原管护员队伍在强化草原禁牧区巡查、核定草畜平衡区放牧牲畜数量、保护草原围栏设施、发现和制止草原违法行为等方面发挥了重要作用，为确保草原补奖政策取得实效做出了积极贡献。由于草原管护员队伍建设工作刚刚起步，目前还存在省区间进展不平衡、管理不够规范、草原管护员积极性不高和作用发挥不够等一些待解决的问题。</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草原管护员是基层管护草原的重要力量，是草原监理队伍的有益补充。加强草原管护员队伍建设，是强化基层草原管护工作的迫切需要，是落实草原补奖政策的重要举措，也是发挥农牧民群众主体作用的有效途径。在当前贯彻落实草原法律法规和各项政策任务更加繁重的新形势下，迫切需要加强草原管护员队伍建设，进一步壮大草原管护力量。</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因此，疏附县自然资源局根据《关于拨付2022年草原管护员补助资金的通知》，《关于拨付提前下达2022年中央林业草原生态保护恢复资金的通知》文件要求开始实施该项目。</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2.项目实施主体</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lang w:eastAsia="zh-CN"/>
        </w:rPr>
        <w:t>草原管护员补助项目</w:t>
      </w:r>
      <w:r>
        <w:rPr>
          <w:rFonts w:hint="eastAsia" w:ascii="仿宋_GB2312" w:hAnsi="仿宋_GB2312" w:eastAsia="仿宋_GB2312" w:cs="仿宋_GB2312"/>
          <w:color w:val="auto"/>
          <w:sz w:val="32"/>
          <w:lang w:val="en-US" w:eastAsia="zh-CN"/>
        </w:rPr>
        <w:t>由疏附县自然资源局主要负责实施。单位主要职能：</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负责全县林业和草原及其生态保护修复的监督管理。拟订全县林业和草原及其生态保护修复的政策、规划并组织实施。组织开展全县森林、草原、湿地、荒漠和陆生野生动植物资源动态监测与评价，推进全县林业和草原数字化建设。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全县林业和草原生态保护修复和造林绿化工作。组织实施林业和草原生态保护修复工程，指导公益林和商品林的培育，指导、监督全民义务植树、城乡绿化工作。指导林业和草原有害生物防治、检疫工作。承担林业和草原应对气候变化的相关工作。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负责全县自然保护区、风景名胜区、自然遗产、湿地公园、森林、草原、湿地资源的监督管理。组织编制并监督执行全县森林采伐限额。负责林地管理，拟订林地保护利用规划并组织实施，组织实施公益林划定和管理工作，管理国有森林资源。负责草原禁牧、草畜平衡和草原生态修复治理工作，监督管理草原的开发利用。负责湿地生态保护修复工作，拟订全县湿地保护规划和相关地方标准，监督管理湿地的开发利用。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（4）负责监督管理全县荒漠化防治工作。组织开展荒漠调查，组织拟订防沙治沙及沙化土地封禁保护区建设规划，监督管理沙化土地的开发利用，组织沙尘暴灾害预测预报和应急处置。 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负责全县陆生野生动植物资源监督管理。组织开展陆生野生动植物资源调查，拟订及调整全县重点保护陆生野生动物、植物名录，指导陆生野生动植物的救护繁育、栖息地恢复发展、监督管理陆生野生动植物猎捕或采集、驯养繁殖或培植、经营利用，按分工监督管理野生动植物进出口。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负责监督管理全县各类自然保护地。拟订各类自然保护地规划和相关地方标准。负责国家公园申报设立、规划、建设和特许经营等工作。负责县级政府直接行使和代理行使全民所有权的国家公园等自然保护地的自然资源资产管理和国土空间用途管制。提出新建、调整各类自然保护地的审核建议并按程序报批，组织世界自然遗产和世界自然与文化双重遗产的申报。负责生物多样性保护相关工作。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负责推进全县林业和草原改革相关工作。拟订集体林权制度、国有林区、草原等改革意见并监督实施。拟订农村林业发展、维护林业经营者合法权益的政策措施。指导农村林地承包经营工作。开展退耕（牧）还林还草，负责天然林保护工作。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拟订全县林业和草原资源优化配置及木材利用政策。拟订相关林业产业地方标准并监督实施，组织、指导林草产品质量监督。指导开展林业和草原现代园区建设、花卉、特色经济林、森林林下经济、森林康养和生态旅游产业发展。推进林业和草原绿色产业发展。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指导全县国有林场基本建设和发展。组织林木种子、草种种子资源普查，组织建立种子资源库，负责良种选育推广，管理林木种苗、草种生产经营行为，监管林木种苗、草种质量。监督管理林业和草原生物种子资源、转基因生物安全、植物新品种保护。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负责落实全县综合防灾减灾规划相关要求。组织编制森林和草原火灾防治规划和防护标准并指导实施，组织、指导开展防火巡护、火源管理、防火设施建设等工作。负责森林和草原火情监测预警、火灾预防工作，发送森林和草原火险信息。组织指导国有林场林区和草原开展宣传教育、监测预警、督促检查等防火工作。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11）监督管理全县林业和草原资金和国有资产。提出林业和草原预算内投资、县级财政性资金安排建议，按县政府规定权限，核报、核准规划内和年度计划内投资项目。参与拟订全县林业和草原经济调节政策，组织实施林业和草原生态补偿工作。 </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（12）负责林业和草原科技、教育和对外交流工作。指导全县林业和草原人才队伍建设，组织实施林业和草原对外交流与合作事务，承担湿地、防治荒漠化、濒危野生动植物等国际公约履约有关工作。</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3.项目内容</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（1）项目主要内容</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lang w:val="en-US" w:eastAsia="zh-CN"/>
        </w:rPr>
      </w:pPr>
      <w:bookmarkStart w:id="92" w:name="_Toc14960"/>
      <w:r>
        <w:rPr>
          <w:rFonts w:hint="eastAsia" w:ascii="仿宋_GB2312" w:hAnsi="仿宋_GB2312" w:eastAsia="仿宋_GB2312" w:cs="仿宋_GB2312"/>
          <w:color w:val="auto"/>
          <w:sz w:val="32"/>
          <w:lang w:val="en-US" w:eastAsia="zh-CN"/>
        </w:rPr>
        <w:t>本项目主要194名草原管护员对草原进行管护，每年按1万元/人/年的标准给草原管护员发放补助，项目的实施提高草原管护员的生活质量，保障草原管护员的基本生活。</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（2）项目实施情况</w:t>
      </w:r>
      <w:bookmarkEnd w:id="92"/>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截止绩效评价日，本项目已发放194户草原管护的劳务补助194万元，每人每年1万元，提高了农民生活质量，保障了草原管护员基本生活，草原管护员满意度达到了95%。</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val="en-US" w:eastAsia="zh-CN"/>
        </w:rPr>
        <w:t>4.</w:t>
      </w:r>
      <w:r>
        <w:rPr>
          <w:rFonts w:hint="eastAsia" w:ascii="仿宋_GB2312" w:hAnsi="仿宋_GB2312" w:eastAsia="仿宋_GB2312" w:cs="仿宋_GB2312"/>
          <w:b/>
          <w:bCs w:val="0"/>
          <w:color w:val="auto"/>
          <w:sz w:val="32"/>
          <w:szCs w:val="32"/>
        </w:rPr>
        <w:t>立项依据</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lang w:val="en-US" w:eastAsia="zh-CN"/>
        </w:rPr>
        <w:t>该项目依据《关于拨付2022年草原管护员补助资金的通知》，《关于拨付提前下达2022年中央林业草原生态保护恢复资金的通知》安排疏附县自然资源局实施草原管护员补助项目，资金投入共计194.00万元，资金来源为中央专项资金</w:t>
      </w:r>
      <w:r>
        <w:rPr>
          <w:rFonts w:hint="eastAsia" w:ascii="仿宋_GB2312" w:hAnsi="仿宋_GB2312" w:eastAsia="仿宋_GB2312" w:cs="仿宋_GB2312"/>
          <w:color w:val="auto"/>
          <w:sz w:val="32"/>
          <w:lang w:eastAsia="zh-CN"/>
        </w:rPr>
        <w:t>。</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方正楷体_GBK" w:hAnsi="方正楷体_GBK" w:eastAsia="方正楷体_GBK" w:cs="方正楷体_GBK"/>
          <w:b/>
          <w:bCs/>
          <w:color w:val="auto"/>
          <w:sz w:val="32"/>
          <w:szCs w:val="32"/>
        </w:rPr>
      </w:pPr>
      <w:bookmarkStart w:id="93" w:name="_Toc31525"/>
      <w:bookmarkStart w:id="94" w:name="_Toc32422"/>
      <w:bookmarkStart w:id="95" w:name="_Toc17517"/>
      <w:bookmarkStart w:id="96" w:name="_Toc31516"/>
      <w:r>
        <w:rPr>
          <w:rFonts w:hint="eastAsia" w:ascii="方正楷体_GBK" w:hAnsi="方正楷体_GBK" w:eastAsia="方正楷体_GBK" w:cs="方正楷体_GBK"/>
          <w:b/>
          <w:bCs/>
          <w:color w:val="auto"/>
          <w:sz w:val="32"/>
          <w:szCs w:val="32"/>
        </w:rPr>
        <w:t>（二）项目资金情况</w:t>
      </w:r>
      <w:bookmarkEnd w:id="93"/>
      <w:bookmarkEnd w:id="94"/>
      <w:bookmarkEnd w:id="95"/>
      <w:bookmarkEnd w:id="96"/>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1.项目资金预算及来源</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该</w:t>
      </w:r>
      <w:r>
        <w:rPr>
          <w:rFonts w:hint="eastAsia" w:ascii="仿宋_GB2312" w:hAnsi="仿宋_GB2312" w:eastAsia="仿宋_GB2312" w:cs="仿宋_GB2312"/>
          <w:color w:val="auto"/>
          <w:sz w:val="32"/>
        </w:rPr>
        <w:t>项目</w:t>
      </w:r>
      <w:r>
        <w:rPr>
          <w:rFonts w:hint="eastAsia" w:ascii="仿宋_GB2312" w:hAnsi="仿宋_GB2312" w:eastAsia="仿宋_GB2312" w:cs="仿宋_GB2312"/>
          <w:color w:val="auto"/>
          <w:sz w:val="32"/>
          <w:lang w:val="en-US" w:eastAsia="zh-CN"/>
        </w:rPr>
        <w:t>调整后预算资金为194.00</w:t>
      </w:r>
      <w:r>
        <w:rPr>
          <w:rFonts w:hint="eastAsia" w:ascii="仿宋_GB2312" w:hAnsi="仿宋_GB2312" w:eastAsia="仿宋_GB2312" w:cs="仿宋_GB2312"/>
          <w:color w:val="auto"/>
          <w:sz w:val="32"/>
        </w:rPr>
        <w:t>万元，资金来源为：</w:t>
      </w:r>
      <w:r>
        <w:rPr>
          <w:rFonts w:hint="eastAsia" w:ascii="仿宋_GB2312" w:hAnsi="仿宋_GB2312" w:eastAsia="仿宋_GB2312" w:cs="仿宋_GB2312"/>
          <w:color w:val="auto"/>
          <w:sz w:val="32"/>
          <w:lang w:val="en-US" w:eastAsia="zh-CN"/>
        </w:rPr>
        <w:t>中央专项资金。</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2.预算执行及结果</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lang w:val="en-US" w:eastAsia="zh-CN"/>
        </w:rPr>
        <w:t>该项目预算资金194.00万元，</w:t>
      </w:r>
      <w:r>
        <w:rPr>
          <w:rFonts w:hint="eastAsia" w:ascii="仿宋_GB2312" w:hAnsi="仿宋_GB2312" w:eastAsia="仿宋_GB2312" w:cs="仿宋_GB2312"/>
          <w:color w:val="auto"/>
          <w:sz w:val="32"/>
        </w:rPr>
        <w:t>实际支付资金</w:t>
      </w:r>
      <w:r>
        <w:rPr>
          <w:rFonts w:hint="eastAsia" w:ascii="仿宋_GB2312" w:hAnsi="仿宋_GB2312" w:eastAsia="仿宋_GB2312" w:cs="仿宋_GB2312"/>
          <w:color w:val="auto"/>
          <w:sz w:val="32"/>
          <w:lang w:val="en-US" w:eastAsia="zh-CN"/>
        </w:rPr>
        <w:t>为194.00</w:t>
      </w:r>
      <w:r>
        <w:rPr>
          <w:rFonts w:hint="eastAsia" w:ascii="仿宋_GB2312" w:hAnsi="仿宋_GB2312" w:eastAsia="仿宋_GB2312" w:cs="仿宋_GB2312"/>
          <w:color w:val="auto"/>
          <w:sz w:val="32"/>
        </w:rPr>
        <w:t>万元，预算执行率</w:t>
      </w:r>
      <w:r>
        <w:rPr>
          <w:rFonts w:hint="eastAsia" w:ascii="仿宋_GB2312" w:hAnsi="仿宋_GB2312" w:eastAsia="仿宋_GB2312" w:cs="仿宋_GB2312"/>
          <w:color w:val="auto"/>
          <w:sz w:val="32"/>
          <w:lang w:val="en-US" w:eastAsia="zh-CN"/>
        </w:rPr>
        <w:t>100%</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该</w:t>
      </w:r>
      <w:r>
        <w:rPr>
          <w:rFonts w:hint="eastAsia" w:ascii="仿宋_GB2312" w:hAnsi="仿宋_GB2312" w:eastAsia="仿宋_GB2312" w:cs="仿宋_GB2312"/>
          <w:color w:val="auto"/>
          <w:sz w:val="32"/>
        </w:rPr>
        <w:t>项目资金主要用于</w:t>
      </w:r>
      <w:bookmarkStart w:id="97" w:name="_Toc25645"/>
      <w:bookmarkStart w:id="98" w:name="_Toc3876"/>
      <w:bookmarkStart w:id="99" w:name="_Toc21271"/>
      <w:r>
        <w:rPr>
          <w:rFonts w:hint="eastAsia" w:ascii="仿宋_GB2312" w:hAnsi="仿宋_GB2312" w:eastAsia="仿宋_GB2312" w:cs="仿宋_GB2312"/>
          <w:color w:val="auto"/>
          <w:sz w:val="32"/>
        </w:rPr>
        <w:t>发放194户草原管护的劳务补助194万元，每人每年1万元</w:t>
      </w:r>
      <w:r>
        <w:rPr>
          <w:rFonts w:hint="eastAsia" w:ascii="仿宋_GB2312" w:hAnsi="仿宋_GB2312" w:eastAsia="仿宋_GB2312" w:cs="仿宋_GB2312"/>
          <w:color w:val="auto"/>
          <w:sz w:val="32"/>
          <w:lang w:eastAsia="zh-CN"/>
        </w:rPr>
        <w:t>。</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Times New Roman" w:hAnsi="Times New Roman" w:eastAsia="仿宋_GB2312" w:cs="宋体"/>
          <w:b/>
          <w:bCs/>
          <w:color w:val="auto"/>
          <w:sz w:val="32"/>
          <w:szCs w:val="32"/>
          <w:highlight w:val="none"/>
          <w:lang w:eastAsia="zh-CN"/>
        </w:rPr>
      </w:pPr>
      <w:bookmarkStart w:id="100" w:name="_Toc20832"/>
      <w:r>
        <w:rPr>
          <w:rFonts w:hint="eastAsia" w:ascii="Times New Roman" w:hAnsi="Times New Roman" w:eastAsia="仿宋_GB2312" w:cs="宋体"/>
          <w:b/>
          <w:bCs/>
          <w:color w:val="auto"/>
          <w:sz w:val="32"/>
          <w:szCs w:val="32"/>
          <w:highlight w:val="none"/>
        </w:rPr>
        <w:t>（三）绩效目标设置情况</w:t>
      </w:r>
      <w:bookmarkEnd w:id="97"/>
      <w:bookmarkEnd w:id="98"/>
      <w:bookmarkEnd w:id="99"/>
      <w:bookmarkEnd w:id="100"/>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eastAsia="zh-CN"/>
        </w:rPr>
      </w:pPr>
      <w:bookmarkStart w:id="101" w:name="_Toc8400"/>
      <w:bookmarkStart w:id="102" w:name="_Toc1757"/>
      <w:bookmarkStart w:id="103" w:name="_Toc26467"/>
      <w:r>
        <w:rPr>
          <w:rFonts w:hint="eastAsia" w:ascii="仿宋_GB2312" w:hAnsi="仿宋_GB2312" w:eastAsia="仿宋_GB2312" w:cs="仿宋_GB2312"/>
          <w:color w:val="auto"/>
          <w:sz w:val="32"/>
          <w:lang w:val="en-US" w:eastAsia="zh-CN"/>
        </w:rPr>
        <w:t>该项目共设立一级指标3个，二级指标7个，三级指标10个，</w:t>
      </w:r>
      <w:r>
        <w:rPr>
          <w:rFonts w:hint="eastAsia" w:ascii="仿宋_GB2312" w:hAnsi="仿宋_GB2312" w:eastAsia="仿宋_GB2312" w:cs="仿宋_GB2312"/>
          <w:color w:val="auto"/>
          <w:sz w:val="32"/>
        </w:rPr>
        <w:t>指标量化率</w:t>
      </w:r>
      <w:r>
        <w:rPr>
          <w:rFonts w:hint="eastAsia" w:ascii="仿宋_GB2312" w:hAnsi="仿宋_GB2312" w:eastAsia="仿宋_GB2312" w:cs="仿宋_GB2312"/>
          <w:color w:val="auto"/>
          <w:sz w:val="32"/>
          <w:lang w:val="en-US" w:eastAsia="zh-CN"/>
        </w:rPr>
        <w:t>80</w:t>
      </w:r>
      <w:r>
        <w:rPr>
          <w:rFonts w:hint="eastAsia" w:ascii="仿宋_GB2312" w:hAnsi="仿宋_GB2312" w:eastAsia="仿宋_GB2312" w:cs="仿宋_GB2312"/>
          <w:color w:val="auto"/>
          <w:sz w:val="32"/>
        </w:rPr>
        <w:t>%。绩效目标明确了项目产出数量和预期达到的效果，绩效目标指标制定明确、细化、量化。整体来看，目标设立合理清晰</w:t>
      </w:r>
      <w:r>
        <w:rPr>
          <w:rFonts w:hint="eastAsia" w:ascii="仿宋_GB2312" w:hAnsi="仿宋_GB2312" w:eastAsia="仿宋_GB2312" w:cs="仿宋_GB2312"/>
          <w:color w:val="auto"/>
          <w:sz w:val="32"/>
          <w:lang w:eastAsia="zh-CN"/>
        </w:rPr>
        <w:t>：</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1.年度总目标</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24"/>
          <w:lang w:val="en-US" w:eastAsia="zh-CN" w:bidi="ar-SA"/>
        </w:rPr>
        <w:t>本项目主要194名草原管护员对草原进行管护，每年按1万元/人/年的标准给草原管护员发放补助，项目的实施提高草原管护员的生活质量，保障草原管护员的基本生活，草原管护员满意度预计能达到95%。</w:t>
      </w:r>
      <w:r>
        <w:rPr>
          <w:rFonts w:hint="eastAsia" w:ascii="Times New Roman" w:hAnsi="Times New Roman" w:eastAsia="仿宋_GB2312" w:cs="仿宋_GB2312"/>
          <w:color w:val="auto"/>
          <w:kern w:val="2"/>
          <w:sz w:val="32"/>
          <w:szCs w:val="32"/>
          <w:highlight w:val="none"/>
          <w:lang w:val="en-US" w:eastAsia="zh-CN" w:bidi="ar-SA"/>
        </w:rPr>
        <w:t xml:space="preserve">       </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2.阶段性绩效目标。</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该项目依据财政部印发《项目支出绩效评价管理办法》文件要求，为了规范和加强草原管护员补助项目资金的管理，提高资金使用效益；制定了《疏附县自然资源局草原管护员补助项目实施方案》，结合该项目实际情况，设置的阶段性目标如下：</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（1）产出指标：</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default"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该项目194名草原管护员对草原进行管护，每年按1万元/人/年的标准给草原管护员发放补助，草原管护员补助发放准确率，草原管护员完成率，草原管护员补助发放及时率，项目完成及时率均为100%，草原管护员完成工作时限30天，草原管护员补助标准1万元/人/年。</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（2）效益指标：</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项目的实施提高草原管护员的生活质量，保障草原管护员的基本生活。</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（3）满意度指标：</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lang w:val="en-US" w:eastAsia="zh-CN"/>
        </w:rPr>
        <w:t>草原管护员满意度大于等于95%。</w:t>
      </w:r>
    </w:p>
    <w:bookmarkEnd w:id="101"/>
    <w:bookmarkEnd w:id="102"/>
    <w:bookmarkEnd w:id="103"/>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color w:val="auto"/>
          <w:sz w:val="32"/>
          <w:szCs w:val="32"/>
        </w:rPr>
      </w:pPr>
      <w:bookmarkStart w:id="104" w:name="_Toc7530"/>
      <w:bookmarkStart w:id="105" w:name="_Toc18230"/>
      <w:bookmarkStart w:id="106" w:name="_Toc12234"/>
      <w:bookmarkStart w:id="107" w:name="_Toc14767"/>
      <w:r>
        <w:rPr>
          <w:rFonts w:hint="eastAsia" w:ascii="方正黑体_GBK" w:hAnsi="方正黑体_GBK" w:eastAsia="方正黑体_GBK" w:cs="方正黑体_GBK"/>
          <w:color w:val="auto"/>
          <w:sz w:val="32"/>
          <w:szCs w:val="32"/>
        </w:rPr>
        <w:t>二、评价工作简述</w:t>
      </w:r>
      <w:bookmarkEnd w:id="104"/>
      <w:bookmarkEnd w:id="105"/>
      <w:bookmarkEnd w:id="106"/>
      <w:bookmarkEnd w:id="107"/>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08" w:name="_Toc7630"/>
      <w:bookmarkStart w:id="109" w:name="_Toc3416"/>
      <w:bookmarkStart w:id="110" w:name="_Toc19614"/>
      <w:r>
        <w:rPr>
          <w:rFonts w:hint="eastAsia" w:ascii="仿宋_GB2312" w:hAnsi="仿宋_GB2312" w:eastAsia="仿宋_GB2312" w:cs="仿宋_GB2312"/>
          <w:color w:val="auto"/>
          <w:sz w:val="32"/>
          <w:lang w:val="en-US" w:eastAsia="zh-CN"/>
        </w:rPr>
        <w:t>受疏附县财政局委托，中瑞诚会计师事务所（特殊普通合伙）喀什分所（以下简称“评价机构”）承担草原管护员补助项目绩效评价工作。为更好地保障绩效评价工作的顺利实施，根据财政部颁发的《项目支出绩效评价管理办法》、新疆维吾尔自治区财政厅颁发的《自治区财政支出绩效评价管理暂行办法》等文件规定，评价机构成立绩效评价工作组（以下简称“评价工作组”）对资金投入、使用和效益等方面进行了绩效评价。</w:t>
      </w:r>
      <w:bookmarkEnd w:id="108"/>
      <w:bookmarkEnd w:id="109"/>
      <w:bookmarkEnd w:id="110"/>
    </w:p>
    <w:p>
      <w:pPr>
        <w:pStyle w:val="31"/>
        <w:keepNext w:val="0"/>
        <w:keepLines w:val="0"/>
        <w:pageBreakBefore w:val="0"/>
        <w:numPr>
          <w:ilvl w:val="0"/>
          <w:numId w:val="3"/>
        </w:numPr>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评价工作简述</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11" w:name="_Toc998"/>
      <w:bookmarkStart w:id="112" w:name="_Toc6354"/>
      <w:bookmarkStart w:id="113" w:name="_Toc20453"/>
      <w:bookmarkStart w:id="114" w:name="_Toc24504"/>
      <w:r>
        <w:rPr>
          <w:rFonts w:hint="eastAsia" w:ascii="方正楷体_GBK" w:hAnsi="方正楷体_GBK" w:eastAsia="方正楷体_GBK" w:cs="方正楷体_GBK"/>
          <w:b/>
          <w:bCs/>
          <w:color w:val="auto"/>
          <w:sz w:val="32"/>
          <w:szCs w:val="32"/>
        </w:rPr>
        <w:t>（一）评价目的</w:t>
      </w:r>
      <w:bookmarkEnd w:id="111"/>
      <w:bookmarkEnd w:id="112"/>
      <w:bookmarkEnd w:id="113"/>
      <w:bookmarkEnd w:id="114"/>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rPr>
      </w:pPr>
      <w:bookmarkStart w:id="115" w:name="_Toc25637"/>
      <w:bookmarkStart w:id="116" w:name="_Toc25261"/>
      <w:bookmarkStart w:id="117" w:name="_Toc12051"/>
      <w:bookmarkStart w:id="118" w:name="_Toc18186"/>
      <w:bookmarkStart w:id="119" w:name="_Toc8215"/>
      <w:bookmarkStart w:id="120" w:name="_Toc11346"/>
      <w:bookmarkStart w:id="121" w:name="_Toc12255"/>
      <w:r>
        <w:rPr>
          <w:rFonts w:hint="eastAsia" w:ascii="仿宋_GB2312" w:hAnsi="仿宋_GB2312" w:eastAsia="仿宋_GB2312" w:cs="仿宋_GB2312"/>
          <w:color w:val="auto"/>
          <w:sz w:val="32"/>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w:t>
      </w:r>
      <w:r>
        <w:rPr>
          <w:rFonts w:hint="eastAsia" w:ascii="仿宋_GB2312" w:hAnsi="仿宋_GB2312" w:eastAsia="仿宋_GB2312" w:cs="仿宋_GB2312"/>
          <w:color w:val="auto"/>
          <w:sz w:val="32"/>
          <w:lang w:eastAsia="zh-CN"/>
        </w:rPr>
        <w:t>财政资金</w:t>
      </w:r>
      <w:r>
        <w:rPr>
          <w:rFonts w:hint="eastAsia" w:ascii="仿宋_GB2312" w:hAnsi="仿宋_GB2312" w:eastAsia="仿宋_GB2312" w:cs="仿宋_GB2312"/>
          <w:color w:val="auto"/>
          <w:sz w:val="32"/>
        </w:rPr>
        <w:t>项目绩效管理，提高</w:t>
      </w:r>
      <w:r>
        <w:rPr>
          <w:rFonts w:hint="eastAsia" w:ascii="仿宋_GB2312" w:hAnsi="仿宋_GB2312" w:eastAsia="仿宋_GB2312" w:cs="仿宋_GB2312"/>
          <w:color w:val="auto"/>
          <w:sz w:val="32"/>
          <w:lang w:eastAsia="zh-CN"/>
        </w:rPr>
        <w:t>财政资金</w:t>
      </w:r>
      <w:r>
        <w:rPr>
          <w:rFonts w:hint="eastAsia" w:ascii="仿宋_GB2312" w:hAnsi="仿宋_GB2312" w:eastAsia="仿宋_GB2312" w:cs="仿宋_GB2312"/>
          <w:color w:val="auto"/>
          <w:sz w:val="32"/>
        </w:rPr>
        <w:t>使用效益。</w:t>
      </w:r>
      <w:bookmarkEnd w:id="115"/>
      <w:bookmarkEnd w:id="116"/>
      <w:bookmarkEnd w:id="117"/>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rPr>
      </w:pPr>
      <w:bookmarkStart w:id="122" w:name="_Toc24812"/>
      <w:bookmarkStart w:id="123" w:name="_Toc22459"/>
      <w:bookmarkStart w:id="124" w:name="_Toc7618"/>
      <w:r>
        <w:rPr>
          <w:rFonts w:hint="eastAsia" w:ascii="仿宋_GB2312" w:hAnsi="仿宋_GB2312" w:eastAsia="仿宋_GB2312" w:cs="仿宋_GB2312"/>
          <w:color w:val="auto"/>
          <w:sz w:val="32"/>
        </w:rPr>
        <w:t>绩效评价旨在通过评价改善预算部门的财政支出管理，优化资源配置及提高公共服务水平。为全面了解该项目资金安排的科学性、预算编制合理性、资金使用合规性、规范性和使用效益、项目目标的实现情况、服务对象的满意度等。通过本次部门绩效评价来了解和掌握</w:t>
      </w:r>
      <w:r>
        <w:rPr>
          <w:rFonts w:hint="eastAsia" w:ascii="仿宋_GB2312" w:hAnsi="仿宋_GB2312" w:eastAsia="仿宋_GB2312" w:cs="仿宋_GB2312"/>
          <w:color w:val="auto"/>
          <w:sz w:val="32"/>
          <w:lang w:eastAsia="zh-CN"/>
        </w:rPr>
        <w:t>草原管护员补助项目</w:t>
      </w:r>
      <w:r>
        <w:rPr>
          <w:rFonts w:hint="eastAsia" w:ascii="仿宋_GB2312" w:hAnsi="仿宋_GB2312" w:eastAsia="仿宋_GB2312" w:cs="仿宋_GB2312"/>
          <w:color w:val="auto"/>
          <w:sz w:val="32"/>
        </w:rPr>
        <w:t>实施的具体情况，总结项目管理经验，促进项目成果转化和应用、完善项目管理办法、提高项目管理水平和资金使用效益。</w:t>
      </w:r>
      <w:r>
        <w:rPr>
          <w:rFonts w:hint="eastAsia" w:ascii="仿宋_GB2312" w:hAnsi="仿宋_GB2312" w:eastAsia="仿宋_GB2312" w:cs="仿宋_GB2312"/>
          <w:color w:val="auto"/>
          <w:sz w:val="32"/>
          <w:lang w:val="en-US" w:eastAsia="zh-CN"/>
        </w:rPr>
        <w:t>疏附县自然资源局</w:t>
      </w:r>
      <w:r>
        <w:rPr>
          <w:rFonts w:hint="eastAsia" w:ascii="仿宋_GB2312" w:hAnsi="仿宋_GB2312" w:eastAsia="仿宋_GB2312" w:cs="仿宋_GB2312"/>
          <w:color w:val="auto"/>
          <w:sz w:val="32"/>
        </w:rPr>
        <w:t>可根据绩效评价中发现的问题，调整工作计划，完善绩效目标，加强项目管理，提高管理水平，同时为项目后续资金投入、分配和管理提供决策依据。为今后类似项目的绩效管理，提供可行性参考建议。</w:t>
      </w:r>
      <w:bookmarkEnd w:id="122"/>
      <w:bookmarkEnd w:id="123"/>
      <w:bookmarkEnd w:id="124"/>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25" w:name="_Toc1362"/>
      <w:r>
        <w:rPr>
          <w:rFonts w:hint="eastAsia" w:ascii="方正楷体_GBK" w:hAnsi="方正楷体_GBK" w:eastAsia="方正楷体_GBK" w:cs="方正楷体_GBK"/>
          <w:b/>
          <w:bCs/>
          <w:color w:val="auto"/>
          <w:sz w:val="32"/>
          <w:szCs w:val="32"/>
        </w:rPr>
        <w:t>（二）绩效评价工作</w:t>
      </w:r>
      <w:r>
        <w:rPr>
          <w:rFonts w:hint="eastAsia" w:ascii="方正楷体_GBK" w:hAnsi="方正楷体_GBK" w:eastAsia="方正楷体_GBK" w:cs="方正楷体_GBK"/>
          <w:b/>
          <w:bCs/>
          <w:color w:val="auto"/>
          <w:sz w:val="32"/>
          <w:szCs w:val="32"/>
          <w:lang w:val="en-US" w:eastAsia="zh-CN"/>
        </w:rPr>
        <w:t>的基本</w:t>
      </w:r>
      <w:r>
        <w:rPr>
          <w:rFonts w:hint="eastAsia" w:ascii="方正楷体_GBK" w:hAnsi="方正楷体_GBK" w:eastAsia="方正楷体_GBK" w:cs="方正楷体_GBK"/>
          <w:b/>
          <w:bCs/>
          <w:color w:val="auto"/>
          <w:sz w:val="32"/>
          <w:szCs w:val="32"/>
        </w:rPr>
        <w:t>思路</w:t>
      </w:r>
      <w:bookmarkEnd w:id="118"/>
      <w:bookmarkEnd w:id="119"/>
      <w:bookmarkEnd w:id="120"/>
      <w:bookmarkEnd w:id="121"/>
      <w:bookmarkEnd w:id="125"/>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26" w:name="_Toc7209"/>
      <w:bookmarkStart w:id="127" w:name="_Toc27648031"/>
      <w:bookmarkStart w:id="128" w:name="_Toc27493321"/>
      <w:bookmarkStart w:id="129" w:name="_Toc14072"/>
      <w:bookmarkStart w:id="130" w:name="_Toc27651416"/>
      <w:r>
        <w:rPr>
          <w:rFonts w:hint="eastAsia" w:ascii="仿宋_GB2312" w:hAnsi="仿宋_GB2312" w:eastAsia="仿宋_GB2312" w:cs="仿宋_GB2312"/>
          <w:color w:val="auto"/>
          <w:sz w:val="32"/>
          <w:lang w:val="en-US" w:eastAsia="zh-CN"/>
        </w:rPr>
        <w:t>本次评价从项目决策（包括项目立项依据的充分性和立项程序的规范性、绩效目标的合理性和绩效指标的明确性、预算编制的科学性和资金分配的合理性）、项目过程（包括项目资金中的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评价对象为草原管护员补助项目（194.00万元），评价核心为该项目资金的支出情况和效果。</w:t>
      </w:r>
      <w:bookmarkEnd w:id="126"/>
      <w:bookmarkEnd w:id="127"/>
      <w:bookmarkEnd w:id="128"/>
      <w:bookmarkEnd w:id="129"/>
      <w:bookmarkEnd w:id="130"/>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131" w:name="_Toc7165"/>
      <w:bookmarkStart w:id="132" w:name="_Toc18843"/>
      <w:bookmarkStart w:id="133" w:name="_Toc4586"/>
      <w:bookmarkStart w:id="134" w:name="_Toc20513"/>
      <w:r>
        <w:rPr>
          <w:rFonts w:hint="eastAsia" w:ascii="方正楷体_GBK" w:hAnsi="方正楷体_GBK" w:eastAsia="方正楷体_GBK" w:cs="方正楷体_GBK"/>
          <w:b/>
          <w:bCs/>
          <w:color w:val="auto"/>
          <w:sz w:val="32"/>
          <w:szCs w:val="32"/>
        </w:rPr>
        <w:t>（三）评价原则</w:t>
      </w:r>
      <w:bookmarkEnd w:id="131"/>
      <w:bookmarkEnd w:id="132"/>
      <w:bookmarkEnd w:id="133"/>
      <w:bookmarkEnd w:id="134"/>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35" w:name="_Toc11008"/>
      <w:bookmarkStart w:id="136" w:name="_Toc31085"/>
      <w:bookmarkStart w:id="137" w:name="_Toc15197"/>
      <w:r>
        <w:rPr>
          <w:rFonts w:hint="eastAsia" w:ascii="仿宋_GB2312" w:hAnsi="仿宋_GB2312" w:eastAsia="仿宋_GB2312" w:cs="仿宋_GB2312"/>
          <w:color w:val="auto"/>
          <w:sz w:val="32"/>
          <w:lang w:val="en-US" w:eastAsia="zh-CN"/>
        </w:rPr>
        <w:t>根据《中华人民共和国预算法》、《中共中央国务院关于全面实施预算绩效管理的意见》及《项目支出绩效评价管理办法》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（1）科学公正、科学规范原则。绩效评价应当运用科学合理的方法，按照规范的程序，对项目绩效进行客观、公正的反映，按照科学可行的要求，采用定量与定性分析相结合的方法。</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（2）分级分类原则。我单位根据“谁支出、谁自评”的原则，根据评价对象的特点分类组织实施绩效评价工作，与相关单位职责明确，各有侧重，相互衔接。</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（3）绩效相关原则。我单位绩效评价针对具体投入及其产出绩效进行，评价结果清晰反映了支出和产出绩效之间的紧密对应关系。</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（4）公正公开、透明原则。绩效评价结果应当符合真实、客观、公正的要求，依法依规公开，并自觉接受社会监督。</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根据以上原则，绩效评价应遵循如下要求：</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（1）在数据采集时，采取客观数据，主管部门审查、社会中介组织复查，与问卷调查相结合的形式，以保证各项指标的真实性。</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（2）保证评价结果的真实性、公正性，提高评价报告的公信力。</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（3）绩效评价报告应当简明扼要，除了对绩效评价的过程、结果描述外，还应总结经验，指出问题，并就共性问题提出可操作性改进建议。</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38" w:name="_Toc30554"/>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四</w:t>
      </w:r>
      <w:r>
        <w:rPr>
          <w:rFonts w:hint="eastAsia" w:ascii="方正楷体_GBK" w:hAnsi="方正楷体_GBK" w:eastAsia="方正楷体_GBK" w:cs="方正楷体_GBK"/>
          <w:b/>
          <w:bCs/>
          <w:color w:val="auto"/>
          <w:sz w:val="32"/>
          <w:szCs w:val="32"/>
        </w:rPr>
        <w:t>）评价方法</w:t>
      </w:r>
      <w:bookmarkEnd w:id="135"/>
      <w:bookmarkEnd w:id="136"/>
      <w:bookmarkEnd w:id="137"/>
      <w:bookmarkEnd w:id="138"/>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39" w:name="_Toc12256"/>
      <w:bookmarkStart w:id="140" w:name="_Toc21360"/>
      <w:bookmarkStart w:id="141" w:name="_Toc7006"/>
      <w:r>
        <w:rPr>
          <w:rFonts w:hint="eastAsia" w:ascii="仿宋_GB2312" w:hAnsi="仿宋_GB2312" w:eastAsia="仿宋_GB2312" w:cs="仿宋_GB2312"/>
          <w:color w:val="auto"/>
          <w:sz w:val="32"/>
          <w:lang w:val="en-US" w:eastAsia="zh-CN"/>
        </w:rPr>
        <w:t>根据评价对象的具体情况，该项目使用了成本效益分析法（是指将投入与产出、效益进行关联性分析的方法）、比较法（是指将实施情况与绩效目标、历史情况、不同部门和地区同类支出情况进行比较的方法）、最低成本法（是指在绩效目标明确的前提下，成本最小为优的方法）、公众评判法（是指通过专家评估、公众问卷及抽样调查等方式进行评判的方法）等。</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42" w:name="_Toc12502"/>
      <w:r>
        <w:rPr>
          <w:rFonts w:hint="eastAsia" w:ascii="方正楷体_GBK" w:hAnsi="方正楷体_GBK" w:eastAsia="方正楷体_GBK" w:cs="方正楷体_GBK"/>
          <w:b/>
          <w:bCs/>
          <w:color w:val="auto"/>
          <w:sz w:val="32"/>
          <w:szCs w:val="32"/>
          <w:lang w:eastAsia="zh-CN"/>
        </w:rPr>
        <w:t>（</w:t>
      </w:r>
      <w:r>
        <w:rPr>
          <w:rFonts w:hint="eastAsia" w:ascii="方正楷体_GBK" w:hAnsi="方正楷体_GBK" w:eastAsia="方正楷体_GBK" w:cs="方正楷体_GBK"/>
          <w:b/>
          <w:bCs/>
          <w:color w:val="auto"/>
          <w:sz w:val="32"/>
          <w:szCs w:val="32"/>
          <w:lang w:val="en-US" w:eastAsia="zh-CN"/>
        </w:rPr>
        <w:t>五</w:t>
      </w:r>
      <w:r>
        <w:rPr>
          <w:rFonts w:hint="eastAsia" w:ascii="方正楷体_GBK" w:hAnsi="方正楷体_GBK" w:eastAsia="方正楷体_GBK" w:cs="方正楷体_GBK"/>
          <w:b/>
          <w:bCs/>
          <w:color w:val="auto"/>
          <w:sz w:val="32"/>
          <w:szCs w:val="32"/>
          <w:lang w:eastAsia="zh-CN"/>
        </w:rPr>
        <w:t>）</w:t>
      </w:r>
      <w:r>
        <w:rPr>
          <w:rFonts w:hint="eastAsia" w:ascii="方正楷体_GBK" w:hAnsi="方正楷体_GBK" w:eastAsia="方正楷体_GBK" w:cs="方正楷体_GBK"/>
          <w:b/>
          <w:bCs/>
          <w:color w:val="auto"/>
          <w:sz w:val="32"/>
          <w:szCs w:val="32"/>
        </w:rPr>
        <w:t>指标体系</w:t>
      </w:r>
      <w:bookmarkEnd w:id="139"/>
      <w:bookmarkEnd w:id="140"/>
      <w:bookmarkEnd w:id="141"/>
      <w:bookmarkEnd w:id="142"/>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43" w:name="_Toc2822"/>
      <w:bookmarkStart w:id="144" w:name="_Toc25425"/>
      <w:bookmarkStart w:id="145" w:name="_Toc25751"/>
      <w:bookmarkStart w:id="146" w:name="_Toc19607"/>
      <w:bookmarkStart w:id="147" w:name="_Toc15825"/>
      <w:bookmarkStart w:id="148" w:name="_Toc11000"/>
      <w:bookmarkStart w:id="149" w:name="_Toc16367"/>
      <w:r>
        <w:rPr>
          <w:rFonts w:hint="eastAsia" w:ascii="仿宋_GB2312" w:hAnsi="仿宋_GB2312" w:eastAsia="仿宋_GB2312" w:cs="仿宋_GB2312"/>
          <w:color w:val="auto"/>
          <w:sz w:val="32"/>
          <w:lang w:val="en-US" w:eastAsia="zh-CN"/>
        </w:rPr>
        <w:t>绩效评价指标体系根据《关于印发&lt;项目支出绩效评价管理办法&gt;的通知》等文件精神，结合专项特点，在与专家组、项目充分协商的基础上，评价工作组细化了该项目的绩效评价指标体系（详见附表一）：</w:t>
      </w:r>
      <w:bookmarkEnd w:id="143"/>
      <w:bookmarkEnd w:id="144"/>
      <w:bookmarkEnd w:id="145"/>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50" w:name="_Toc3778"/>
      <w:bookmarkStart w:id="151" w:name="_Toc8167"/>
      <w:bookmarkStart w:id="152" w:name="_Toc10377"/>
      <w:r>
        <w:rPr>
          <w:rFonts w:hint="eastAsia" w:ascii="仿宋_GB2312" w:hAnsi="仿宋_GB2312" w:eastAsia="仿宋_GB2312" w:cs="仿宋_GB2312"/>
          <w:color w:val="auto"/>
          <w:sz w:val="32"/>
          <w:lang w:val="en-US" w:eastAsia="zh-CN"/>
        </w:rPr>
        <w:t>一级指标为：决策、过程、产出、效益。</w:t>
      </w:r>
      <w:bookmarkEnd w:id="150"/>
      <w:bookmarkEnd w:id="151"/>
      <w:bookmarkEnd w:id="152"/>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53" w:name="_Toc17581"/>
      <w:bookmarkStart w:id="154" w:name="_Toc12914"/>
      <w:bookmarkStart w:id="155" w:name="_Toc27742"/>
      <w:r>
        <w:rPr>
          <w:rFonts w:hint="eastAsia" w:ascii="仿宋_GB2312" w:hAnsi="仿宋_GB2312" w:eastAsia="仿宋_GB2312" w:cs="仿宋_GB2312"/>
          <w:color w:val="auto"/>
          <w:sz w:val="32"/>
          <w:lang w:val="en-US" w:eastAsia="zh-CN"/>
        </w:rPr>
        <w:t>二级指标为：项目立项、绩效目标、资金投入、资金管理、组织实施、产出数量、产出质量、产出时效、产出成本、项目效益。</w:t>
      </w:r>
      <w:bookmarkEnd w:id="153"/>
      <w:bookmarkEnd w:id="154"/>
      <w:bookmarkEnd w:id="155"/>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56" w:name="_Toc22598"/>
      <w:bookmarkStart w:id="157" w:name="_Toc9974"/>
      <w:bookmarkStart w:id="158" w:name="_Toc28772"/>
      <w:r>
        <w:rPr>
          <w:rFonts w:hint="eastAsia" w:ascii="仿宋_GB2312" w:hAnsi="仿宋_GB2312" w:eastAsia="仿宋_GB2312" w:cs="仿宋_GB2312"/>
          <w:color w:val="auto"/>
          <w:sz w:val="32"/>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w:t>
      </w:r>
      <w:bookmarkEnd w:id="156"/>
      <w:bookmarkEnd w:id="157"/>
      <w:bookmarkEnd w:id="158"/>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59" w:name="_Toc25991"/>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六</w:t>
      </w:r>
      <w:r>
        <w:rPr>
          <w:rFonts w:hint="eastAsia" w:ascii="方正楷体_GBK" w:hAnsi="方正楷体_GBK" w:eastAsia="方正楷体_GBK" w:cs="方正楷体_GBK"/>
          <w:b/>
          <w:bCs/>
          <w:color w:val="auto"/>
          <w:sz w:val="32"/>
          <w:szCs w:val="32"/>
        </w:rPr>
        <w:t>）评价等级划分</w:t>
      </w:r>
      <w:bookmarkEnd w:id="146"/>
      <w:bookmarkEnd w:id="147"/>
      <w:bookmarkEnd w:id="148"/>
      <w:bookmarkEnd w:id="149"/>
      <w:bookmarkEnd w:id="159"/>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60" w:name="_Toc16156"/>
      <w:bookmarkStart w:id="161" w:name="_Toc27380"/>
      <w:bookmarkStart w:id="162" w:name="_Toc11899"/>
      <w:bookmarkStart w:id="163" w:name="_Toc19917"/>
      <w:bookmarkStart w:id="164" w:name="_Toc18582"/>
      <w:bookmarkStart w:id="165" w:name="_Toc2411"/>
      <w:r>
        <w:rPr>
          <w:rFonts w:hint="eastAsia" w:ascii="仿宋_GB2312" w:hAnsi="仿宋_GB2312" w:eastAsia="仿宋_GB2312" w:cs="仿宋_GB2312"/>
          <w:color w:val="auto"/>
          <w:sz w:val="32"/>
          <w:lang w:val="en-US" w:eastAsia="zh-CN"/>
        </w:rPr>
        <w:t>根据财政部颁发的《项目支出绩效评价管理办法》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bookmarkEnd w:id="160"/>
      <w:bookmarkEnd w:id="161"/>
      <w:bookmarkEnd w:id="162"/>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66" w:name="_Toc5083"/>
      <w:bookmarkStart w:id="167" w:name="_Toc24116"/>
      <w:bookmarkStart w:id="168" w:name="_Toc3507"/>
      <w:r>
        <w:rPr>
          <w:rFonts w:hint="eastAsia" w:ascii="仿宋_GB2312" w:hAnsi="仿宋_GB2312" w:eastAsia="仿宋_GB2312" w:cs="仿宋_GB2312"/>
          <w:color w:val="auto"/>
          <w:sz w:val="32"/>
          <w:lang w:val="en-US" w:eastAsia="zh-CN"/>
        </w:rPr>
        <w:t>优（90分（含）—100分）；</w:t>
      </w:r>
      <w:bookmarkEnd w:id="166"/>
      <w:bookmarkEnd w:id="167"/>
      <w:bookmarkEnd w:id="168"/>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69" w:name="_Toc12759"/>
      <w:bookmarkStart w:id="170" w:name="_Toc30351"/>
      <w:bookmarkStart w:id="171" w:name="_Toc9640"/>
      <w:r>
        <w:rPr>
          <w:rFonts w:hint="eastAsia" w:ascii="仿宋_GB2312" w:hAnsi="仿宋_GB2312" w:eastAsia="仿宋_GB2312" w:cs="仿宋_GB2312"/>
          <w:color w:val="auto"/>
          <w:sz w:val="32"/>
          <w:lang w:val="en-US" w:eastAsia="zh-CN"/>
        </w:rPr>
        <w:t>良（80分（含）—90分）；</w:t>
      </w:r>
      <w:bookmarkEnd w:id="169"/>
      <w:bookmarkEnd w:id="170"/>
      <w:bookmarkEnd w:id="171"/>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72" w:name="_Toc23402"/>
      <w:bookmarkStart w:id="173" w:name="_Toc3042"/>
      <w:bookmarkStart w:id="174" w:name="_Toc31971"/>
      <w:r>
        <w:rPr>
          <w:rFonts w:hint="eastAsia" w:ascii="仿宋_GB2312" w:hAnsi="仿宋_GB2312" w:eastAsia="仿宋_GB2312" w:cs="仿宋_GB2312"/>
          <w:color w:val="auto"/>
          <w:sz w:val="32"/>
          <w:lang w:val="en-US" w:eastAsia="zh-CN"/>
        </w:rPr>
        <w:t>中（70分（含）—80分）；</w:t>
      </w:r>
      <w:bookmarkEnd w:id="172"/>
      <w:bookmarkEnd w:id="173"/>
      <w:bookmarkEnd w:id="174"/>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75" w:name="_Toc22110"/>
      <w:bookmarkStart w:id="176" w:name="_Toc1992"/>
      <w:bookmarkStart w:id="177" w:name="_Toc6686"/>
      <w:r>
        <w:rPr>
          <w:rFonts w:hint="eastAsia" w:ascii="仿宋_GB2312" w:hAnsi="仿宋_GB2312" w:eastAsia="仿宋_GB2312" w:cs="仿宋_GB2312"/>
          <w:color w:val="auto"/>
          <w:sz w:val="32"/>
          <w:lang w:val="en-US" w:eastAsia="zh-CN"/>
        </w:rPr>
        <w:t>差（0分—70分）。</w:t>
      </w:r>
      <w:bookmarkEnd w:id="175"/>
      <w:bookmarkEnd w:id="176"/>
      <w:bookmarkEnd w:id="177"/>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78" w:name="_Toc5788"/>
      <w:bookmarkStart w:id="179" w:name="_Toc7603"/>
      <w:bookmarkStart w:id="180" w:name="_Toc14248"/>
      <w:r>
        <w:rPr>
          <w:rFonts w:hint="eastAsia" w:ascii="仿宋_GB2312" w:hAnsi="仿宋_GB2312" w:eastAsia="仿宋_GB2312" w:cs="仿宋_GB2312"/>
          <w:color w:val="auto"/>
          <w:sz w:val="32"/>
          <w:lang w:val="en-US" w:eastAsia="zh-CN"/>
        </w:rPr>
        <w:t>对在项目进行绩效评价的过程中，如果实施单位有弄虚作假、瞒报谎报情况之行为，绩效评价组将如实上报至疏附县财政局，并予以通报批评；情节严重的，绩效评价结果将直接判定为不合格等级。</w:t>
      </w:r>
      <w:bookmarkEnd w:id="178"/>
      <w:bookmarkEnd w:id="179"/>
      <w:bookmarkEnd w:id="180"/>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81" w:name="_Toc29005"/>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七</w:t>
      </w:r>
      <w:r>
        <w:rPr>
          <w:rFonts w:hint="eastAsia" w:ascii="方正楷体_GBK" w:hAnsi="方正楷体_GBK" w:eastAsia="方正楷体_GBK" w:cs="方正楷体_GBK"/>
          <w:b/>
          <w:bCs/>
          <w:color w:val="auto"/>
          <w:sz w:val="32"/>
          <w:szCs w:val="32"/>
        </w:rPr>
        <w:t>）评价工作实施情况</w:t>
      </w:r>
      <w:bookmarkEnd w:id="163"/>
      <w:bookmarkEnd w:id="164"/>
      <w:bookmarkEnd w:id="165"/>
      <w:bookmarkEnd w:id="181"/>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bookmarkStart w:id="182" w:name="_Toc12973"/>
      <w:bookmarkStart w:id="183" w:name="_Toc8898"/>
      <w:r>
        <w:rPr>
          <w:rFonts w:hint="eastAsia" w:ascii="仿宋_GB2312" w:hAnsi="仿宋_GB2312" w:eastAsia="仿宋_GB2312" w:cs="仿宋_GB2312"/>
          <w:b/>
          <w:bCs w:val="0"/>
          <w:color w:val="auto"/>
          <w:sz w:val="32"/>
          <w:szCs w:val="32"/>
        </w:rPr>
        <w:t>1.评价工作程序和时间安排</w:t>
      </w:r>
      <w:bookmarkEnd w:id="182"/>
      <w:bookmarkEnd w:id="183"/>
    </w:p>
    <w:p>
      <w:pPr>
        <w:pStyle w:val="31"/>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本次绩效评价各阶段具体工作内容及时间进度安排详见下表：</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textAlignment w:val="auto"/>
        <w:outlineLvl w:val="2"/>
        <w:rPr>
          <w:rFonts w:hint="eastAsia" w:ascii="仿宋_GB2312" w:hAnsi="仿宋_GB2312" w:eastAsia="仿宋_GB2312" w:cs="仿宋_GB2312"/>
          <w:color w:val="auto"/>
          <w:sz w:val="32"/>
          <w:lang w:val="en-US" w:eastAsia="zh-CN"/>
        </w:rPr>
      </w:pPr>
    </w:p>
    <w:p>
      <w:pPr>
        <w:pStyle w:val="31"/>
        <w:spacing w:after="156" w:afterLines="50"/>
        <w:ind w:left="425" w:firstLine="0" w:firstLineChars="0"/>
        <w:jc w:val="center"/>
        <w:rPr>
          <w:rFonts w:hint="eastAsia" w:ascii="黑体" w:hAnsi="黑体" w:eastAsia="黑体" w:cs="黑体"/>
          <w:color w:val="auto"/>
          <w:sz w:val="32"/>
          <w:szCs w:val="32"/>
        </w:rPr>
      </w:pPr>
      <w:bookmarkStart w:id="184" w:name="_Toc427_WPSOffice_Level2"/>
      <w:bookmarkStart w:id="185" w:name="_Toc9542_WPSOffice_Level2"/>
      <w:r>
        <w:rPr>
          <w:rFonts w:hint="eastAsia" w:ascii="黑体" w:hAnsi="黑体" w:eastAsia="黑体" w:cs="黑体"/>
          <w:color w:val="auto"/>
          <w:sz w:val="32"/>
          <w:szCs w:val="32"/>
        </w:rPr>
        <w:t>绩效评价工作程序和时间安排表</w:t>
      </w:r>
      <w:bookmarkEnd w:id="184"/>
      <w:bookmarkEnd w:id="185"/>
    </w:p>
    <w:tbl>
      <w:tblPr>
        <w:tblStyle w:val="17"/>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35"/>
        <w:gridCol w:w="4149"/>
        <w:gridCol w:w="1957"/>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88" w:type="dxa"/>
            <w:shd w:val="clear" w:color="auto" w:fill="C0C0C0"/>
            <w:vAlign w:val="center"/>
          </w:tcPr>
          <w:p>
            <w:pPr>
              <w:adjustRightInd w:val="0"/>
              <w:snapToGrid w:val="0"/>
              <w:jc w:val="distribute"/>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阶段</w:t>
            </w:r>
          </w:p>
          <w:p>
            <w:pPr>
              <w:adjustRightInd w:val="0"/>
              <w:snapToGrid w:val="0"/>
              <w:jc w:val="distribute"/>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安排</w:t>
            </w:r>
          </w:p>
        </w:tc>
        <w:tc>
          <w:tcPr>
            <w:tcW w:w="4684" w:type="dxa"/>
            <w:gridSpan w:val="2"/>
            <w:shd w:val="clear" w:color="auto" w:fill="C0C0C0"/>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工作内容</w:t>
            </w:r>
          </w:p>
        </w:tc>
        <w:tc>
          <w:tcPr>
            <w:tcW w:w="1957" w:type="dxa"/>
            <w:shd w:val="clear" w:color="auto" w:fill="C0C0C0"/>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进度安排</w:t>
            </w:r>
          </w:p>
        </w:tc>
        <w:tc>
          <w:tcPr>
            <w:tcW w:w="1175" w:type="dxa"/>
            <w:shd w:val="clear" w:color="auto" w:fill="C0C0C0"/>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参与方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 w:hRule="atLeast"/>
          <w:jc w:val="center"/>
        </w:trPr>
        <w:tc>
          <w:tcPr>
            <w:tcW w:w="688" w:type="dxa"/>
            <w:vMerge w:val="restart"/>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pacing w:val="40"/>
                <w:sz w:val="20"/>
                <w:szCs w:val="20"/>
                <w:highlight w:val="none"/>
              </w:rPr>
              <w:t>评价准备阶段</w:t>
            </w:r>
          </w:p>
        </w:tc>
        <w:tc>
          <w:tcPr>
            <w:tcW w:w="4684" w:type="dxa"/>
            <w:gridSpan w:val="2"/>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sz w:val="20"/>
                <w:szCs w:val="20"/>
                <w:highlight w:val="none"/>
              </w:rPr>
              <w:t>制定《项目实施工作方案》，收集并研究分析项目政策资料，编制指标评价体系和资料清单，并发送被评价单位准备资料。</w:t>
            </w:r>
          </w:p>
        </w:tc>
        <w:tc>
          <w:tcPr>
            <w:tcW w:w="1957" w:type="dxa"/>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01</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9"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spacing w:val="40"/>
                <w:sz w:val="20"/>
                <w:szCs w:val="20"/>
                <w:highlight w:val="none"/>
              </w:rPr>
            </w:pPr>
          </w:p>
        </w:tc>
        <w:tc>
          <w:tcPr>
            <w:tcW w:w="535" w:type="dxa"/>
            <w:vMerge w:val="restart"/>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编写相关文本</w:t>
            </w:r>
          </w:p>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准备资料</w:t>
            </w:r>
          </w:p>
        </w:tc>
        <w:tc>
          <w:tcPr>
            <w:tcW w:w="4149" w:type="dxa"/>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首轮提交文本及资料：</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1.项目单位提交自评绩效报告；</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2.项目单位按照资料清单要求准备相关资料，提交评价工作组。</w:t>
            </w:r>
          </w:p>
        </w:tc>
        <w:tc>
          <w:tcPr>
            <w:tcW w:w="1957"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日</w:t>
            </w:r>
          </w:p>
        </w:tc>
        <w:tc>
          <w:tcPr>
            <w:tcW w:w="1175" w:type="dxa"/>
            <w:vMerge w:val="restart"/>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0"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spacing w:val="40"/>
                <w:sz w:val="20"/>
                <w:szCs w:val="20"/>
                <w:highlight w:val="none"/>
              </w:rPr>
            </w:pPr>
          </w:p>
        </w:tc>
        <w:tc>
          <w:tcPr>
            <w:tcW w:w="535" w:type="dxa"/>
            <w:vMerge w:val="continue"/>
            <w:vAlign w:val="center"/>
          </w:tcPr>
          <w:p>
            <w:pPr>
              <w:adjustRightInd w:val="0"/>
              <w:snapToGrid w:val="0"/>
              <w:jc w:val="left"/>
              <w:rPr>
                <w:rFonts w:hint="eastAsia" w:ascii="Times New Roman" w:hAnsi="Times New Roman" w:eastAsia="仿宋_GB2312" w:cs="仿宋"/>
                <w:sz w:val="20"/>
                <w:szCs w:val="20"/>
                <w:highlight w:val="none"/>
              </w:rPr>
            </w:pPr>
          </w:p>
        </w:tc>
        <w:tc>
          <w:tcPr>
            <w:tcW w:w="4149" w:type="dxa"/>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修改文本及补充资料：</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1.评价工作组提出绩效报告修改意见，并反馈项目单位进行修改；</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2.评价工作组对资料进行审核，提出补充修改意见。</w:t>
            </w:r>
          </w:p>
        </w:tc>
        <w:tc>
          <w:tcPr>
            <w:tcW w:w="1957"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09</w:t>
            </w:r>
            <w:r>
              <w:rPr>
                <w:rFonts w:hint="eastAsia" w:ascii="Times New Roman" w:hAnsi="Times New Roman" w:eastAsia="仿宋_GB2312" w:cs="仿宋"/>
                <w:sz w:val="20"/>
                <w:szCs w:val="20"/>
                <w:highlight w:val="none"/>
              </w:rPr>
              <w:t>日</w:t>
            </w:r>
          </w:p>
        </w:tc>
        <w:tc>
          <w:tcPr>
            <w:tcW w:w="1175" w:type="dxa"/>
            <w:vMerge w:val="continue"/>
            <w:vAlign w:val="center"/>
          </w:tcPr>
          <w:p>
            <w:pPr>
              <w:adjustRightInd w:val="0"/>
              <w:snapToGrid w:val="0"/>
              <w:jc w:val="center"/>
              <w:rPr>
                <w:rFonts w:hint="eastAsia" w:ascii="Times New Roman" w:hAnsi="Times New Roman" w:eastAsia="仿宋_GB2312" w:cs="仿宋"/>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6"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Times New Roman" w:hAnsi="Times New Roman" w:eastAsia="仿宋_GB2312" w:cs="仿宋"/>
                <w:spacing w:val="40"/>
                <w:sz w:val="20"/>
                <w:szCs w:val="20"/>
                <w:highlight w:val="none"/>
              </w:rPr>
            </w:pPr>
          </w:p>
        </w:tc>
        <w:tc>
          <w:tcPr>
            <w:tcW w:w="535" w:type="dxa"/>
            <w:vMerge w:val="continue"/>
            <w:shd w:val="clear" w:color="auto" w:fill="auto"/>
            <w:vAlign w:val="center"/>
          </w:tcPr>
          <w:p>
            <w:pPr>
              <w:adjustRightInd w:val="0"/>
              <w:snapToGrid w:val="0"/>
              <w:spacing w:after="120"/>
              <w:jc w:val="left"/>
              <w:rPr>
                <w:rFonts w:hint="eastAsia" w:ascii="Times New Roman" w:hAnsi="Times New Roman" w:eastAsia="仿宋_GB2312" w:cs="仿宋"/>
                <w:b/>
                <w:bCs/>
                <w:sz w:val="20"/>
                <w:szCs w:val="20"/>
                <w:highlight w:val="none"/>
              </w:rPr>
            </w:pPr>
          </w:p>
        </w:tc>
        <w:tc>
          <w:tcPr>
            <w:tcW w:w="4149" w:type="dxa"/>
            <w:shd w:val="clear" w:color="auto" w:fill="auto"/>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确定终版文本及资料：</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1.评价工作组再次审核绩效报告，项目单位参照修改意见进行修改并定稿；</w:t>
            </w:r>
          </w:p>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sz w:val="20"/>
                <w:szCs w:val="20"/>
                <w:highlight w:val="none"/>
              </w:rPr>
              <w:t>2.项目单位按照补充修改意见完善资料，并将终版资料提交评价工作组，并签署资料确认单。</w:t>
            </w:r>
          </w:p>
        </w:tc>
        <w:tc>
          <w:tcPr>
            <w:tcW w:w="1957" w:type="dxa"/>
            <w:shd w:val="clear" w:color="auto" w:fill="auto"/>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15</w:t>
            </w:r>
            <w:r>
              <w:rPr>
                <w:rFonts w:hint="eastAsia" w:ascii="Times New Roman" w:hAnsi="Times New Roman" w:eastAsia="仿宋_GB2312" w:cs="仿宋"/>
                <w:sz w:val="20"/>
                <w:szCs w:val="20"/>
                <w:highlight w:val="none"/>
              </w:rPr>
              <w:t>日</w:t>
            </w:r>
          </w:p>
        </w:tc>
        <w:tc>
          <w:tcPr>
            <w:tcW w:w="1175" w:type="dxa"/>
            <w:vMerge w:val="continue"/>
            <w:vAlign w:val="center"/>
          </w:tcPr>
          <w:p>
            <w:pPr>
              <w:adjustRightInd w:val="0"/>
              <w:snapToGrid w:val="0"/>
              <w:jc w:val="center"/>
              <w:rPr>
                <w:rFonts w:hint="eastAsia" w:ascii="Times New Roman" w:hAnsi="Times New Roman" w:eastAsia="仿宋_GB2312" w:cs="仿宋"/>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4" w:hRule="atLeast"/>
          <w:jc w:val="center"/>
        </w:trPr>
        <w:tc>
          <w:tcPr>
            <w:tcW w:w="688" w:type="dxa"/>
            <w:vMerge w:val="continue"/>
            <w:textDirection w:val="tbRlV"/>
            <w:vAlign w:val="center"/>
          </w:tcPr>
          <w:p>
            <w:pPr>
              <w:adjustRightInd w:val="0"/>
              <w:snapToGrid w:val="0"/>
              <w:ind w:firstLine="560" w:firstLineChars="200"/>
              <w:jc w:val="center"/>
              <w:rPr>
                <w:rFonts w:hint="eastAsia" w:ascii="Times New Roman" w:hAnsi="Times New Roman" w:eastAsia="仿宋_GB2312" w:cs="仿宋"/>
                <w:spacing w:val="40"/>
                <w:sz w:val="20"/>
                <w:szCs w:val="20"/>
                <w:highlight w:val="none"/>
              </w:rPr>
            </w:pPr>
          </w:p>
        </w:tc>
        <w:tc>
          <w:tcPr>
            <w:tcW w:w="4684" w:type="dxa"/>
            <w:gridSpan w:val="2"/>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整理、分析资料：</w:t>
            </w:r>
            <w:r>
              <w:rPr>
                <w:rFonts w:hint="eastAsia" w:ascii="Times New Roman" w:hAnsi="Times New Roman" w:eastAsia="仿宋_GB2312" w:cs="仿宋"/>
                <w:sz w:val="20"/>
                <w:szCs w:val="20"/>
                <w:highlight w:val="none"/>
              </w:rPr>
              <w:t>评价工作组对所收集资料进行整理、对资金支出情况进行分析，就有关问题与项目单位核实。</w:t>
            </w:r>
          </w:p>
        </w:tc>
        <w:tc>
          <w:tcPr>
            <w:tcW w:w="1957"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w:t>
            </w:r>
            <w:r>
              <w:rPr>
                <w:rFonts w:hint="default" w:ascii="Times New Roman" w:hAnsi="Times New Roman" w:eastAsia="仿宋_GB2312" w:cs="仿宋"/>
                <w:sz w:val="20"/>
                <w:szCs w:val="20"/>
                <w:highlight w:val="none"/>
                <w:lang w:val="en" w:eastAsia="zh-CN"/>
              </w:rPr>
              <w:t>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21</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8" w:hRule="atLeast"/>
          <w:jc w:val="center"/>
        </w:trPr>
        <w:tc>
          <w:tcPr>
            <w:tcW w:w="688" w:type="dxa"/>
            <w:vMerge w:val="continue"/>
            <w:textDirection w:val="tbRlV"/>
            <w:vAlign w:val="center"/>
          </w:tcPr>
          <w:p>
            <w:pPr>
              <w:adjustRightInd w:val="0"/>
              <w:snapToGrid w:val="0"/>
              <w:ind w:left="113" w:firstLine="560" w:firstLineChars="200"/>
              <w:jc w:val="center"/>
              <w:rPr>
                <w:rFonts w:hint="eastAsia" w:ascii="Times New Roman" w:hAnsi="Times New Roman" w:eastAsia="仿宋_GB2312" w:cs="仿宋"/>
                <w:spacing w:val="40"/>
                <w:sz w:val="20"/>
                <w:szCs w:val="20"/>
                <w:highlight w:val="none"/>
              </w:rPr>
            </w:pPr>
          </w:p>
        </w:tc>
        <w:tc>
          <w:tcPr>
            <w:tcW w:w="4684"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成立评价工作小组：</w:t>
            </w:r>
            <w:r>
              <w:rPr>
                <w:rFonts w:hint="eastAsia" w:ascii="Times New Roman" w:hAnsi="Times New Roman" w:eastAsia="仿宋_GB2312" w:cs="仿宋"/>
                <w:sz w:val="20"/>
                <w:szCs w:val="20"/>
                <w:highlight w:val="none"/>
              </w:rPr>
              <w:t>遴选相关业务、财务、管理等组成评价工作小组，并对小组成员进行培训。</w:t>
            </w:r>
          </w:p>
        </w:tc>
        <w:tc>
          <w:tcPr>
            <w:tcW w:w="1957"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w:t>
            </w:r>
            <w:r>
              <w:rPr>
                <w:rFonts w:hint="default" w:ascii="Times New Roman" w:hAnsi="Times New Roman" w:eastAsia="仿宋_GB2312" w:cs="仿宋"/>
                <w:sz w:val="20"/>
                <w:szCs w:val="20"/>
                <w:highlight w:val="none"/>
                <w:lang w:val="en" w:eastAsia="zh-CN"/>
              </w:rPr>
              <w:t>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24</w:t>
            </w:r>
            <w:r>
              <w:rPr>
                <w:rFonts w:hint="eastAsia" w:ascii="Times New Roman" w:hAnsi="Times New Roman" w:eastAsia="仿宋_GB2312" w:cs="仿宋"/>
                <w:sz w:val="20"/>
                <w:szCs w:val="20"/>
                <w:highlight w:val="none"/>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8" w:hRule="atLeast"/>
          <w:jc w:val="center"/>
        </w:trPr>
        <w:tc>
          <w:tcPr>
            <w:tcW w:w="688" w:type="dxa"/>
            <w:vMerge w:val="restart"/>
            <w:textDirection w:val="tbRlV"/>
            <w:vAlign w:val="center"/>
          </w:tcPr>
          <w:p>
            <w:pPr>
              <w:adjustRightInd w:val="0"/>
              <w:snapToGrid w:val="0"/>
              <w:ind w:firstLine="281" w:firstLineChars="100"/>
              <w:rPr>
                <w:rFonts w:hint="eastAsia" w:ascii="Times New Roman" w:hAnsi="Times New Roman" w:eastAsia="仿宋_GB2312" w:cs="仿宋"/>
                <w:spacing w:val="40"/>
                <w:sz w:val="20"/>
                <w:szCs w:val="20"/>
                <w:highlight w:val="none"/>
              </w:rPr>
            </w:pPr>
            <w:r>
              <w:rPr>
                <w:rFonts w:hint="eastAsia" w:ascii="Times New Roman" w:hAnsi="Times New Roman" w:eastAsia="仿宋_GB2312" w:cs="仿宋"/>
                <w:b/>
                <w:bCs/>
                <w:spacing w:val="40"/>
                <w:sz w:val="20"/>
                <w:szCs w:val="20"/>
                <w:highlight w:val="none"/>
              </w:rPr>
              <w:t>评价实施阶段</w:t>
            </w:r>
          </w:p>
        </w:tc>
        <w:tc>
          <w:tcPr>
            <w:tcW w:w="4684"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现场调研：</w:t>
            </w:r>
            <w:r>
              <w:rPr>
                <w:rFonts w:hint="eastAsia" w:ascii="Times New Roman" w:hAnsi="Times New Roman" w:eastAsia="仿宋_GB2312" w:cs="仿宋"/>
                <w:sz w:val="20"/>
                <w:szCs w:val="20"/>
                <w:highlight w:val="none"/>
              </w:rPr>
              <w:t>根据项目情况，评价工作组对项目现场进行调研，核实项目完成情况及效益实现情况。</w:t>
            </w:r>
          </w:p>
        </w:tc>
        <w:tc>
          <w:tcPr>
            <w:tcW w:w="1957"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w:t>
            </w:r>
            <w:r>
              <w:rPr>
                <w:rFonts w:hint="default" w:ascii="Times New Roman" w:hAnsi="Times New Roman" w:eastAsia="仿宋_GB2312" w:cs="仿宋"/>
                <w:sz w:val="20"/>
                <w:szCs w:val="20"/>
                <w:highlight w:val="none"/>
                <w:lang w:val="en" w:eastAsia="zh-CN"/>
              </w:rPr>
              <w:t>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27</w:t>
            </w:r>
            <w:r>
              <w:rPr>
                <w:rFonts w:hint="eastAsia" w:ascii="Times New Roman" w:hAnsi="Times New Roman" w:eastAsia="仿宋_GB2312" w:cs="仿宋"/>
                <w:sz w:val="20"/>
                <w:szCs w:val="20"/>
                <w:highlight w:val="none"/>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2"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shd w:val="clear" w:color="auto" w:fill="auto"/>
            <w:vAlign w:val="center"/>
          </w:tcPr>
          <w:p>
            <w:pP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组织针对性培训：</w:t>
            </w:r>
            <w:r>
              <w:rPr>
                <w:rFonts w:hint="eastAsia" w:ascii="Times New Roman" w:hAnsi="Times New Roman" w:eastAsia="仿宋_GB2312" w:cs="仿宋"/>
                <w:sz w:val="20"/>
                <w:szCs w:val="20"/>
                <w:highlight w:val="none"/>
              </w:rPr>
              <w:t>评价工作组根据预算部门（单位）的不同需求，开展有针对性的培训工作。</w:t>
            </w:r>
          </w:p>
        </w:tc>
        <w:tc>
          <w:tcPr>
            <w:tcW w:w="1957" w:type="dxa"/>
            <w:shd w:val="clear" w:color="auto" w:fill="auto"/>
            <w:vAlign w:val="center"/>
          </w:tcPr>
          <w:p>
            <w:pPr>
              <w:adjustRightInd w:val="0"/>
              <w:snapToGrid w:val="0"/>
              <w:spacing w:before="120"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30</w:t>
            </w:r>
            <w:r>
              <w:rPr>
                <w:rFonts w:hint="eastAsia" w:ascii="Times New Roman" w:hAnsi="Times New Roman" w:eastAsia="仿宋_GB2312" w:cs="仿宋"/>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688" w:type="dxa"/>
            <w:vMerge w:val="continue"/>
            <w:textDirection w:val="tbRlV"/>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现场评价会：</w:t>
            </w:r>
            <w:r>
              <w:rPr>
                <w:rFonts w:hint="eastAsia" w:ascii="Times New Roman" w:hAnsi="Times New Roman" w:eastAsia="仿宋_GB2312" w:cs="仿宋"/>
                <w:sz w:val="20"/>
                <w:szCs w:val="20"/>
                <w:highlight w:val="none"/>
              </w:rPr>
              <w:t>召开现场评价会议，核实项目执行情况，出具评价意见。</w:t>
            </w:r>
          </w:p>
        </w:tc>
        <w:tc>
          <w:tcPr>
            <w:tcW w:w="1957" w:type="dxa"/>
            <w:vAlign w:val="center"/>
          </w:tcPr>
          <w:p>
            <w:pPr>
              <w:adjustRightInd w:val="0"/>
              <w:snapToGrid w:val="0"/>
              <w:spacing w:before="120"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03</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688" w:type="dxa"/>
            <w:vMerge w:val="restart"/>
            <w:textDirection w:val="tbRlV"/>
            <w:vAlign w:val="center"/>
          </w:tcPr>
          <w:p>
            <w:pPr>
              <w:adjustRightInd w:val="0"/>
              <w:snapToGrid w:val="0"/>
              <w:ind w:firstLine="120" w:firstLineChars="50"/>
              <w:rPr>
                <w:rFonts w:hint="eastAsia" w:ascii="Times New Roman" w:hAnsi="Times New Roman" w:eastAsia="仿宋_GB2312" w:cs="仿宋"/>
                <w:spacing w:val="20"/>
                <w:sz w:val="20"/>
                <w:szCs w:val="20"/>
                <w:highlight w:val="none"/>
              </w:rPr>
            </w:pPr>
            <w:r>
              <w:rPr>
                <w:rFonts w:hint="eastAsia" w:ascii="Times New Roman" w:hAnsi="Times New Roman" w:eastAsia="仿宋_GB2312" w:cs="仿宋"/>
                <w:b/>
                <w:bCs/>
                <w:spacing w:val="20"/>
                <w:sz w:val="20"/>
                <w:szCs w:val="20"/>
                <w:highlight w:val="none"/>
              </w:rPr>
              <w:t>形成报告阶段</w:t>
            </w:r>
          </w:p>
        </w:tc>
        <w:tc>
          <w:tcPr>
            <w:tcW w:w="4684" w:type="dxa"/>
            <w:gridSpan w:val="2"/>
            <w:vAlign w:val="center"/>
          </w:tcPr>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撰写报告：</w:t>
            </w:r>
            <w:r>
              <w:rPr>
                <w:rFonts w:hint="eastAsia" w:ascii="Times New Roman" w:hAnsi="Times New Roman" w:eastAsia="仿宋_GB2312" w:cs="仿宋"/>
                <w:sz w:val="20"/>
                <w:szCs w:val="20"/>
                <w:highlight w:val="none"/>
              </w:rPr>
              <w:t>评价工作组撰写项目绩效评价报告。</w:t>
            </w:r>
          </w:p>
        </w:tc>
        <w:tc>
          <w:tcPr>
            <w:tcW w:w="1957"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05</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688" w:type="dxa"/>
            <w:vMerge w:val="continue"/>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color w:val="auto"/>
                <w:sz w:val="20"/>
                <w:szCs w:val="20"/>
                <w:highlight w:val="none"/>
                <w:lang w:val="en-US" w:eastAsia="zh-CN"/>
              </w:rPr>
              <w:t>专家评审会：</w:t>
            </w:r>
            <w:r>
              <w:rPr>
                <w:rFonts w:hint="eastAsia" w:ascii="Times New Roman" w:hAnsi="Times New Roman" w:eastAsia="仿宋_GB2312" w:cs="仿宋"/>
                <w:color w:val="auto"/>
                <w:sz w:val="20"/>
                <w:szCs w:val="20"/>
                <w:highlight w:val="none"/>
                <w:lang w:val="en-US" w:eastAsia="zh-CN"/>
              </w:rPr>
              <w:t>行业专家，第三方专家以及财政部门，邀请人大代表监督全过程，对报告提出整改意见和需修改完善的内容，评价工作组及时作出整改。</w:t>
            </w:r>
          </w:p>
        </w:tc>
        <w:tc>
          <w:tcPr>
            <w:tcW w:w="1957"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lang w:eastAsia="zh-CN"/>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val="en-US" w:eastAsia="zh-CN"/>
              </w:rPr>
              <w:t>邀请专家评价机构项目单位委托单位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688" w:type="dxa"/>
            <w:vMerge w:val="continue"/>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报告征求意见：</w:t>
            </w:r>
            <w:r>
              <w:rPr>
                <w:rFonts w:hint="eastAsia" w:ascii="Times New Roman" w:hAnsi="Times New Roman" w:eastAsia="仿宋_GB2312" w:cs="仿宋"/>
                <w:sz w:val="20"/>
                <w:szCs w:val="20"/>
                <w:highlight w:val="none"/>
              </w:rPr>
              <w:t>评价报告经评价机构三级审核后，送交委托方及项目单位征求意见。</w:t>
            </w:r>
          </w:p>
        </w:tc>
        <w:tc>
          <w:tcPr>
            <w:tcW w:w="1957"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08</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shd w:val="clear" w:color="auto" w:fill="auto"/>
            <w:vAlign w:val="center"/>
          </w:tcPr>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报送报告：</w:t>
            </w:r>
            <w:r>
              <w:rPr>
                <w:rFonts w:hint="eastAsia" w:ascii="Times New Roman" w:hAnsi="Times New Roman" w:eastAsia="仿宋_GB2312" w:cs="仿宋"/>
                <w:sz w:val="20"/>
                <w:szCs w:val="20"/>
                <w:highlight w:val="none"/>
              </w:rPr>
              <w:t>根据委托方意见修改报告，在规定时间内正式向委托方报送绩效评价报告。</w:t>
            </w:r>
          </w:p>
        </w:tc>
        <w:tc>
          <w:tcPr>
            <w:tcW w:w="1957" w:type="dxa"/>
            <w:shd w:val="clear" w:color="auto" w:fill="auto"/>
            <w:vAlign w:val="center"/>
          </w:tcPr>
          <w:p>
            <w:pPr>
              <w:adjustRightInd w:val="0"/>
              <w:snapToGrid w:val="0"/>
              <w:spacing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11</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委托单位</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走访调查：采取现场走访调查，了解项目情况。到项目单位及现场，进行调研和分析，严格按照项目实施方案进行管理，了解前期工作及项目实施情况。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研读文件：通过检查实施单位自评（总结）报告、研读相关制度文件等，了解在项目实施过程中，作为项目主管单位，是否对项目进行了协调监督管理工作，是否制定切实有效的监督管理制度，是否监督落实项目建设质量情况。</w:t>
      </w:r>
    </w:p>
    <w:p>
      <w:pPr>
        <w:pageBreakBefore w:val="0"/>
        <w:kinsoku/>
        <w:wordWrap/>
        <w:overflowPunct/>
        <w:topLinePunct w:val="0"/>
        <w:autoSpaceDE/>
        <w:autoSpaceDN/>
        <w:bidi w:val="0"/>
        <w:adjustRightInd w:val="0"/>
        <w:snapToGrid w:val="0"/>
        <w:spacing w:line="560" w:lineRule="exact"/>
        <w:ind w:firstLine="640" w:firstLineChars="20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审阅项目财务收支情况：审阅该项目实施单位记录资金收支的凭证、后附单据及相关文件，审阅该项目的相关规定，审核资金收支是否合规等。</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yellow"/>
        </w:rPr>
      </w:pPr>
      <w:bookmarkStart w:id="186" w:name="_Toc7847"/>
      <w:bookmarkStart w:id="187" w:name="_Toc21813"/>
      <w:bookmarkStart w:id="188" w:name="_Toc28956"/>
      <w:bookmarkStart w:id="189" w:name="_Toc28676"/>
      <w:r>
        <w:rPr>
          <w:rFonts w:hint="eastAsia" w:ascii="方正黑体_GBK" w:hAnsi="方正黑体_GBK" w:eastAsia="方正黑体_GBK" w:cs="方正黑体_GBK"/>
          <w:color w:val="auto"/>
          <w:sz w:val="32"/>
          <w:szCs w:val="32"/>
          <w:highlight w:val="none"/>
        </w:rPr>
        <w:t>三、绩效评价分析</w:t>
      </w:r>
      <w:bookmarkEnd w:id="186"/>
      <w:bookmarkEnd w:id="187"/>
      <w:bookmarkEnd w:id="188"/>
      <w:bookmarkEnd w:id="189"/>
    </w:p>
    <w:p>
      <w:pPr>
        <w:pStyle w:val="31"/>
        <w:pageBreakBefore w:val="0"/>
        <w:numPr>
          <w:ilvl w:val="0"/>
          <w:numId w:val="3"/>
        </w:numPr>
        <w:kinsoku/>
        <w:wordWrap/>
        <w:overflowPunct/>
        <w:topLinePunct w:val="0"/>
        <w:autoSpaceDE/>
        <w:autoSpaceDN/>
        <w:bidi w:val="0"/>
        <w:adjustRightInd w:val="0"/>
        <w:snapToGrid w:val="0"/>
        <w:spacing w:line="560" w:lineRule="exact"/>
        <w:ind w:left="0" w:firstLine="643" w:firstLineChars="200"/>
        <w:rPr>
          <w:rFonts w:ascii="Times New Roman" w:hAnsi="Times New Roman" w:eastAsia="仿宋_GB2312" w:cs="宋体"/>
          <w:b/>
          <w:bCs/>
          <w:vanish/>
          <w:color w:val="auto"/>
          <w:sz w:val="32"/>
          <w:szCs w:val="32"/>
          <w:highlight w:val="yellow"/>
        </w:rPr>
      </w:pPr>
      <w:r>
        <w:rPr>
          <w:rFonts w:hint="eastAsia" w:ascii="Times New Roman" w:hAnsi="Times New Roman" w:eastAsia="仿宋_GB2312" w:cs="宋体"/>
          <w:b/>
          <w:bCs/>
          <w:vanish/>
          <w:color w:val="auto"/>
          <w:sz w:val="32"/>
          <w:szCs w:val="32"/>
          <w:highlight w:val="yellow"/>
        </w:rPr>
        <w:t>绩效评价分析</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90" w:name="_Toc25693"/>
      <w:bookmarkStart w:id="191" w:name="_Toc30253"/>
      <w:bookmarkStart w:id="192" w:name="_Toc63"/>
      <w:bookmarkStart w:id="193" w:name="_Toc32631"/>
      <w:bookmarkStart w:id="194" w:name="_Toc27316"/>
      <w:r>
        <w:rPr>
          <w:rFonts w:hint="eastAsia" w:ascii="方正楷体_GBK" w:hAnsi="方正楷体_GBK" w:eastAsia="方正楷体_GBK" w:cs="方正楷体_GBK"/>
          <w:b/>
          <w:bCs/>
          <w:color w:val="auto"/>
          <w:sz w:val="32"/>
          <w:szCs w:val="32"/>
        </w:rPr>
        <w:t>（一）项目决策分析</w:t>
      </w:r>
      <w:bookmarkEnd w:id="190"/>
      <w:bookmarkEnd w:id="191"/>
    </w:p>
    <w:bookmarkEnd w:id="192"/>
    <w:bookmarkEnd w:id="193"/>
    <w:bookmarkEnd w:id="194"/>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bookmarkStart w:id="195" w:name="_Toc27861"/>
      <w:r>
        <w:rPr>
          <w:rFonts w:hint="eastAsia" w:ascii="仿宋_GB2312" w:hAnsi="仿宋_GB2312" w:eastAsia="仿宋_GB2312" w:cs="仿宋_GB2312"/>
          <w:b/>
          <w:bCs w:val="0"/>
          <w:color w:val="auto"/>
          <w:sz w:val="32"/>
          <w:szCs w:val="32"/>
          <w:lang w:val="en-US" w:eastAsia="zh-CN"/>
        </w:rPr>
        <w:t>（1）立项依据的充分性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该项目立项依据《关于拨付2022年草原管护员补助资金的通知》，《关于拨付提前下达2022年中央林业草原生态保护恢复资金的通知》，按照要求开始实施该项目，草原管护员补助项目的立项符合国家法律法规、国民经济发展规划和相关政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该项目立项依据符合《自治区党委自治区人民政府关于全面实施预算绩效管理的实施意见》、《自治区全面实施预算绩效管理的工作方案》、《关于印发〈自治区财政支出绩效评价管理暂行办法〉的通知》）、《财政部关于印发&lt;项目支出绩效评价管理办法&gt;》等文件精神，符合部门或行业发展规划和政策要求；符合社会经济发展规划，是全面贯彻落实中央、自治区、喀什地区关于巩固退耕还林结果的决策部署。符合自治区、喀什地区以及疏附县巩固退耕还林结果工作相关文件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该项目立项与部门职责范围相符，属于部门履职所需；与疏附县自然资源局“负责全县林业和草原及其生态保护修复的监督管理。拟订全县林业和草原及其生态保护修复的政策、规划并组织实施。组织开展全县森林、草原、湿地、荒漠和陆生野生动植物资源动态监测与评价，推进全县林业和草原数字化建设”的等职能一致。其职能职责为贯彻执行国家有关工作的法规、方针和政策；负责本次项目工作事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④项目属于公共财政支持范围，符合中央、地方事权支出责任划分原则；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⑤该项目未与相关部门同类项目或部门内部相关项目重复。总之，该项目在资金投入方面，预算编制是按照《关于拨付2022年草原管护员补助资金的通知》，《关于拨付提前下达2022年中央林业草原生态保护恢复资金的通知》开展的，确保资金额度与2022年的年度绩效目标相适应，项目立项依据充分，相关总体要求，项目申报、批复程序符合相关管理办法并围绕疏附县年度工作和工作计划制定经费预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该项分值4分，评价得分4分。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（2）立项程序规范性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依据情况：该项目为补助类项目，项目根据《关于拨付2022年草原管护员补助资金的通知》，《关于拨付提前下达2022年中央林业草原生态保护恢复资金的通知》等文件要求开始实施，该项目不需要立项。每年通过疏附县自然资源局制定预算，项目符合经济社会发展规划和部门年度工作计划。</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决策程序情况：</w:t>
      </w:r>
      <w:bookmarkStart w:id="196" w:name="_Hlk26031859"/>
      <w:r>
        <w:rPr>
          <w:rFonts w:hint="eastAsia" w:ascii="仿宋_GB2312" w:hAnsi="仿宋_GB2312" w:eastAsia="仿宋_GB2312" w:cs="仿宋_GB2312"/>
          <w:color w:val="auto"/>
          <w:sz w:val="32"/>
          <w:szCs w:val="32"/>
          <w:highlight w:val="none"/>
          <w:lang w:val="en-US" w:eastAsia="zh-CN"/>
        </w:rPr>
        <w:t>该项目为中央专项资金，通过对项目前期工作进行调研，成立了项目管理领导小组，对项目加强管理。</w:t>
      </w:r>
      <w:bookmarkEnd w:id="196"/>
      <w:r>
        <w:rPr>
          <w:rFonts w:hint="eastAsia" w:ascii="仿宋_GB2312" w:hAnsi="仿宋_GB2312" w:eastAsia="仿宋_GB2312" w:cs="仿宋_GB2312"/>
          <w:color w:val="auto"/>
          <w:sz w:val="32"/>
          <w:szCs w:val="32"/>
          <w:highlight w:val="none"/>
          <w:lang w:val="en-US" w:eastAsia="zh-CN"/>
        </w:rPr>
        <w:t>该项目按照规定的程序申请设立，审批文件、材料符合相关要求，项目决策程序比较规范。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该项分值4分，评价得分4分。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default"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2.绩效目标设立情况</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（1）绩效目标合理性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目标的内涵明确、具体、可衡量。所设立的绩效目标可以考核并能够指导疏附县自然资源局草原管护员补助项目的业务工作。指标与评价对象密切相关，全面反映项目实施内容及项目预期绩效情况，绩效目标设立符合疏附县自然资源局2022年工作计划，明确了项目产出数量和预期达到的效果。整体来看，绩效目标设立比较明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（2）绩效指标明确性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所设置绩效目标是：一级指标3个，二级指标7个，三级指标10个，指标量化率80%，绩效指标的内涵明确、具体、可衡量。所设立的绩效指标可以考核并能够指导具体业务工作。指标与评价对象密切相关，全面反映项目决策、项目和资金管理、产出和效益的核心指标，绩效目标设立符合相关政策要求和单位工作计划，明确了项目产出数量和预期达到的效果。整体来看，绩效目标设立比较明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default"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3.资金投入情况</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194.00万元，项目预算编制经过科学论证、明确标准，资金额度与年度目标相适应，制定了明确详细的项目资金支出计划和进度，体现了该项目预算编制的科学性和合理性。财政部门要对项目主管部门加强资金监管，定期调度和发布资金使用进度，强化区域内资金余缺动态调剂，避免出现资金大量结转。上年结转资金可继续在下年使用，连续两年未用完的，按有关规定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（2）资金分配合理性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该项目预算资金分配额度合理，与工作任务相匹配，充分体现了资金分配的合理性。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该项分值3分，评价得分3分。</w:t>
      </w:r>
    </w:p>
    <w:bookmarkEnd w:id="195"/>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97" w:name="_Toc7048"/>
      <w:r>
        <w:rPr>
          <w:rFonts w:hint="eastAsia" w:ascii="方正楷体_GBK" w:hAnsi="方正楷体_GBK" w:eastAsia="方正楷体_GBK" w:cs="方正楷体_GBK"/>
          <w:b/>
          <w:bCs/>
          <w:color w:val="auto"/>
          <w:sz w:val="32"/>
          <w:szCs w:val="32"/>
        </w:rPr>
        <w:t>（二）项目管理</w:t>
      </w:r>
      <w:r>
        <w:rPr>
          <w:rFonts w:hint="eastAsia" w:ascii="方正楷体_GBK" w:hAnsi="方正楷体_GBK" w:eastAsia="方正楷体_GBK" w:cs="方正楷体_GBK"/>
          <w:b/>
          <w:bCs/>
          <w:color w:val="auto"/>
          <w:sz w:val="32"/>
          <w:szCs w:val="32"/>
          <w:lang w:val="en-US" w:eastAsia="zh-CN"/>
        </w:rPr>
        <w:t>过程</w:t>
      </w:r>
      <w:r>
        <w:rPr>
          <w:rFonts w:hint="eastAsia" w:ascii="方正楷体_GBK" w:hAnsi="方正楷体_GBK" w:eastAsia="方正楷体_GBK" w:cs="方正楷体_GBK"/>
          <w:b/>
          <w:bCs/>
          <w:color w:val="auto"/>
          <w:sz w:val="32"/>
          <w:szCs w:val="32"/>
        </w:rPr>
        <w:t>情况分析</w:t>
      </w:r>
      <w:bookmarkEnd w:id="197"/>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bookmarkStart w:id="198" w:name="_Toc928"/>
      <w:bookmarkStart w:id="199" w:name="_Toc27510422"/>
      <w:r>
        <w:rPr>
          <w:rFonts w:hint="eastAsia" w:ascii="仿宋_GB2312" w:hAnsi="仿宋_GB2312" w:eastAsia="仿宋_GB2312" w:cs="仿宋_GB2312"/>
          <w:b/>
          <w:bCs w:val="0"/>
          <w:color w:val="auto"/>
          <w:sz w:val="32"/>
          <w:szCs w:val="32"/>
        </w:rPr>
        <w:t>1.项目资金</w:t>
      </w:r>
      <w:bookmarkEnd w:id="198"/>
      <w:bookmarkEnd w:id="199"/>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val="en-US" w:eastAsia="zh-CN"/>
        </w:rPr>
        <w:t>（1</w:t>
      </w: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b/>
          <w:bCs w:val="0"/>
          <w:color w:val="auto"/>
          <w:sz w:val="32"/>
          <w:szCs w:val="32"/>
        </w:rPr>
        <w:t>预算</w:t>
      </w:r>
      <w:r>
        <w:rPr>
          <w:rFonts w:hint="eastAsia" w:ascii="仿宋_GB2312" w:hAnsi="仿宋_GB2312" w:eastAsia="仿宋_GB2312" w:cs="仿宋_GB2312"/>
          <w:b/>
          <w:bCs w:val="0"/>
          <w:color w:val="auto"/>
          <w:sz w:val="32"/>
          <w:szCs w:val="32"/>
          <w:lang w:val="en-US" w:eastAsia="zh-CN"/>
        </w:rPr>
        <w:t>到位</w:t>
      </w:r>
      <w:r>
        <w:rPr>
          <w:rFonts w:hint="eastAsia" w:ascii="仿宋_GB2312" w:hAnsi="仿宋_GB2312" w:eastAsia="仿宋_GB2312" w:cs="仿宋_GB2312"/>
          <w:b/>
          <w:bCs w:val="0"/>
          <w:color w:val="auto"/>
          <w:sz w:val="32"/>
          <w:szCs w:val="32"/>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该项目预算资金为194.00万元，到位资金为194.00万元，实际支出194.00万元，预算执行率为100%。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b/>
          <w:bCs w:val="0"/>
          <w:color w:val="auto"/>
          <w:sz w:val="32"/>
          <w:szCs w:val="32"/>
          <w:lang w:val="en-US" w:eastAsia="zh-CN"/>
        </w:rPr>
        <w:t>2</w:t>
      </w: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b/>
          <w:bCs w:val="0"/>
          <w:color w:val="auto"/>
          <w:sz w:val="32"/>
          <w:szCs w:val="32"/>
        </w:rPr>
        <w:t>资金</w:t>
      </w:r>
      <w:r>
        <w:rPr>
          <w:rFonts w:hint="eastAsia" w:ascii="仿宋_GB2312" w:hAnsi="仿宋_GB2312" w:eastAsia="仿宋_GB2312" w:cs="仿宋_GB2312"/>
          <w:b/>
          <w:bCs w:val="0"/>
          <w:color w:val="auto"/>
          <w:sz w:val="32"/>
          <w:szCs w:val="32"/>
          <w:lang w:val="en-US" w:eastAsia="zh-CN"/>
        </w:rPr>
        <w:t>执行</w:t>
      </w:r>
      <w:r>
        <w:rPr>
          <w:rFonts w:hint="eastAsia" w:ascii="仿宋_GB2312" w:hAnsi="仿宋_GB2312" w:eastAsia="仿宋_GB2312" w:cs="仿宋_GB2312"/>
          <w:b/>
          <w:bCs w:val="0"/>
          <w:color w:val="auto"/>
          <w:sz w:val="32"/>
          <w:szCs w:val="32"/>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该项目预算资金194.00万元，资金到位为194.00万元，资金执行194.00万元，资金执行率100%。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eastAsia="zh-CN"/>
        </w:rPr>
      </w:pPr>
      <w:bookmarkStart w:id="200" w:name="_Toc3881"/>
      <w:bookmarkStart w:id="201" w:name="_Toc27651431"/>
      <w:bookmarkStart w:id="202" w:name="_Toc749"/>
      <w:bookmarkStart w:id="203" w:name="_Toc27648046"/>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b/>
          <w:bCs w:val="0"/>
          <w:color w:val="auto"/>
          <w:sz w:val="32"/>
          <w:szCs w:val="32"/>
          <w:lang w:val="en-US" w:eastAsia="zh-CN"/>
        </w:rPr>
        <w:t>3</w:t>
      </w:r>
      <w:r>
        <w:rPr>
          <w:rFonts w:hint="eastAsia" w:ascii="仿宋_GB2312" w:hAnsi="仿宋_GB2312" w:eastAsia="仿宋_GB2312" w:cs="仿宋_GB2312"/>
          <w:b/>
          <w:bCs w:val="0"/>
          <w:color w:val="auto"/>
          <w:sz w:val="32"/>
          <w:szCs w:val="32"/>
          <w:lang w:eastAsia="zh-CN"/>
        </w:rPr>
        <w:t>）资金使用合规性</w:t>
      </w:r>
    </w:p>
    <w:bookmarkEnd w:id="200"/>
    <w:bookmarkEnd w:id="201"/>
    <w:bookmarkEnd w:id="202"/>
    <w:bookmarkEnd w:id="203"/>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04" w:name="_Toc20129"/>
      <w:r>
        <w:rPr>
          <w:rFonts w:hint="eastAsia" w:ascii="仿宋_GB2312" w:hAnsi="仿宋_GB2312" w:eastAsia="仿宋_GB2312" w:cs="仿宋_GB2312"/>
          <w:color w:val="auto"/>
          <w:sz w:val="32"/>
          <w:szCs w:val="32"/>
          <w:highlight w:val="none"/>
          <w:lang w:val="en-US" w:eastAsia="zh-CN"/>
        </w:rPr>
        <w:t>该项目预算资金194.00万元，到位资金为194.00万元，补助资金全部支付194.00万元，该项目资金使用严格按照《关于印发林业改革发展资金管理办法》的通知等文件规定，疏附县自然资源局依据项目实施计划和实施进度提出支付申请并提供相关真实、合规的印证材料，制定资金使用计划，经相关部门审核后按照国库集中支付管理制度的规定和程序及时支付资金。项目资金支付后，在审计或检查中发现资金使用存在违法违规问题的，及时追回、收回。对资金使用严格监管，防止资金使用不精准、虚报冒领。资金的支付有完整的审批程序和手续，符合制度要求;项目资金进行单独核算，财务手续基本合理、完整，未发现专项资金有截留、挤占、挪用、虚列开支等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自项目分配方案下发之后，项目严格程序实行“一项目一档案一台账”管理，收集项目各项资料，按要求及时跟各乡镇对接、推进进度、资金支付、监督检查等整理归档。该项目资金严格执行国库集中支付，按照财政专项资金有关管理规定收集整理报账资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该项分值4分，评价得分4分。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eastAsia="zh-CN"/>
        </w:rPr>
      </w:pPr>
      <w:r>
        <w:rPr>
          <w:rFonts w:hint="eastAsia" w:ascii="仿宋_GB2312" w:hAnsi="仿宋_GB2312" w:eastAsia="仿宋_GB2312" w:cs="仿宋_GB2312"/>
          <w:b/>
          <w:bCs w:val="0"/>
          <w:color w:val="auto"/>
          <w:sz w:val="32"/>
          <w:szCs w:val="32"/>
          <w:lang w:val="en-US" w:eastAsia="zh-CN"/>
        </w:rPr>
        <w:t>2.</w:t>
      </w:r>
      <w:bookmarkEnd w:id="204"/>
      <w:r>
        <w:rPr>
          <w:rFonts w:hint="eastAsia" w:ascii="仿宋_GB2312" w:hAnsi="仿宋_GB2312" w:eastAsia="仿宋_GB2312" w:cs="仿宋_GB2312"/>
          <w:b/>
          <w:bCs w:val="0"/>
          <w:color w:val="auto"/>
          <w:sz w:val="32"/>
          <w:szCs w:val="32"/>
          <w:lang w:eastAsia="zh-CN"/>
        </w:rPr>
        <w:t>组织实施情况</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eastAsia="zh-CN"/>
        </w:rPr>
      </w:pPr>
      <w:r>
        <w:rPr>
          <w:rFonts w:hint="eastAsia" w:ascii="仿宋_GB2312" w:hAnsi="仿宋_GB2312" w:eastAsia="仿宋_GB2312" w:cs="仿宋_GB2312"/>
          <w:b/>
          <w:bCs w:val="0"/>
          <w:color w:val="auto"/>
          <w:sz w:val="32"/>
          <w:szCs w:val="32"/>
          <w:lang w:eastAsia="zh-CN"/>
        </w:rPr>
        <w:t>（1）管理制度健全性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根据《中华人民共和国预算法》、《自治区党委自治区人民政府关于全面实施预算绩效管理的实施意见》、《自治区全面实施预算绩效管理的工作方案》、《关于印发〈自治区财政支出绩效评价管理暂行办法〉的通知》、《关于印发林业改革发展资金管理办法》的通知等相关文件，该项目预算资金安排专人管理。并要建立健全内部财务管理制度、《疏附县自然资源局项目管理制度》及《疏附县自然资源局工作制度》，加强会计日常核算和监督，加强资金的预算、控制、分析和检查工作，做好项目财务管理基础工作；项目实行审计制度，由相关部门对项目采取审计，同时按照《疏附县自然资源局财务管理制度》要求执行，该制度规范了项目资金使用标准，确保项目实施单位的资金预算申请、资金执行、资金调整、监督检查等过程在相关制度和流程的有效监督管控之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该项分值5分，评价得分5分。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zh-TW" w:eastAsia="zh-TW"/>
        </w:rPr>
      </w:pPr>
      <w:r>
        <w:rPr>
          <w:rFonts w:hint="eastAsia" w:ascii="仿宋_GB2312" w:hAnsi="仿宋_GB2312" w:eastAsia="仿宋_GB2312" w:cs="仿宋_GB2312"/>
          <w:b/>
          <w:bCs w:val="0"/>
          <w:color w:val="auto"/>
          <w:sz w:val="32"/>
          <w:szCs w:val="32"/>
          <w:lang w:val="zh-TW" w:eastAsia="zh-TW"/>
        </w:rPr>
        <w:t>（2）制度执行有效性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05" w:name="_Toc6823"/>
      <w:bookmarkStart w:id="206" w:name="_Toc18514"/>
      <w:bookmarkStart w:id="207" w:name="_Toc12166"/>
      <w:bookmarkStart w:id="208" w:name="_Toc26579"/>
      <w:bookmarkStart w:id="209" w:name="_Toc18194"/>
      <w:bookmarkStart w:id="210" w:name="_Toc29889"/>
      <w:r>
        <w:rPr>
          <w:rFonts w:hint="eastAsia" w:ascii="仿宋_GB2312" w:hAnsi="仿宋_GB2312" w:eastAsia="仿宋_GB2312" w:cs="仿宋_GB2312"/>
          <w:color w:val="auto"/>
          <w:sz w:val="32"/>
          <w:szCs w:val="32"/>
          <w:highlight w:val="none"/>
          <w:lang w:val="en-US" w:eastAsia="zh-CN"/>
        </w:rPr>
        <w:t>该项目管理依据《中华人民共和国预算法》、新疆维吾尔自治区财政厅下发的《自治区党委自治区人民政府关于全面实施预算绩效管理的实施意见》、《自治区全面实施预算绩效管理的工作方案》和财政部《项目支出绩效评价管理办法》等相关文件，一是采取现场调研的方式，对草原管护员补助项目资金管理工作进行监督检查。重点对资金执行及项目实施情况进行监督，及时对发现的问题进行反馈，督促指导项目运行管理，确保项目的高效运行；二是为加快推进该项目的实施，该单位根据《项目支出绩效评价管理办法》、关于印发《自治区财政支出绩效评价管理暂行办法》的通知文件精神，成立草原管护员补助项目管理领导小组，负责对项目建设、组织协调、运转服务，研究解决项目实施中的困难和问题，创造良好的项目实施环境。领导小组成员名单如下：</w:t>
      </w:r>
      <w:bookmarkEnd w:id="205"/>
      <w:bookmarkEnd w:id="206"/>
      <w:bookmarkEnd w:id="20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11" w:name="_Toc17757"/>
      <w:bookmarkStart w:id="212" w:name="_Toc24132"/>
      <w:bookmarkStart w:id="213" w:name="_Toc9001"/>
      <w:r>
        <w:rPr>
          <w:rFonts w:hint="eastAsia" w:ascii="仿宋_GB2312" w:hAnsi="仿宋_GB2312" w:eastAsia="仿宋_GB2312" w:cs="仿宋_GB2312"/>
          <w:color w:val="auto"/>
          <w:sz w:val="32"/>
          <w:szCs w:val="32"/>
          <w:highlight w:val="none"/>
          <w:lang w:val="en-US" w:eastAsia="zh-CN"/>
        </w:rPr>
        <w:t>组长：</w:t>
      </w:r>
      <w:bookmarkEnd w:id="211"/>
      <w:bookmarkEnd w:id="212"/>
      <w:bookmarkEnd w:id="213"/>
      <w:r>
        <w:rPr>
          <w:rFonts w:hint="eastAsia" w:ascii="方正仿宋_GBK" w:hAnsi="方正仿宋_GBK" w:eastAsia="方正仿宋_GBK" w:cs="方正仿宋_GBK"/>
          <w:b w:val="0"/>
          <w:bCs w:val="0"/>
          <w:kern w:val="0"/>
          <w:sz w:val="32"/>
          <w:szCs w:val="32"/>
          <w:lang w:val="en-US" w:eastAsia="zh-CN" w:bidi="ar-SA"/>
        </w:rPr>
        <w:t>冯君（疏附县自然资源局党组成员、副局长主持工作）</w:t>
      </w:r>
      <w:r>
        <w:rPr>
          <w:rFonts w:hint="eastAsia" w:ascii="仿宋_GB2312" w:hAnsi="仿宋_GB2312" w:eastAsia="仿宋_GB2312" w:cs="仿宋_GB2312"/>
          <w:color w:val="auto"/>
          <w:sz w:val="32"/>
          <w:szCs w:val="32"/>
          <w:highlight w:val="none"/>
          <w:lang w:val="en-US" w:eastAsia="zh-CN"/>
        </w:rPr>
        <w:t>负责建立健全工作机制，组织、协调项目实施过程相关管理工作，对项目实施全过程进行管控；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副组长：魏歆（疏附县自然资源局党组成员、副局长）负责保障项目的有效运行、对项目实施全过程进行有效监督，掌握项目的具体实施进度；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员：郭武（疏附县自然资源局科员）、沈鹏（疏附县自然资源局科员）、依比布拉（疏附县自然资源局科员）、木太力甫（疏附县自然资源局科员）、比力克孜（疏附县自然资源局科员）、帕提古丽（疏附县自然资源局科员）、刘玲（疏附县自然资源局科员）</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负责对制定实施方案，精心制定计划，补助类项目进行管理，具体为对受益方名单进行确认；同时负责资金的拨付、建立真实、完整、规范的档案，参与项目实施结尾工作，该项目组织机构健全，分工明确，责任清晰等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14" w:name="_Toc11577"/>
      <w:bookmarkStart w:id="215" w:name="_Toc21487"/>
      <w:bookmarkStart w:id="216" w:name="_Toc10997"/>
      <w:r>
        <w:rPr>
          <w:rFonts w:hint="eastAsia" w:ascii="仿宋_GB2312" w:hAnsi="仿宋_GB2312" w:eastAsia="仿宋_GB2312" w:cs="仿宋_GB2312"/>
          <w:color w:val="auto"/>
          <w:sz w:val="32"/>
          <w:szCs w:val="32"/>
          <w:highlight w:val="none"/>
          <w:lang w:val="en-US" w:eastAsia="zh-CN"/>
        </w:rPr>
        <w:t>三是加强对项目资金的预算执行及日常监督管理，确保每个项目按照规定的用途实施。资金拨付坚持按项目、预算、进度、指定用途拨款，确保财政专项资金规范使用。项目实施过程中各级单位履行监管职能，各项制度执行有效。同时，该单位严格按照《关于印发林业改革发展资金管理办法》的通知文件规定，以上管理制度涵盖了财政专项资金项目的设立、质量管理、安全管理、成本控制、项目验收等流程管理制度，并结合《疏附县自然资源局项目管理制度》、《疏附县自然资源局工作制度》等相关制度对项目实施过程进行严格把控，项目管理制度有效执行，但是，项目缺少相关的会议纪要材料，项目材料归档不完整。</w:t>
      </w:r>
      <w:bookmarkEnd w:id="214"/>
      <w:bookmarkEnd w:id="215"/>
      <w:bookmarkEnd w:id="21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该项分值5分，评价得分3.5分。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方正楷体_GBK" w:hAnsi="方正楷体_GBK" w:eastAsia="方正楷体_GBK" w:cs="方正楷体_GBK"/>
          <w:b/>
          <w:bCs/>
          <w:color w:val="auto"/>
          <w:sz w:val="32"/>
          <w:szCs w:val="32"/>
          <w:lang w:val="en-US" w:eastAsia="zh-CN"/>
        </w:rPr>
      </w:pPr>
      <w:bookmarkStart w:id="217" w:name="_Toc10347"/>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三</w:t>
      </w:r>
      <w:r>
        <w:rPr>
          <w:rFonts w:hint="eastAsia" w:ascii="方正楷体_GBK" w:hAnsi="方正楷体_GBK" w:eastAsia="方正楷体_GBK" w:cs="方正楷体_GBK"/>
          <w:b/>
          <w:bCs/>
          <w:color w:val="auto"/>
          <w:sz w:val="32"/>
          <w:szCs w:val="32"/>
        </w:rPr>
        <w:t>）项目</w:t>
      </w:r>
      <w:r>
        <w:rPr>
          <w:rFonts w:hint="eastAsia" w:ascii="方正楷体_GBK" w:hAnsi="方正楷体_GBK" w:eastAsia="方正楷体_GBK" w:cs="方正楷体_GBK"/>
          <w:b/>
          <w:bCs/>
          <w:color w:val="auto"/>
          <w:sz w:val="32"/>
          <w:szCs w:val="32"/>
          <w:lang w:val="en-US" w:eastAsia="zh-CN"/>
        </w:rPr>
        <w:t>产出</w:t>
      </w:r>
      <w:r>
        <w:rPr>
          <w:rFonts w:hint="eastAsia" w:ascii="方正楷体_GBK" w:hAnsi="方正楷体_GBK" w:eastAsia="方正楷体_GBK" w:cs="方正楷体_GBK"/>
          <w:b/>
          <w:bCs/>
          <w:color w:val="auto"/>
          <w:sz w:val="32"/>
          <w:szCs w:val="32"/>
        </w:rPr>
        <w:t>情况分析</w:t>
      </w:r>
      <w:bookmarkEnd w:id="208"/>
      <w:bookmarkEnd w:id="209"/>
      <w:bookmarkEnd w:id="210"/>
      <w:bookmarkEnd w:id="217"/>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1.产出数量情况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截止绩效评价日，本项目已发放194户草原管护的劳务补助。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该项分值8分，评价得分8分。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2.产出质量情况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该项目草原管护员补助发放准确率，草原管护员完成率为100%，产出质量指标已完成。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该项分值8分，评价得分8分。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3.产出时效情况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该项目草原管护员补助发放及时率，项目完成及时率为100%，草原管护员完成工作时限30天，时效指标达到指标预期值。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该项分值7分，评价得分7分。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4.产出成本情况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该项目预算资金为194.00万元，实际支出为194.00万元，已按照1万元/人/年的标准发放了194名草原管护员1年的补助资金，项目支出有效控制在预算范围内。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该项分值7分，评价得分7分。</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218" w:name="_Toc1834"/>
      <w:bookmarkStart w:id="219" w:name="_Toc19951"/>
      <w:bookmarkStart w:id="220" w:name="_Toc21878"/>
      <w:bookmarkStart w:id="221" w:name="_Toc30247"/>
      <w:r>
        <w:rPr>
          <w:rFonts w:hint="eastAsia" w:ascii="方正楷体_GBK" w:hAnsi="方正楷体_GBK" w:eastAsia="方正楷体_GBK" w:cs="方正楷体_GBK"/>
          <w:b/>
          <w:bCs/>
          <w:color w:val="auto"/>
          <w:sz w:val="32"/>
          <w:szCs w:val="32"/>
          <w:lang w:val="en-US" w:eastAsia="zh-CN"/>
        </w:rPr>
        <w:t>（四）项目效益评价分析</w:t>
      </w:r>
      <w:bookmarkEnd w:id="218"/>
      <w:bookmarkEnd w:id="219"/>
      <w:bookmarkEnd w:id="220"/>
      <w:bookmarkEnd w:id="221"/>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1.经济效益情况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该项目不涉及经济效益指标。</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2.社会效益情况</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通过给发放补助资金，提高了194名农民生活质量，改善了家庭经济条件。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该项分值10分，评价得分10分。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default"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3.生态效益情况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该项目不涉及该指标。</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4.可持续影响情况</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项目的实施将持续保障了草原管护员基本生活。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该项分值10分，评价得分10分。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5.服务对象满意度情况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22" w:name="_Toc29894"/>
      <w:bookmarkStart w:id="223" w:name="_Toc7580"/>
      <w:bookmarkStart w:id="224" w:name="_Toc3762"/>
      <w:bookmarkStart w:id="225" w:name="_Toc14117"/>
      <w:bookmarkStart w:id="226" w:name="_Toc6037"/>
      <w:bookmarkStart w:id="227" w:name="_Toc282"/>
      <w:r>
        <w:rPr>
          <w:rFonts w:hint="eastAsia" w:ascii="仿宋_GB2312" w:hAnsi="仿宋_GB2312" w:eastAsia="仿宋_GB2312" w:cs="仿宋_GB2312"/>
          <w:color w:val="auto"/>
          <w:sz w:val="32"/>
          <w:szCs w:val="32"/>
          <w:highlight w:val="none"/>
          <w:lang w:val="en-US" w:eastAsia="zh-CN"/>
        </w:rPr>
        <w:t>通过走访受益对象，草原管护员满意度指标预期值大于等于95%，通过发放调查问卷的方式走访受益对象，本次发放问卷194份，收回有效问卷194份，受益对象满意度调查结果为95%。</w:t>
      </w:r>
      <w:bookmarkEnd w:id="222"/>
      <w:bookmarkEnd w:id="223"/>
      <w:bookmarkEnd w:id="22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该项分值10分，评价得分10分。</w:t>
      </w:r>
    </w:p>
    <w:p>
      <w:pPr>
        <w:pageBreakBefore w:val="0"/>
        <w:numPr>
          <w:ilvl w:val="0"/>
          <w:numId w:val="0"/>
        </w:numPr>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rPr>
      </w:pPr>
      <w:bookmarkStart w:id="228" w:name="_Toc5925"/>
      <w:r>
        <w:rPr>
          <w:rFonts w:hint="eastAsia" w:ascii="方正黑体_GBK" w:hAnsi="方正黑体_GBK" w:eastAsia="方正黑体_GBK" w:cs="方正黑体_GBK"/>
          <w:color w:val="auto"/>
          <w:sz w:val="32"/>
          <w:szCs w:val="32"/>
          <w:highlight w:val="none"/>
          <w:lang w:val="en-US" w:eastAsia="zh-CN"/>
        </w:rPr>
        <w:t>四、</w:t>
      </w:r>
      <w:r>
        <w:rPr>
          <w:rFonts w:hint="eastAsia" w:ascii="方正黑体_GBK" w:hAnsi="方正黑体_GBK" w:eastAsia="方正黑体_GBK" w:cs="方正黑体_GBK"/>
          <w:color w:val="auto"/>
          <w:sz w:val="32"/>
          <w:szCs w:val="32"/>
          <w:highlight w:val="none"/>
        </w:rPr>
        <w:t>评价结论</w:t>
      </w:r>
      <w:bookmarkEnd w:id="225"/>
      <w:bookmarkEnd w:id="226"/>
      <w:bookmarkEnd w:id="227"/>
      <w:bookmarkEnd w:id="228"/>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229" w:name="_Toc13597"/>
      <w:bookmarkStart w:id="230" w:name="_Toc18818"/>
      <w:bookmarkStart w:id="231" w:name="_Toc30661"/>
      <w:bookmarkStart w:id="232" w:name="_Toc26462"/>
      <w:r>
        <w:rPr>
          <w:rFonts w:hint="eastAsia" w:ascii="方正楷体_GBK" w:hAnsi="方正楷体_GBK" w:eastAsia="方正楷体_GBK" w:cs="方正楷体_GBK"/>
          <w:b/>
          <w:bCs/>
          <w:color w:val="auto"/>
          <w:sz w:val="32"/>
          <w:szCs w:val="32"/>
        </w:rPr>
        <w:t>（一）评分结果</w:t>
      </w:r>
      <w:bookmarkEnd w:id="229"/>
      <w:bookmarkEnd w:id="230"/>
      <w:bookmarkEnd w:id="231"/>
      <w:bookmarkEnd w:id="23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经综合评价，项目得分为98.5分，评价等级为优，各项得分情况见下表：</w:t>
      </w:r>
    </w:p>
    <w:p>
      <w:pPr>
        <w:pStyle w:val="38"/>
        <w:pageBreakBefore w:val="0"/>
        <w:kinsoku/>
        <w:wordWrap/>
        <w:overflowPunct/>
        <w:topLinePunct w:val="0"/>
        <w:autoSpaceDE/>
        <w:autoSpaceDN/>
        <w:bidi w:val="0"/>
        <w:ind w:firstLine="643"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绩效评价</w:t>
      </w:r>
      <w:r>
        <w:rPr>
          <w:rFonts w:ascii="Times New Roman" w:hAnsi="Times New Roman" w:eastAsia="仿宋_GB2312"/>
          <w:color w:val="auto"/>
          <w:sz w:val="32"/>
          <w:szCs w:val="32"/>
          <w:highlight w:val="none"/>
        </w:rPr>
        <w:t>得分情况表</w:t>
      </w:r>
    </w:p>
    <w:tbl>
      <w:tblPr>
        <w:tblStyle w:val="17"/>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543"/>
        <w:gridCol w:w="1413"/>
        <w:gridCol w:w="1152"/>
        <w:gridCol w:w="1290"/>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1517" w:type="dxa"/>
            <w:tcBorders>
              <w:bottom w:val="single" w:color="auto" w:sz="4" w:space="0"/>
            </w:tcBorders>
            <w:shd w:val="clear" w:color="auto" w:fill="A6A6A6"/>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指标</w:t>
            </w:r>
          </w:p>
        </w:tc>
        <w:tc>
          <w:tcPr>
            <w:tcW w:w="1543" w:type="dxa"/>
            <w:tcBorders>
              <w:bottom w:val="single" w:color="auto" w:sz="4" w:space="0"/>
            </w:tcBorders>
            <w:shd w:val="clear" w:color="auto" w:fill="A6A6A6"/>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项目决策</w:t>
            </w:r>
          </w:p>
        </w:tc>
        <w:tc>
          <w:tcPr>
            <w:tcW w:w="1413" w:type="dxa"/>
            <w:tcBorders>
              <w:bottom w:val="single" w:color="auto" w:sz="4" w:space="0"/>
            </w:tcBorders>
            <w:shd w:val="clear" w:color="auto" w:fill="A6A6A6"/>
            <w:vAlign w:val="center"/>
          </w:tcPr>
          <w:p>
            <w:pPr>
              <w:pStyle w:val="38"/>
              <w:pageBreakBefore w:val="0"/>
              <w:kinsoku/>
              <w:wordWrap/>
              <w:overflowPunct/>
              <w:topLinePunct w:val="0"/>
              <w:autoSpaceDE/>
              <w:autoSpaceDN/>
              <w:bidi w:val="0"/>
              <w:jc w:val="center"/>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cs="仿宋"/>
                <w:color w:val="auto"/>
                <w:sz w:val="21"/>
                <w:szCs w:val="21"/>
                <w:highlight w:val="none"/>
                <w:lang w:val="en-US" w:eastAsia="zh-CN"/>
              </w:rPr>
              <w:t>过程</w:t>
            </w:r>
          </w:p>
        </w:tc>
        <w:tc>
          <w:tcPr>
            <w:tcW w:w="1152" w:type="dxa"/>
            <w:tcBorders>
              <w:bottom w:val="single" w:color="auto" w:sz="4" w:space="0"/>
            </w:tcBorders>
            <w:shd w:val="clear" w:color="auto" w:fill="A6A6A6"/>
            <w:vAlign w:val="center"/>
          </w:tcPr>
          <w:p>
            <w:pPr>
              <w:pStyle w:val="38"/>
              <w:pageBreakBefore w:val="0"/>
              <w:kinsoku/>
              <w:wordWrap/>
              <w:overflowPunct/>
              <w:topLinePunct w:val="0"/>
              <w:autoSpaceDE/>
              <w:autoSpaceDN/>
              <w:bidi w:val="0"/>
              <w:jc w:val="both"/>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val="en-US" w:eastAsia="zh-CN"/>
              </w:rPr>
              <w:t>项目产出</w:t>
            </w:r>
          </w:p>
        </w:tc>
        <w:tc>
          <w:tcPr>
            <w:tcW w:w="1290" w:type="dxa"/>
            <w:tcBorders>
              <w:bottom w:val="single" w:color="auto" w:sz="4" w:space="0"/>
            </w:tcBorders>
            <w:shd w:val="clear" w:color="auto" w:fill="A6A6A6"/>
            <w:vAlign w:val="center"/>
          </w:tcPr>
          <w:p>
            <w:pPr>
              <w:pStyle w:val="38"/>
              <w:pageBreakBefore w:val="0"/>
              <w:kinsoku/>
              <w:wordWrap/>
              <w:overflowPunct/>
              <w:topLinePunct w:val="0"/>
              <w:autoSpaceDE/>
              <w:autoSpaceDN/>
              <w:bidi w:val="0"/>
              <w:jc w:val="both"/>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ascii="Times New Roman" w:hAnsi="Times New Roman" w:eastAsia="仿宋_GB2312" w:cs="仿宋"/>
                <w:color w:val="auto"/>
                <w:sz w:val="21"/>
                <w:szCs w:val="21"/>
                <w:highlight w:val="none"/>
                <w:lang w:val="en-US" w:eastAsia="zh-CN"/>
              </w:rPr>
              <w:t>效益</w:t>
            </w:r>
          </w:p>
        </w:tc>
        <w:tc>
          <w:tcPr>
            <w:tcW w:w="1388" w:type="dxa"/>
            <w:tcBorders>
              <w:bottom w:val="single" w:color="auto" w:sz="4" w:space="0"/>
            </w:tcBorders>
            <w:shd w:val="clear" w:color="auto" w:fill="A6A6A6"/>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1517" w:type="dxa"/>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权重</w:t>
            </w:r>
          </w:p>
        </w:tc>
        <w:tc>
          <w:tcPr>
            <w:tcW w:w="1543" w:type="dxa"/>
            <w:vAlign w:val="center"/>
          </w:tcPr>
          <w:p>
            <w:pPr>
              <w:pStyle w:val="38"/>
              <w:pageBreakBefore w:val="0"/>
              <w:kinsoku/>
              <w:wordWrap/>
              <w:overflowPunct/>
              <w:topLinePunct w:val="0"/>
              <w:autoSpaceDE/>
              <w:autoSpaceDN/>
              <w:bidi w:val="0"/>
              <w:ind w:firstLine="420" w:firstLineChars="200"/>
              <w:rPr>
                <w:rFonts w:hint="eastAsia" w:ascii="Times New Roman" w:hAnsi="Times New Roman" w:eastAsia="仿宋_GB2312" w:cs="仿宋"/>
                <w:b w:val="0"/>
                <w:color w:val="auto"/>
                <w:sz w:val="21"/>
                <w:szCs w:val="21"/>
                <w:highlight w:val="none"/>
                <w:lang w:eastAsia="zh-CN"/>
              </w:rPr>
            </w:pPr>
            <w:r>
              <w:rPr>
                <w:rFonts w:hint="eastAsia" w:ascii="Times New Roman" w:hAnsi="Times New Roman" w:eastAsia="仿宋_GB2312" w:cs="仿宋"/>
                <w:b w:val="0"/>
                <w:color w:val="auto"/>
                <w:sz w:val="21"/>
                <w:szCs w:val="21"/>
                <w:highlight w:val="none"/>
              </w:rPr>
              <w:t>2</w:t>
            </w:r>
            <w:r>
              <w:rPr>
                <w:rFonts w:hint="eastAsia" w:ascii="Times New Roman" w:hAnsi="Times New Roman" w:eastAsia="仿宋_GB2312" w:cs="仿宋"/>
                <w:b w:val="0"/>
                <w:color w:val="auto"/>
                <w:sz w:val="21"/>
                <w:szCs w:val="21"/>
                <w:highlight w:val="none"/>
                <w:lang w:val="en-US" w:eastAsia="zh-CN"/>
              </w:rPr>
              <w:t>0</w:t>
            </w:r>
          </w:p>
        </w:tc>
        <w:tc>
          <w:tcPr>
            <w:tcW w:w="1413"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152"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jc w:val="center"/>
        </w:trPr>
        <w:tc>
          <w:tcPr>
            <w:tcW w:w="1517" w:type="dxa"/>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分值</w:t>
            </w:r>
          </w:p>
        </w:tc>
        <w:tc>
          <w:tcPr>
            <w:tcW w:w="1543"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413"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18.5</w:t>
            </w:r>
          </w:p>
        </w:tc>
        <w:tc>
          <w:tcPr>
            <w:tcW w:w="1152"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1517" w:type="dxa"/>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得分率</w:t>
            </w:r>
          </w:p>
        </w:tc>
        <w:tc>
          <w:tcPr>
            <w:tcW w:w="1543"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413"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92.5</w:t>
            </w:r>
            <w:r>
              <w:rPr>
                <w:rFonts w:hint="eastAsia" w:ascii="Times New Roman" w:hAnsi="Times New Roman" w:eastAsia="仿宋_GB2312" w:cs="仿宋"/>
                <w:b w:val="0"/>
                <w:color w:val="auto"/>
                <w:sz w:val="21"/>
                <w:szCs w:val="21"/>
                <w:highlight w:val="none"/>
              </w:rPr>
              <w:t>%</w:t>
            </w:r>
          </w:p>
        </w:tc>
        <w:tc>
          <w:tcPr>
            <w:tcW w:w="1152" w:type="dxa"/>
            <w:vAlign w:val="center"/>
          </w:tcPr>
          <w:p>
            <w:pPr>
              <w:pStyle w:val="38"/>
              <w:pageBreakBefore w:val="0"/>
              <w:kinsoku/>
              <w:wordWrap/>
              <w:overflowPunct/>
              <w:topLinePunct w:val="0"/>
              <w:autoSpaceDE/>
              <w:autoSpaceDN/>
              <w:bidi w:val="0"/>
              <w:ind w:firstLine="420" w:firstLineChars="200"/>
              <w:rPr>
                <w:rFonts w:hint="eastAsia"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290"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388"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98.5</w:t>
            </w:r>
            <w:r>
              <w:rPr>
                <w:rFonts w:hint="eastAsia" w:ascii="Times New Roman" w:hAnsi="Times New Roman" w:eastAsia="仿宋_GB2312" w:cs="仿宋"/>
                <w:b w:val="0"/>
                <w:color w:val="auto"/>
                <w:sz w:val="21"/>
                <w:szCs w:val="21"/>
                <w:highlight w:val="none"/>
              </w:rPr>
              <w:t>%</w:t>
            </w:r>
          </w:p>
        </w:tc>
      </w:tr>
    </w:tbl>
    <w:p>
      <w:pPr>
        <w:pStyle w:val="31"/>
        <w:pageBreakBefore w:val="0"/>
        <w:numPr>
          <w:ilvl w:val="0"/>
          <w:numId w:val="3"/>
        </w:numPr>
        <w:kinsoku/>
        <w:wordWrap/>
        <w:overflowPunct/>
        <w:topLinePunct w:val="0"/>
        <w:autoSpaceDE/>
        <w:autoSpaceDN/>
        <w:bidi w:val="0"/>
        <w:adjustRightInd w:val="0"/>
        <w:snapToGrid w:val="0"/>
        <w:spacing w:line="560" w:lineRule="exact"/>
        <w:ind w:left="0" w:firstLine="643" w:firstLineChars="200"/>
        <w:rPr>
          <w:rFonts w:ascii="Times New Roman" w:hAnsi="Times New Roman" w:eastAsia="仿宋_GB2312" w:cs="宋体"/>
          <w:b/>
          <w:bCs/>
          <w:vanish/>
          <w:color w:val="auto"/>
          <w:sz w:val="32"/>
          <w:szCs w:val="32"/>
          <w:highlight w:val="yellow"/>
        </w:rPr>
      </w:pPr>
      <w:r>
        <w:rPr>
          <w:rFonts w:hint="eastAsia" w:ascii="Times New Roman" w:hAnsi="Times New Roman" w:eastAsia="仿宋_GB2312" w:cs="宋体"/>
          <w:b/>
          <w:bCs/>
          <w:vanish/>
          <w:color w:val="auto"/>
          <w:sz w:val="32"/>
          <w:szCs w:val="32"/>
          <w:highlight w:val="yellow"/>
        </w:rPr>
        <w:t>评价结论</w:t>
      </w:r>
    </w:p>
    <w:p>
      <w:pPr>
        <w:pStyle w:val="31"/>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20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233" w:name="_Toc5939"/>
      <w:r>
        <w:rPr>
          <w:rFonts w:hint="eastAsia" w:ascii="方正楷体_GBK" w:hAnsi="方正楷体_GBK" w:eastAsia="方正楷体_GBK" w:cs="方正楷体_GBK"/>
          <w:b/>
          <w:bCs/>
          <w:color w:val="auto"/>
          <w:sz w:val="32"/>
          <w:szCs w:val="32"/>
          <w:highlight w:val="none"/>
          <w:lang w:val="en-US" w:eastAsia="zh-CN"/>
        </w:rPr>
        <w:t>（二）综合分析评价</w:t>
      </w:r>
    </w:p>
    <w:p>
      <w:pPr>
        <w:pStyle w:val="31"/>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200"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是根据所收集的资料，结合现场勘查等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开展专家评审会，行业专家、第三方专家以及财政部门，邀请人大代表监督全过程，对报告提出整改意见和需修改完善的内容，评价工作组及时作出整改。五是征求</w:t>
      </w:r>
      <w:r>
        <w:rPr>
          <w:rFonts w:hint="eastAsia" w:ascii="仿宋_GB2312" w:hAnsi="仿宋_GB2312" w:eastAsia="仿宋_GB2312" w:cs="仿宋_GB2312"/>
          <w:color w:val="auto"/>
          <w:kern w:val="2"/>
          <w:sz w:val="32"/>
          <w:szCs w:val="32"/>
          <w:highlight w:val="none"/>
          <w:lang w:val="en-US" w:eastAsia="zh-CN" w:bidi="ar-SA"/>
        </w:rPr>
        <w:t>疏附</w:t>
      </w:r>
      <w:r>
        <w:rPr>
          <w:rFonts w:hint="default" w:ascii="仿宋_GB2312" w:hAnsi="仿宋_GB2312" w:eastAsia="仿宋_GB2312" w:cs="仿宋_GB2312"/>
          <w:color w:val="auto"/>
          <w:kern w:val="2"/>
          <w:sz w:val="32"/>
          <w:szCs w:val="32"/>
          <w:highlight w:val="none"/>
          <w:lang w:val="en-US" w:eastAsia="zh-CN" w:bidi="ar-SA"/>
        </w:rPr>
        <w:t>县财政局和项目实施单位的意见，并结合反馈意见形成正式报告。</w:t>
      </w:r>
    </w:p>
    <w:p>
      <w:pPr>
        <w:pStyle w:val="31"/>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三</w:t>
      </w:r>
      <w:r>
        <w:rPr>
          <w:rFonts w:hint="eastAsia" w:ascii="方正楷体_GBK" w:hAnsi="方正楷体_GBK" w:eastAsia="方正楷体_GBK" w:cs="方正楷体_GBK"/>
          <w:b/>
          <w:bCs/>
          <w:color w:val="auto"/>
          <w:sz w:val="32"/>
          <w:szCs w:val="32"/>
          <w:highlight w:val="none"/>
        </w:rPr>
        <w:t>）项目总体评价结论</w:t>
      </w:r>
      <w:bookmarkEnd w:id="23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较规范，绩效目标合理，绩效指标明确，项目管理制度较健全，项目缺少相关的会议纪要材料，项目材料归档不完整。项目预算资金194.00万元，实际支出194.00万元，预算资金执行率100%。资金使用程序较规范，能够做到专款专用，未发现截留、挤占、挪用、虚列支出等情况。通过本项目的实施</w:t>
      </w:r>
      <w:r>
        <w:rPr>
          <w:rFonts w:hint="eastAsia" w:ascii="方正仿宋_GBK" w:hAnsi="方正仿宋_GBK" w:eastAsia="方正仿宋_GBK" w:cs="方正仿宋_GBK"/>
          <w:b w:val="0"/>
          <w:bCs w:val="0"/>
          <w:kern w:val="0"/>
          <w:sz w:val="32"/>
          <w:szCs w:val="32"/>
          <w:lang w:val="en-US" w:eastAsia="zh-CN" w:bidi="ar-SA"/>
        </w:rPr>
        <w:t>推行林长制，开展大规模国土绿化行动，提升生态系统碳汇能力。深入实施三北防护林体系建设，巩固防沙治沙成果。加强公益林和天然林保护修复，继续实施退耕还林还草、退牧还草、退地还水，逐步实施草原禁牧和草畜平衡，健全耕地休耕轮作制度。</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lang w:val="en-US" w:eastAsia="zh-CN"/>
        </w:rPr>
      </w:pPr>
      <w:bookmarkStart w:id="234" w:name="_Toc30493"/>
      <w:bookmarkStart w:id="235" w:name="_Toc28749"/>
      <w:bookmarkStart w:id="236" w:name="_Toc28299"/>
      <w:bookmarkStart w:id="237" w:name="_Toc25630"/>
      <w:r>
        <w:rPr>
          <w:rFonts w:hint="eastAsia" w:ascii="方正黑体_GBK" w:hAnsi="方正黑体_GBK" w:eastAsia="方正黑体_GBK" w:cs="方正黑体_GBK"/>
          <w:color w:val="auto"/>
          <w:sz w:val="32"/>
          <w:szCs w:val="32"/>
          <w:highlight w:val="none"/>
        </w:rPr>
        <w:t>五、</w:t>
      </w:r>
      <w:bookmarkEnd w:id="234"/>
      <w:bookmarkEnd w:id="235"/>
      <w:r>
        <w:rPr>
          <w:rFonts w:hint="eastAsia" w:ascii="方正黑体_GBK" w:hAnsi="方正黑体_GBK" w:eastAsia="方正黑体_GBK" w:cs="方正黑体_GBK"/>
          <w:color w:val="auto"/>
          <w:sz w:val="32"/>
          <w:szCs w:val="32"/>
          <w:highlight w:val="none"/>
          <w:lang w:val="en-US" w:eastAsia="zh-CN"/>
        </w:rPr>
        <w:t>问题及建议</w:t>
      </w:r>
      <w:bookmarkEnd w:id="236"/>
      <w:bookmarkEnd w:id="237"/>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238" w:name="_Toc30930"/>
      <w:bookmarkStart w:id="239" w:name="_Toc24287"/>
      <w:bookmarkStart w:id="240" w:name="_Toc21397"/>
      <w:bookmarkStart w:id="241" w:name="_Toc8617"/>
      <w:bookmarkStart w:id="242" w:name="_Toc14039"/>
      <w:r>
        <w:rPr>
          <w:rFonts w:hint="eastAsia" w:ascii="方正楷体_GBK" w:hAnsi="方正楷体_GBK" w:eastAsia="方正楷体_GBK" w:cs="方正楷体_GBK"/>
          <w:b/>
          <w:bCs/>
          <w:color w:val="auto"/>
          <w:sz w:val="32"/>
          <w:szCs w:val="32"/>
        </w:rPr>
        <w:t>（一）问题</w:t>
      </w:r>
      <w:bookmarkEnd w:id="238"/>
      <w:bookmarkEnd w:id="239"/>
      <w:bookmarkEnd w:id="240"/>
      <w:bookmarkEnd w:id="241"/>
    </w:p>
    <w:p>
      <w:pPr>
        <w:pStyle w:val="31"/>
        <w:pageBreakBefore w:val="0"/>
        <w:kinsoku/>
        <w:wordWrap/>
        <w:overflowPunct/>
        <w:topLinePunct w:val="0"/>
        <w:autoSpaceDE/>
        <w:autoSpaceDN/>
        <w:bidi w:val="0"/>
        <w:adjustRightInd w:val="0"/>
        <w:snapToGrid w:val="0"/>
        <w:spacing w:line="560" w:lineRule="exact"/>
        <w:outlineLvl w:val="1"/>
        <w:rPr>
          <w:rFonts w:hint="eastAsia" w:ascii="Times New Roman" w:hAnsi="Times New Roman" w:eastAsia="仿宋_GB2312" w:cs="仿宋_GB2312"/>
          <w:color w:val="auto"/>
          <w:sz w:val="32"/>
          <w:szCs w:val="32"/>
          <w:highlight w:val="none"/>
          <w:lang w:val="en-US" w:eastAsia="zh-CN"/>
        </w:rPr>
      </w:pPr>
      <w:bookmarkStart w:id="243" w:name="_Toc346"/>
      <w:bookmarkStart w:id="244" w:name="_Toc18576"/>
      <w:bookmarkStart w:id="245" w:name="_Toc17080"/>
      <w:bookmarkStart w:id="246" w:name="_Toc7750"/>
      <w:bookmarkStart w:id="247" w:name="_Toc31482"/>
      <w:bookmarkStart w:id="248" w:name="_Toc29616"/>
      <w:r>
        <w:rPr>
          <w:rFonts w:hint="eastAsia" w:ascii="Times New Roman" w:hAnsi="Times New Roman" w:eastAsia="仿宋_GB2312" w:cs="仿宋_GB2312"/>
          <w:color w:val="auto"/>
          <w:sz w:val="32"/>
          <w:szCs w:val="32"/>
          <w:highlight w:val="none"/>
          <w:lang w:val="en-US" w:eastAsia="zh-CN"/>
        </w:rPr>
        <w:t>该项目缺少相关的会议纪要材料，项目材料归档不完整。</w:t>
      </w:r>
      <w:bookmarkEnd w:id="243"/>
      <w:bookmarkEnd w:id="244"/>
      <w:bookmarkEnd w:id="245"/>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249" w:name="_Toc12774"/>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二</w:t>
      </w:r>
      <w:r>
        <w:rPr>
          <w:rFonts w:hint="eastAsia" w:ascii="方正楷体_GBK" w:hAnsi="方正楷体_GBK" w:eastAsia="方正楷体_GBK" w:cs="方正楷体_GBK"/>
          <w:b/>
          <w:bCs/>
          <w:color w:val="auto"/>
          <w:sz w:val="32"/>
          <w:szCs w:val="32"/>
        </w:rPr>
        <w:t>）意见和建议</w:t>
      </w:r>
      <w:bookmarkEnd w:id="246"/>
      <w:bookmarkEnd w:id="247"/>
      <w:bookmarkEnd w:id="248"/>
      <w:bookmarkEnd w:id="249"/>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Times New Roman" w:hAnsi="Times New Roman" w:eastAsia="仿宋_GB2312" w:cs="仿宋_GB2312"/>
          <w:color w:val="auto"/>
          <w:sz w:val="32"/>
          <w:szCs w:val="32"/>
          <w:lang w:val="en-US" w:eastAsia="zh-CN" w:bidi="ar"/>
        </w:rPr>
      </w:pPr>
      <w:bookmarkStart w:id="250" w:name="_Toc6923"/>
      <w:bookmarkStart w:id="251" w:name="_Toc15694"/>
      <w:bookmarkStart w:id="252" w:name="_Toc23669"/>
      <w:bookmarkStart w:id="253" w:name="_Toc21221"/>
      <w:r>
        <w:rPr>
          <w:rFonts w:hint="eastAsia" w:ascii="Times New Roman" w:hAnsi="Times New Roman" w:eastAsia="仿宋_GB2312" w:cs="仿宋_GB2312"/>
          <w:color w:val="auto"/>
          <w:sz w:val="32"/>
          <w:szCs w:val="32"/>
          <w:lang w:val="en-US" w:eastAsia="zh-CN" w:bidi="ar"/>
        </w:rPr>
        <w:t>加强项目管理工作，按项目实施节点及时将项目材料归档，确保项目资料完整性。</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六、主要经验及做法</w:t>
      </w:r>
      <w:bookmarkEnd w:id="242"/>
      <w:bookmarkEnd w:id="250"/>
      <w:bookmarkEnd w:id="251"/>
      <w:bookmarkEnd w:id="252"/>
      <w:bookmarkEnd w:id="253"/>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default" w:ascii="方正楷体_GBK" w:hAnsi="方正楷体_GBK" w:eastAsia="方正楷体_GBK" w:cs="方正楷体_GBK"/>
          <w:b/>
          <w:bCs/>
          <w:color w:val="auto"/>
          <w:sz w:val="32"/>
          <w:szCs w:val="32"/>
          <w:lang w:val="en-US" w:eastAsia="zh-CN"/>
        </w:rPr>
      </w:pPr>
      <w:bookmarkStart w:id="254" w:name="_Toc9446"/>
      <w:bookmarkStart w:id="255" w:name="_Toc14707"/>
      <w:bookmarkStart w:id="256" w:name="_Toc30107"/>
      <w:bookmarkStart w:id="257" w:name="_Toc4035"/>
      <w:bookmarkStart w:id="258" w:name="_Toc32767"/>
      <w:bookmarkStart w:id="259" w:name="_Toc24288"/>
      <w:bookmarkStart w:id="260" w:name="_Toc7837"/>
      <w:bookmarkStart w:id="261" w:name="_Toc22725"/>
      <w:bookmarkStart w:id="262" w:name="_Toc14723"/>
      <w:r>
        <w:rPr>
          <w:rFonts w:hint="eastAsia" w:ascii="方正楷体_GBK" w:hAnsi="方正楷体_GBK" w:eastAsia="方正楷体_GBK" w:cs="方正楷体_GBK"/>
          <w:b/>
          <w:bCs/>
          <w:color w:val="auto"/>
          <w:sz w:val="32"/>
          <w:szCs w:val="32"/>
          <w:lang w:val="en-US" w:eastAsia="zh-CN"/>
        </w:rPr>
        <w:t>（一）项目实施过程有效</w:t>
      </w:r>
      <w:bookmarkEnd w:id="254"/>
      <w:r>
        <w:rPr>
          <w:rFonts w:hint="eastAsia" w:ascii="方正楷体_GBK" w:hAnsi="方正楷体_GBK" w:eastAsia="方正楷体_GBK" w:cs="方正楷体_GBK"/>
          <w:b/>
          <w:bCs/>
          <w:color w:val="auto"/>
          <w:sz w:val="32"/>
          <w:szCs w:val="32"/>
          <w:lang w:val="en-US" w:eastAsia="zh-CN"/>
        </w:rPr>
        <w:t>监督</w:t>
      </w:r>
      <w:bookmarkStart w:id="333" w:name="_GoBack"/>
      <w:bookmarkEnd w:id="33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63" w:name="_Toc2039"/>
      <w:r>
        <w:rPr>
          <w:rFonts w:hint="eastAsia" w:ascii="仿宋_GB2312" w:hAnsi="仿宋_GB2312" w:eastAsia="仿宋_GB2312" w:cs="仿宋_GB2312"/>
          <w:color w:val="auto"/>
          <w:sz w:val="32"/>
          <w:szCs w:val="32"/>
          <w:highlight w:val="none"/>
          <w:lang w:val="en-US" w:eastAsia="zh-CN"/>
        </w:rPr>
        <w:t>疏附县财政局针对项目实施全过程进行绩效管理；根据专项资金管理工作，实行项目预算执行率与工作完成进度开展绩效双监督工作，并全面把握资金使用效率和项目实施开展进度，督促相关责任人按期保质完成工作。</w:t>
      </w:r>
      <w:bookmarkEnd w:id="263"/>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264" w:name="_Toc31804"/>
      <w:r>
        <w:rPr>
          <w:rFonts w:hint="eastAsia" w:ascii="方正楷体_GBK" w:hAnsi="方正楷体_GBK" w:eastAsia="方正楷体_GBK" w:cs="方正楷体_GBK"/>
          <w:b/>
          <w:bCs/>
          <w:color w:val="auto"/>
          <w:sz w:val="32"/>
          <w:szCs w:val="32"/>
          <w:lang w:val="en-US" w:eastAsia="zh-CN"/>
        </w:rPr>
        <w:t>（二）强化领导，明确职责，合理安排使用资金</w:t>
      </w:r>
      <w:bookmarkEnd w:id="26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65" w:name="_Toc3314"/>
      <w:r>
        <w:rPr>
          <w:rFonts w:hint="eastAsia" w:ascii="仿宋_GB2312" w:hAnsi="仿宋_GB2312" w:eastAsia="仿宋_GB2312" w:cs="仿宋_GB2312"/>
          <w:color w:val="auto"/>
          <w:sz w:val="32"/>
          <w:szCs w:val="32"/>
          <w:highlight w:val="none"/>
          <w:lang w:val="en-US" w:eastAsia="zh-CN"/>
        </w:rPr>
        <w:t>疏附县自然资源局按照财务管理制度，认真落实项目工作任务，资金安排、资金配套数额、项目监管制度等方面做出了相应的规定，并高度重视，提高政治站位，牢固树立“花钱必问效、无效必问责”的绩效理念，切实增强绩效管理工作的主动性、积极性，对项目资金进行监管，从而提高资金的效益。</w:t>
      </w:r>
      <w:bookmarkEnd w:id="265"/>
    </w:p>
    <w:p>
      <w:pPr>
        <w:pageBreakBefore w:val="0"/>
        <w:tabs>
          <w:tab w:val="left" w:pos="938"/>
        </w:tabs>
        <w:kinsoku/>
        <w:wordWrap/>
        <w:overflowPunct/>
        <w:topLinePunct w:val="0"/>
        <w:autoSpaceDE/>
        <w:autoSpaceDN/>
        <w:bidi w:val="0"/>
        <w:spacing w:line="560" w:lineRule="exact"/>
        <w:ind w:firstLine="640" w:firstLineChars="200"/>
        <w:outlineLvl w:val="0"/>
        <w:rPr>
          <w:rFonts w:hint="eastAsia" w:ascii="方正黑体_GBK" w:hAnsi="方正黑体_GBK" w:eastAsia="方正黑体_GBK" w:cs="方正黑体_GBK"/>
          <w:b w:val="0"/>
          <w:bCs w:val="0"/>
          <w:color w:val="auto"/>
          <w:sz w:val="32"/>
          <w:szCs w:val="32"/>
          <w:highlight w:val="none"/>
        </w:rPr>
      </w:pPr>
      <w:bookmarkStart w:id="266" w:name="_Toc110"/>
      <w:r>
        <w:rPr>
          <w:rFonts w:hint="eastAsia" w:ascii="方正黑体_GBK" w:hAnsi="方正黑体_GBK" w:eastAsia="方正黑体_GBK" w:cs="方正黑体_GBK"/>
          <w:b w:val="0"/>
          <w:bCs w:val="0"/>
          <w:color w:val="auto"/>
          <w:sz w:val="32"/>
          <w:szCs w:val="32"/>
          <w:highlight w:val="none"/>
        </w:rPr>
        <w:t>七、评价结果应用建议</w:t>
      </w:r>
      <w:bookmarkEnd w:id="255"/>
      <w:bookmarkEnd w:id="256"/>
      <w:bookmarkEnd w:id="257"/>
      <w:bookmarkEnd w:id="258"/>
      <w:bookmarkEnd w:id="266"/>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267" w:name="_Toc4603"/>
      <w:bookmarkStart w:id="268" w:name="_Toc10895"/>
      <w:bookmarkStart w:id="269" w:name="_Toc9396"/>
      <w:bookmarkStart w:id="270" w:name="_Toc11824"/>
      <w:r>
        <w:rPr>
          <w:rFonts w:hint="eastAsia" w:ascii="方正楷体_GBK" w:hAnsi="方正楷体_GBK" w:eastAsia="方正楷体_GBK" w:cs="方正楷体_GBK"/>
          <w:b/>
          <w:bCs/>
          <w:color w:val="auto"/>
          <w:sz w:val="32"/>
          <w:szCs w:val="32"/>
        </w:rPr>
        <w:t>（一）及时对发现的问题进行整改</w:t>
      </w:r>
      <w:bookmarkEnd w:id="259"/>
      <w:bookmarkEnd w:id="267"/>
      <w:bookmarkEnd w:id="268"/>
      <w:bookmarkEnd w:id="269"/>
      <w:bookmarkEnd w:id="27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针对绩效评价中发现的问题，建议疏附县自然资源局对存在的问题进行梳理，对能够整改的问题及时进行整改，不能整改的问题以后加强管理，切实提高财政资源配置效率和使用效益。</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271" w:name="_Toc32288"/>
      <w:bookmarkStart w:id="272" w:name="_Toc12708"/>
      <w:bookmarkStart w:id="273" w:name="_Toc12015"/>
      <w:bookmarkStart w:id="274" w:name="_Toc31513"/>
      <w:bookmarkStart w:id="275" w:name="_Toc7529"/>
      <w:r>
        <w:rPr>
          <w:rFonts w:hint="eastAsia" w:ascii="方正楷体_GBK" w:hAnsi="方正楷体_GBK" w:eastAsia="方正楷体_GBK" w:cs="方正楷体_GBK"/>
          <w:b/>
          <w:bCs/>
          <w:color w:val="auto"/>
          <w:sz w:val="32"/>
          <w:szCs w:val="32"/>
          <w:lang w:eastAsia="zh-CN"/>
        </w:rPr>
        <w:t>（</w:t>
      </w:r>
      <w:r>
        <w:rPr>
          <w:rFonts w:hint="eastAsia" w:ascii="方正楷体_GBK" w:hAnsi="方正楷体_GBK" w:eastAsia="方正楷体_GBK" w:cs="方正楷体_GBK"/>
          <w:b/>
          <w:bCs/>
          <w:color w:val="auto"/>
          <w:sz w:val="32"/>
          <w:szCs w:val="32"/>
          <w:lang w:val="en-US" w:eastAsia="zh-CN"/>
        </w:rPr>
        <w:t>二</w:t>
      </w:r>
      <w:r>
        <w:rPr>
          <w:rFonts w:hint="eastAsia" w:ascii="方正楷体_GBK" w:hAnsi="方正楷体_GBK" w:eastAsia="方正楷体_GBK" w:cs="方正楷体_GBK"/>
          <w:b/>
          <w:bCs/>
          <w:color w:val="auto"/>
          <w:sz w:val="32"/>
          <w:szCs w:val="32"/>
          <w:lang w:eastAsia="zh-CN"/>
        </w:rPr>
        <w:t>）</w:t>
      </w:r>
      <w:r>
        <w:rPr>
          <w:rFonts w:hint="eastAsia" w:ascii="方正楷体_GBK" w:hAnsi="方正楷体_GBK" w:eastAsia="方正楷体_GBK" w:cs="方正楷体_GBK"/>
          <w:b/>
          <w:bCs/>
          <w:color w:val="auto"/>
          <w:sz w:val="32"/>
          <w:szCs w:val="32"/>
        </w:rPr>
        <w:t>建立绩效评价结果应用制度</w:t>
      </w:r>
      <w:bookmarkEnd w:id="271"/>
      <w:bookmarkEnd w:id="272"/>
      <w:bookmarkEnd w:id="273"/>
      <w:bookmarkEnd w:id="274"/>
      <w:bookmarkEnd w:id="275"/>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此次绩效评价结果作为以后年度建设资金分配的重要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1.建议建立实施绩效评价结果公开制度（结果反馈制度、结果共享制度、结果报告制度、结果公示制度）；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2.建议建立绩效评价结果通报、约谈和问责机制；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3.建议建立绩效评价结果在部门预算中激励与约束挂钩机制；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4.建议建立评价结果惩处机制。</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eastAsia="zh-CN"/>
        </w:rPr>
      </w:pPr>
      <w:bookmarkStart w:id="276" w:name="_Toc20108"/>
      <w:bookmarkStart w:id="277" w:name="_Toc2200"/>
      <w:bookmarkStart w:id="278" w:name="_Toc11905"/>
      <w:bookmarkStart w:id="279" w:name="_Toc4538"/>
      <w:bookmarkStart w:id="280" w:name="_Toc10628"/>
      <w:r>
        <w:rPr>
          <w:rFonts w:hint="eastAsia" w:ascii="方正楷体_GBK" w:hAnsi="方正楷体_GBK" w:eastAsia="方正楷体_GBK" w:cs="方正楷体_GBK"/>
          <w:b/>
          <w:bCs/>
          <w:color w:val="auto"/>
          <w:sz w:val="32"/>
          <w:szCs w:val="32"/>
          <w:lang w:eastAsia="zh-CN"/>
        </w:rPr>
        <w:t>（三）</w:t>
      </w:r>
      <w:r>
        <w:rPr>
          <w:rFonts w:hint="eastAsia" w:ascii="方正楷体_GBK" w:hAnsi="方正楷体_GBK" w:eastAsia="方正楷体_GBK" w:cs="方正楷体_GBK"/>
          <w:b/>
          <w:bCs/>
          <w:color w:val="auto"/>
          <w:sz w:val="32"/>
          <w:szCs w:val="32"/>
          <w:lang w:val="en-US" w:eastAsia="zh-CN"/>
        </w:rPr>
        <w:t>强化</w:t>
      </w:r>
      <w:r>
        <w:rPr>
          <w:rFonts w:hint="eastAsia" w:ascii="方正楷体_GBK" w:hAnsi="方正楷体_GBK" w:eastAsia="方正楷体_GBK" w:cs="方正楷体_GBK"/>
          <w:b/>
          <w:bCs/>
          <w:color w:val="auto"/>
          <w:sz w:val="32"/>
          <w:szCs w:val="32"/>
          <w:lang w:eastAsia="zh-CN"/>
        </w:rPr>
        <w:t>绩效评价结果应用</w:t>
      </w:r>
      <w:bookmarkEnd w:id="276"/>
      <w:bookmarkEnd w:id="277"/>
      <w:bookmarkEnd w:id="278"/>
      <w:bookmarkEnd w:id="279"/>
      <w:bookmarkEnd w:id="28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一是严格落实评价结果与预算安排挂钩制度，严格执行《喀什地区财政支出绩效评价结果应用暂行办法》文件规定，充分应用评价结果，对低效无效资金一律削减或取消。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二是将此次评价工作开展情况及评价结果纳入喀什地区全面实施预算绩效管理年度综合评价考核范畴，年终形成总结报告，上报地委、行署和地区人大。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三是进一步加大对评价结果的应用，疏附县2022年度的绩效评价情况可作为以后年度部门单位项目预算编制和安排财政资金的重要依据。</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281" w:name="_Toc13172"/>
      <w:bookmarkStart w:id="282" w:name="_Toc32162"/>
      <w:bookmarkStart w:id="283" w:name="_Toc31056"/>
      <w:bookmarkStart w:id="284" w:name="_Toc25550"/>
      <w:bookmarkStart w:id="285" w:name="_Toc29807"/>
      <w:r>
        <w:rPr>
          <w:rFonts w:hint="eastAsia" w:ascii="方正楷体_GBK" w:hAnsi="方正楷体_GBK" w:eastAsia="方正楷体_GBK" w:cs="方正楷体_GBK"/>
          <w:b/>
          <w:bCs/>
          <w:color w:val="auto"/>
          <w:sz w:val="32"/>
          <w:szCs w:val="32"/>
          <w:lang w:val="en-US" w:eastAsia="zh-CN"/>
        </w:rPr>
        <w:t>（四）评价结果公开</w:t>
      </w:r>
      <w:bookmarkEnd w:id="281"/>
      <w:bookmarkEnd w:id="282"/>
      <w:bookmarkEnd w:id="283"/>
      <w:bookmarkEnd w:id="284"/>
      <w:bookmarkEnd w:id="285"/>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建议按照政府信息公开管理的相关规定将绩效评价结果向社会公开评价结果，提高工作透明度，接受社会公众的监督。</w:t>
      </w:r>
      <w:bookmarkEnd w:id="260"/>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286" w:name="_Toc11652"/>
      <w:bookmarkStart w:id="287" w:name="_Toc5951"/>
      <w:bookmarkStart w:id="288" w:name="_Toc307"/>
      <w:bookmarkStart w:id="289" w:name="_Toc15490"/>
      <w:r>
        <w:rPr>
          <w:rFonts w:hint="eastAsia" w:ascii="方正黑体_GBK" w:hAnsi="方正黑体_GBK" w:eastAsia="方正黑体_GBK" w:cs="方正黑体_GBK"/>
          <w:color w:val="auto"/>
          <w:sz w:val="32"/>
          <w:szCs w:val="32"/>
          <w:highlight w:val="none"/>
          <w:lang w:val="en-US" w:eastAsia="zh-CN"/>
        </w:rPr>
        <w:t>八、</w:t>
      </w:r>
      <w:r>
        <w:rPr>
          <w:rFonts w:hint="eastAsia" w:ascii="方正黑体_GBK" w:hAnsi="方正黑体_GBK" w:eastAsia="方正黑体_GBK" w:cs="方正黑体_GBK"/>
          <w:color w:val="auto"/>
          <w:sz w:val="32"/>
          <w:szCs w:val="32"/>
          <w:highlight w:val="none"/>
        </w:rPr>
        <w:t>其他需</w:t>
      </w:r>
      <w:r>
        <w:rPr>
          <w:rFonts w:hint="eastAsia" w:ascii="方正黑体_GBK" w:hAnsi="方正黑体_GBK" w:eastAsia="方正黑体_GBK" w:cs="方正黑体_GBK"/>
          <w:color w:val="auto"/>
          <w:sz w:val="32"/>
          <w:szCs w:val="32"/>
          <w:highlight w:val="none"/>
          <w:lang w:val="en-US" w:eastAsia="zh-CN"/>
        </w:rPr>
        <w:t>要</w:t>
      </w:r>
      <w:r>
        <w:rPr>
          <w:rFonts w:hint="eastAsia" w:ascii="方正黑体_GBK" w:hAnsi="方正黑体_GBK" w:eastAsia="方正黑体_GBK" w:cs="方正黑体_GBK"/>
          <w:color w:val="auto"/>
          <w:sz w:val="32"/>
          <w:szCs w:val="32"/>
          <w:highlight w:val="none"/>
        </w:rPr>
        <w:t>说明的问题</w:t>
      </w:r>
      <w:bookmarkEnd w:id="261"/>
      <w:bookmarkEnd w:id="262"/>
      <w:bookmarkEnd w:id="286"/>
      <w:bookmarkEnd w:id="287"/>
      <w:bookmarkEnd w:id="288"/>
      <w:bookmarkEnd w:id="28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第一，该项目部分间接产生的效果无法准确在短期内衡量，因此很难认定项目产生的全部效果。通过指标来反映绩效，指标的科学性和全面性需要不断地完善和研究。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color w:val="auto"/>
          <w:sz w:val="32"/>
          <w:szCs w:val="32"/>
          <w:lang w:val="en-US" w:eastAsia="zh-CN" w:bidi="ar"/>
        </w:rPr>
      </w:pPr>
      <w:r>
        <w:rPr>
          <w:rFonts w:hint="eastAsia" w:ascii="仿宋_GB2312" w:hAnsi="仿宋_GB2312" w:eastAsia="仿宋_GB2312" w:cs="仿宋_GB2312"/>
          <w:color w:val="auto"/>
          <w:sz w:val="32"/>
          <w:szCs w:val="32"/>
          <w:highlight w:val="none"/>
          <w:lang w:val="en-US" w:eastAsia="zh-CN"/>
        </w:rPr>
        <w:t>第五，各级财政部门、预算部门和单位及其工作人员在绩效评价管理工作中存在违反《项目支出绩效评价管理办法》文件行为，以及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rPr>
      </w:pPr>
      <w:bookmarkStart w:id="290" w:name="_Toc27879"/>
      <w:bookmarkStart w:id="291" w:name="_Toc19441"/>
      <w:bookmarkStart w:id="292" w:name="_Toc8043"/>
      <w:bookmarkStart w:id="293" w:name="_Toc6576"/>
      <w:r>
        <w:rPr>
          <w:rFonts w:hint="eastAsia" w:ascii="方正黑体_GBK" w:hAnsi="方正黑体_GBK" w:eastAsia="方正黑体_GBK" w:cs="方正黑体_GBK"/>
          <w:color w:val="auto"/>
          <w:sz w:val="32"/>
          <w:szCs w:val="32"/>
          <w:highlight w:val="none"/>
        </w:rPr>
        <w:t>九、附件</w:t>
      </w:r>
      <w:bookmarkEnd w:id="290"/>
      <w:bookmarkEnd w:id="291"/>
      <w:bookmarkEnd w:id="292"/>
      <w:bookmarkEnd w:id="293"/>
    </w:p>
    <w:bookmarkEnd w:id="87"/>
    <w:p>
      <w:pPr>
        <w:pStyle w:val="31"/>
        <w:pageBreakBefore w:val="0"/>
        <w:numPr>
          <w:ilvl w:val="0"/>
          <w:numId w:val="3"/>
        </w:numPr>
        <w:kinsoku/>
        <w:wordWrap/>
        <w:overflowPunct/>
        <w:topLinePunct w:val="0"/>
        <w:autoSpaceDE/>
        <w:autoSpaceDN/>
        <w:bidi w:val="0"/>
        <w:adjustRightInd w:val="0"/>
        <w:snapToGrid w:val="0"/>
        <w:spacing w:line="560" w:lineRule="exact"/>
        <w:ind w:left="0" w:firstLine="643" w:firstLineChars="200"/>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附件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94" w:name="_Toc5066"/>
      <w:bookmarkStart w:id="295" w:name="_Toc9070"/>
      <w:bookmarkStart w:id="296" w:name="_Toc13969"/>
      <w:bookmarkStart w:id="297" w:name="_Toc3379"/>
      <w:bookmarkStart w:id="298" w:name="_Toc5028"/>
      <w:bookmarkStart w:id="299" w:name="_Toc9918"/>
      <w:bookmarkStart w:id="300" w:name="_Toc39"/>
      <w:bookmarkStart w:id="301" w:name="_Toc18298"/>
      <w:bookmarkStart w:id="302" w:name="_Toc7782"/>
      <w:bookmarkStart w:id="303" w:name="_Toc11837"/>
      <w:bookmarkStart w:id="304" w:name="_Toc11156"/>
      <w:bookmarkStart w:id="305" w:name="_Toc25144"/>
      <w:r>
        <w:rPr>
          <w:rFonts w:hint="eastAsia" w:ascii="仿宋_GB2312" w:hAnsi="仿宋_GB2312" w:eastAsia="仿宋_GB2312" w:cs="仿宋_GB2312"/>
          <w:color w:val="auto"/>
          <w:sz w:val="32"/>
          <w:szCs w:val="32"/>
          <w:highlight w:val="none"/>
          <w:lang w:val="en-US" w:eastAsia="zh-CN"/>
        </w:rPr>
        <w:t>附件一、草原管护员补助项目支出绩效评价指标体系</w:t>
      </w:r>
      <w:bookmarkEnd w:id="294"/>
      <w:bookmarkEnd w:id="295"/>
      <w:bookmarkEnd w:id="296"/>
      <w:bookmarkEnd w:id="297"/>
      <w:bookmarkEnd w:id="298"/>
      <w:bookmarkEnd w:id="299"/>
      <w:bookmarkEnd w:id="300"/>
      <w:bookmarkEnd w:id="301"/>
      <w:bookmarkEnd w:id="302"/>
      <w:bookmarkEnd w:id="303"/>
      <w:bookmarkEnd w:id="304"/>
      <w:bookmarkEnd w:id="305"/>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306" w:name="_Toc5268"/>
      <w:bookmarkStart w:id="307" w:name="_Toc17647"/>
      <w:bookmarkStart w:id="308" w:name="_Toc21178"/>
      <w:bookmarkStart w:id="309" w:name="_Toc32762"/>
      <w:bookmarkStart w:id="310" w:name="_Toc31506"/>
      <w:bookmarkStart w:id="311" w:name="_Toc11659"/>
      <w:bookmarkStart w:id="312" w:name="_Toc32360"/>
      <w:bookmarkStart w:id="313" w:name="_Toc19426"/>
      <w:bookmarkStart w:id="314" w:name="_Toc1808"/>
      <w:bookmarkStart w:id="315" w:name="_Toc5753"/>
      <w:bookmarkStart w:id="316" w:name="_Toc25779"/>
      <w:bookmarkStart w:id="317" w:name="_Toc16488"/>
      <w:r>
        <w:rPr>
          <w:rFonts w:hint="eastAsia" w:ascii="仿宋_GB2312" w:hAnsi="仿宋_GB2312" w:eastAsia="仿宋_GB2312" w:cs="仿宋_GB2312"/>
          <w:color w:val="auto"/>
          <w:sz w:val="32"/>
          <w:szCs w:val="32"/>
          <w:highlight w:val="none"/>
          <w:lang w:val="en-US" w:eastAsia="zh-CN"/>
        </w:rPr>
        <w:t>附件二、草原管护员补助项目资金使用明细表</w:t>
      </w:r>
      <w:bookmarkEnd w:id="306"/>
      <w:bookmarkEnd w:id="307"/>
      <w:bookmarkEnd w:id="308"/>
      <w:bookmarkEnd w:id="309"/>
      <w:bookmarkEnd w:id="310"/>
      <w:bookmarkEnd w:id="311"/>
      <w:bookmarkEnd w:id="312"/>
      <w:bookmarkEnd w:id="313"/>
      <w:bookmarkEnd w:id="314"/>
      <w:bookmarkEnd w:id="315"/>
      <w:bookmarkEnd w:id="316"/>
      <w:bookmarkEnd w:id="31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318" w:name="_Toc16544"/>
      <w:bookmarkStart w:id="319" w:name="_Toc4736"/>
      <w:bookmarkStart w:id="320" w:name="_Toc27354"/>
      <w:bookmarkStart w:id="321" w:name="_Toc13955"/>
      <w:bookmarkStart w:id="322" w:name="_Toc22995"/>
      <w:bookmarkStart w:id="323" w:name="_Toc6934"/>
      <w:bookmarkStart w:id="324" w:name="_Toc27746"/>
      <w:bookmarkStart w:id="325" w:name="_Toc14206"/>
      <w:bookmarkStart w:id="326" w:name="_Toc23835"/>
      <w:bookmarkStart w:id="327" w:name="_Toc26905"/>
      <w:bookmarkStart w:id="328" w:name="_Toc21161"/>
      <w:bookmarkStart w:id="329" w:name="_Toc27332"/>
      <w:r>
        <w:rPr>
          <w:rFonts w:hint="eastAsia" w:ascii="仿宋_GB2312" w:hAnsi="仿宋_GB2312" w:eastAsia="仿宋_GB2312" w:cs="仿宋_GB2312"/>
          <w:color w:val="auto"/>
          <w:sz w:val="32"/>
          <w:szCs w:val="32"/>
          <w:highlight w:val="none"/>
          <w:lang w:val="en-US" w:eastAsia="zh-CN"/>
        </w:rPr>
        <w:t>附件三、</w:t>
      </w:r>
      <w:bookmarkEnd w:id="318"/>
      <w:bookmarkEnd w:id="319"/>
      <w:bookmarkEnd w:id="320"/>
      <w:bookmarkEnd w:id="321"/>
      <w:bookmarkEnd w:id="322"/>
      <w:bookmarkEnd w:id="323"/>
      <w:bookmarkEnd w:id="324"/>
      <w:bookmarkEnd w:id="325"/>
      <w:bookmarkEnd w:id="326"/>
      <w:bookmarkEnd w:id="327"/>
      <w:bookmarkEnd w:id="328"/>
      <w:bookmarkEnd w:id="329"/>
      <w:bookmarkStart w:id="330" w:name="_Toc16822"/>
      <w:bookmarkStart w:id="331" w:name="_Toc20564"/>
      <w:bookmarkStart w:id="332" w:name="_Toc18769"/>
      <w:r>
        <w:rPr>
          <w:rFonts w:hint="eastAsia" w:ascii="仿宋_GB2312" w:hAnsi="仿宋_GB2312" w:eastAsia="仿宋_GB2312" w:cs="仿宋_GB2312"/>
          <w:color w:val="auto"/>
          <w:sz w:val="32"/>
          <w:szCs w:val="32"/>
          <w:highlight w:val="none"/>
          <w:lang w:val="en-US" w:eastAsia="zh-CN"/>
        </w:rPr>
        <w:t>草原管护员补助项目绩效评价调查问卷统计表</w:t>
      </w:r>
    </w:p>
    <w:bookmarkEnd w:id="330"/>
    <w:bookmarkEnd w:id="331"/>
    <w:bookmarkEnd w:id="332"/>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960" w:firstLineChars="300"/>
        <w:jc w:val="right"/>
        <w:textAlignment w:val="auto"/>
        <w:outlineLvl w:val="1"/>
        <w:rPr>
          <w:rFonts w:hint="eastAsia" w:ascii="仿宋_GB2312" w:hAnsi="仿宋_GB2312" w:eastAsia="仿宋_GB2312" w:cs="仿宋_GB2312"/>
          <w:color w:val="auto"/>
          <w:sz w:val="32"/>
          <w:szCs w:val="32"/>
          <w:highlight w:val="none"/>
          <w:lang w:bidi="ar"/>
        </w:rPr>
      </w:pP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960" w:firstLineChars="300"/>
        <w:jc w:val="right"/>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中瑞诚会计师事务所（特殊普通合伙）喀什分所</w:t>
      </w:r>
    </w:p>
    <w:p>
      <w:pPr>
        <w:pageBreakBefore w:val="0"/>
        <w:kinsoku/>
        <w:wordWrap/>
        <w:overflowPunct/>
        <w:topLinePunct w:val="0"/>
        <w:autoSpaceDE/>
        <w:autoSpaceDN/>
        <w:bidi w:val="0"/>
        <w:spacing w:line="560" w:lineRule="exact"/>
        <w:ind w:firstLine="640" w:firstLineChars="200"/>
        <w:jc w:val="center"/>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val="en-US" w:eastAsia="zh-CN" w:bidi="ar"/>
        </w:rPr>
        <w:t xml:space="preserve">                   </w:t>
      </w:r>
      <w:r>
        <w:rPr>
          <w:rFonts w:hint="eastAsia" w:ascii="仿宋_GB2312" w:hAnsi="仿宋_GB2312" w:eastAsia="仿宋_GB2312" w:cs="仿宋_GB2312"/>
          <w:color w:val="auto"/>
          <w:sz w:val="32"/>
          <w:szCs w:val="32"/>
          <w:highlight w:val="none"/>
          <w:lang w:eastAsia="zh-CN" w:bidi="ar"/>
        </w:rPr>
        <w:t>202</w:t>
      </w:r>
      <w:r>
        <w:rPr>
          <w:rFonts w:hint="eastAsia" w:ascii="仿宋_GB2312" w:hAnsi="仿宋_GB2312" w:eastAsia="仿宋_GB2312" w:cs="仿宋_GB2312"/>
          <w:color w:val="auto"/>
          <w:sz w:val="32"/>
          <w:szCs w:val="32"/>
          <w:highlight w:val="none"/>
          <w:lang w:val="en-US" w:eastAsia="zh-CN" w:bidi="ar"/>
        </w:rPr>
        <w:t>3</w:t>
      </w:r>
      <w:r>
        <w:rPr>
          <w:rFonts w:hint="eastAsia" w:ascii="仿宋_GB2312" w:hAnsi="仿宋_GB2312" w:eastAsia="仿宋_GB2312" w:cs="仿宋_GB2312"/>
          <w:color w:val="auto"/>
          <w:sz w:val="32"/>
          <w:szCs w:val="32"/>
          <w:highlight w:val="none"/>
          <w:lang w:eastAsia="zh-CN" w:bidi="ar"/>
        </w:rPr>
        <w:t>年</w:t>
      </w:r>
      <w:r>
        <w:rPr>
          <w:rFonts w:hint="eastAsia" w:ascii="仿宋_GB2312" w:hAnsi="仿宋_GB2312" w:eastAsia="仿宋_GB2312" w:cs="仿宋_GB2312"/>
          <w:color w:val="auto"/>
          <w:sz w:val="32"/>
          <w:szCs w:val="32"/>
          <w:highlight w:val="none"/>
          <w:lang w:val="en-US" w:eastAsia="zh-CN" w:bidi="ar"/>
        </w:rPr>
        <w:t>07</w:t>
      </w:r>
      <w:r>
        <w:rPr>
          <w:rFonts w:hint="eastAsia" w:ascii="仿宋_GB2312" w:hAnsi="仿宋_GB2312" w:eastAsia="仿宋_GB2312" w:cs="仿宋_GB2312"/>
          <w:color w:val="auto"/>
          <w:sz w:val="32"/>
          <w:szCs w:val="32"/>
          <w:highlight w:val="none"/>
          <w:lang w:eastAsia="zh-CN" w:bidi="ar"/>
        </w:rPr>
        <w:t>月</w:t>
      </w:r>
      <w:r>
        <w:rPr>
          <w:rFonts w:hint="eastAsia" w:ascii="仿宋_GB2312" w:hAnsi="仿宋_GB2312" w:eastAsia="仿宋_GB2312" w:cs="仿宋_GB2312"/>
          <w:color w:val="auto"/>
          <w:sz w:val="32"/>
          <w:szCs w:val="32"/>
          <w:highlight w:val="none"/>
          <w:lang w:val="en-US" w:eastAsia="zh-CN" w:bidi="ar"/>
        </w:rPr>
        <w:t>11</w:t>
      </w:r>
      <w:r>
        <w:rPr>
          <w:rFonts w:hint="eastAsia" w:ascii="仿宋_GB2312" w:hAnsi="仿宋_GB2312" w:eastAsia="仿宋_GB2312" w:cs="仿宋_GB2312"/>
          <w:color w:val="auto"/>
          <w:sz w:val="32"/>
          <w:szCs w:val="32"/>
          <w:highlight w:val="none"/>
          <w:lang w:eastAsia="zh-CN" w:bidi="ar"/>
        </w:rPr>
        <w:t>日</w:t>
      </w:r>
    </w:p>
    <w:p>
      <w:pPr>
        <w:pStyle w:val="2"/>
        <w:rPr>
          <w:rFonts w:hint="eastAsia" w:ascii="仿宋_GB2312" w:hAnsi="仿宋_GB2312" w:eastAsia="仿宋_GB2312" w:cs="仿宋_GB2312"/>
          <w:color w:val="auto"/>
          <w:sz w:val="32"/>
          <w:szCs w:val="32"/>
          <w:highlight w:val="none"/>
          <w:lang w:eastAsia="zh-CN" w:bidi="ar"/>
        </w:rPr>
      </w:pPr>
    </w:p>
    <w:p>
      <w:pPr>
        <w:rPr>
          <w:rFonts w:hint="eastAsia" w:ascii="仿宋_GB2312" w:hAnsi="仿宋_GB2312" w:eastAsia="仿宋_GB2312" w:cs="仿宋_GB2312"/>
          <w:color w:val="auto"/>
          <w:sz w:val="32"/>
          <w:szCs w:val="32"/>
          <w:highlight w:val="none"/>
          <w:lang w:eastAsia="zh-CN" w:bidi="ar"/>
        </w:rPr>
      </w:pPr>
    </w:p>
    <w:p>
      <w:pPr>
        <w:pStyle w:val="2"/>
        <w:rPr>
          <w:rFonts w:hint="eastAsia" w:ascii="仿宋_GB2312" w:hAnsi="仿宋_GB2312" w:eastAsia="仿宋_GB2312" w:cs="仿宋_GB2312"/>
          <w:color w:val="auto"/>
          <w:sz w:val="32"/>
          <w:szCs w:val="32"/>
          <w:highlight w:val="none"/>
          <w:lang w:eastAsia="zh-CN" w:bidi="ar"/>
        </w:rPr>
      </w:pPr>
    </w:p>
    <w:p>
      <w:pPr>
        <w:rPr>
          <w:rFonts w:hint="eastAsia"/>
        </w:rPr>
      </w:pPr>
    </w:p>
    <w:p>
      <w:pPr>
        <w:pStyle w:val="2"/>
        <w:rPr>
          <w:rFonts w:hint="eastAsia"/>
        </w:rPr>
        <w:sectPr>
          <w:footerReference r:id="rId3" w:type="default"/>
          <w:pgSz w:w="11906" w:h="16838"/>
          <w:pgMar w:top="1440" w:right="17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tbl>
      <w:tblPr>
        <w:tblStyle w:val="17"/>
        <w:tblW w:w="15100" w:type="dxa"/>
        <w:tblInd w:w="-6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55"/>
        <w:gridCol w:w="845"/>
        <w:gridCol w:w="1244"/>
        <w:gridCol w:w="2789"/>
        <w:gridCol w:w="1300"/>
        <w:gridCol w:w="6067"/>
        <w:gridCol w:w="844"/>
        <w:gridCol w:w="9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5100" w:type="dxa"/>
            <w:gridSpan w:val="8"/>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附件一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0" w:hRule="atLeast"/>
        </w:trPr>
        <w:tc>
          <w:tcPr>
            <w:tcW w:w="15100" w:type="dxa"/>
            <w:gridSpan w:val="8"/>
            <w:vMerge w:val="continue"/>
            <w:tcBorders>
              <w:top w:val="nil"/>
              <w:left w:val="nil"/>
              <w:bottom w:val="nil"/>
              <w:right w:val="nil"/>
            </w:tcBorders>
            <w:shd w:val="clear" w:color="auto" w:fill="auto"/>
            <w:vAlign w:val="center"/>
          </w:tcPr>
          <w:p>
            <w:pPr>
              <w:jc w:val="left"/>
              <w:rPr>
                <w:rFonts w:hint="eastAsia" w:ascii="微软雅黑" w:hAnsi="微软雅黑" w:eastAsia="微软雅黑" w:cs="微软雅黑"/>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5100"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36"/>
                <w:szCs w:val="36"/>
                <w:u w:val="none"/>
              </w:rPr>
            </w:pPr>
            <w:r>
              <w:rPr>
                <w:rFonts w:hint="eastAsia" w:ascii="微软雅黑" w:hAnsi="微软雅黑" w:eastAsia="微软雅黑" w:cs="微软雅黑"/>
                <w:b/>
                <w:bCs/>
                <w:i w:val="0"/>
                <w:iCs w:val="0"/>
                <w:color w:val="000000"/>
                <w:kern w:val="0"/>
                <w:sz w:val="36"/>
                <w:szCs w:val="36"/>
                <w:u w:val="none"/>
                <w:lang w:val="en-US" w:eastAsia="zh-CN" w:bidi="ar"/>
              </w:rPr>
              <w:t>草原管护员补助项目支出绩效评价指标体系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1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一级指标</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二级指标</w:t>
            </w: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三级指标</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指标解释</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分值</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评分标准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评价得分</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21" w:hRule="atLeast"/>
        </w:trPr>
        <w:tc>
          <w:tcPr>
            <w:tcW w:w="10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项目决策　（20）</w:t>
            </w: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项目立项（8）　</w:t>
            </w: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立项依据</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充分性</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项目立项是否符合法律法规、相关政策、发展规划以及部门职责，用以反映和考核项目立项依据情况。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①项目立项符合国家法律法规、国民经济发展规划和相关政策，得1分，否则不得分；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②项目立项符合行业发展规划和政策要求，得1分，否则不得分；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③项目立项与部门职责范围相符，属于部门履职所需，得1分，否则不得分；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④项目属于公共财政支持范围，是否符合中央、地方事权支出责任划分原则得0.5分，否则不得分；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⑤项目是否与相关部门同类项目或部门内部相关项目重复,得0.5分，否则不得分。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56"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立项程序规范性</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项目申请、设立过程是否符合相关要求，用以反映和考核项目立项的规范情况。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①项目按照规定的程序申请设立，得1.5分，否则不得分；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②审批文件、材料是否符合相关要求，得1分，否则不得分；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③事前已经过必要的可行性研究、专家论证、风险评估、绩效评估、集体决策，得1.5分，否则不得分。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85"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绩效目标（6）　</w:t>
            </w: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绩效目标合理性</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项目所设定的绩效目标是否依据充分，是否符合客观实际，用以反映和考核项目绩效目标与项目实施的相符情况。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①项目是否有绩效目标，得1分，否则不得分；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②项目绩效目标与实际工作内容具有相关性，得1分，否则不得分；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③项目预期产出效益和效果符合正常的业绩水平，得0.5分，否则不得分；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④与预算确定的项目投资额或资金量相匹配，得0.5分，否则不得分。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78"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绩效指标明确性</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依据绩效目标设定的绩效指标是否清晰、细化、可衡量等，用以反映和考核项目绩效目标的明细化情况。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①将项目绩效目标细化分解为具体的绩效指标，得1分，否则不得分；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②通过清晰、可衡量的指标值予以体现，得1分，否则不得分；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③与项目目标任务数或计划数相对应，得1分，否则不得分。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01"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资金投入（6）</w:t>
            </w: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预算编制科学性</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项目预算编制是否经过科学论证、有明确标准，资金额度与年度目标是否相适应，用以反映和考核项目预算编制的科学性、合理性情况。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①预算编制经过科学论证，得1分，否则不得分；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②预算内容与项目内容匹配，得1分，否则不得分；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③预算额度测算依据充分，按照标准编制，得0.5分，否则不得分；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④预算确定的项目投资额或资金量与工作任务相匹配，得0.5分，否则不得分。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0"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资金分配合理性</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项目预算资金分配是否有测算依据，与补助单位或地方实际是否相适应，用以反映和考核项目预算资金分配的科学性、合理性情况。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①预算资金分配依据充分，得1.5分，否则不得分；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②资金分配额度合理，与项目单位或地方实际相适应，得1.5分，否则不得分。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9" w:hRule="atLeast"/>
        </w:trPr>
        <w:tc>
          <w:tcPr>
            <w:tcW w:w="10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项目过程（20）</w:t>
            </w:r>
          </w:p>
        </w:tc>
        <w:tc>
          <w:tcPr>
            <w:tcW w:w="84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资金管理（10）</w:t>
            </w: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资金到位率</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实际到位资金与预算资金的比率，用以反映和考核资金落实情况对项目实施的总体保障程度。</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①资金到位及时率100%、得3分；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②资金未全额到位的，按照满分乘以到位率计算得分。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（资金到位率=（实际到位资金/预算资金）×100%。</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实际到位资金：一定时期（本年度或项目期）内落实到具体项目的资金。</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预算资金：一定时期（本年度或项目期）内预算安排到具体项目的资金。）</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75"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预算执行率</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项目预算资金是否按照计划执行，用以反映或考核项目预算执行情况。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①资金执行率100%，得3分；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②资金执行率未达100%的，按照满分乘以执行率计算得分。（按资金到位率计算分值。预算执行率=（实际支出资金/实际到位资金）×100%。</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实际支出资金：一定时期（本年度或项目期）内项目实际拨付的资金。）</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9"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资金使用合规性</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项目资金使用是否符合相关的财务管理制度规定，用以反映和考核项目资金的规范运行情况。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①符合国家财经法规和财务管理制度以及有关专项资金管理办法的规定，得1分，否则不得分；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②资金的拨付有完整的审批程序和手续，得1分，否则不得分；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③符合项目预算批复或合同规定的用途，得1分，否则不得分；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④不存在截留、挤占、挪用、虚列支出等情况，得1分，否则不得分。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3"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组织实施（10）</w:t>
            </w: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管理制度健全性</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项目实施单位的财务和业务管理制度是否健全，用以反映和考核财务和业务管理制度对项目顺利实施的保障情况。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①制定或具有相应的财务和业务管理制度，得2.5分，否则不得分；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②财务和业务管理制度是否合法、合规、完整，得2.5分，否则不得分。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70"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制度执行有效性</w:t>
            </w:r>
          </w:p>
        </w:tc>
        <w:tc>
          <w:tcPr>
            <w:tcW w:w="2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项目实施是否符合相关管理规定，用以反映和考核相关管理制度的有效执行情况。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①遵守相关法律法规和相关管理规定，得1分，否则不得分；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②项目调整及支出调整手续完备，得1分，否则不得分；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③项目合同书、验收报告、技术鉴定等资料齐全并及时归档，得1.5分，否则不得分；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④项目实施的人员条件、场地设备、信息支撑等落实到位，得1.5分，否则不得分。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3.5</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缺少会议纪要等相关材料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89" w:hRule="atLeast"/>
        </w:trPr>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项目产出（30）</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产出数量（8）</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实际完成率</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项目实施的实际产出数与计划产出数的比率，用以反映和考核项目产出数量目标的实现程度。</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6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 草原管护员选聘（续聘）人数大于等于194人，得8分，否则按比例得分；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按项目实际完成率评分（实际完成率=（实际产出数/计划产出数）×100%。实际产出数：一定时期（本年度或项目期）内项目实际产出的产品或提供的服务数量。计划产出数：项目绩效目标确定的在一定时期（本年度或项目期）内计划产出的产品或提供的服务数量。）</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12"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产出质量（8）</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质量达标率</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项目完成的质量达标产出数与实际产出数的比率，用以反映和考核项目产出质量目标的实现程度。</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6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①草原管护员补助发放准确率等于100%，得4分，否则按比例得分；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②草原管护员续聘完成率等于100%，得4分，否则按比例得分；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按项目验收质量达标率计算分值（质量达标率=（质量达标产出数/实际产出数）×100%。</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99"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产出时效（7）</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完成及时性</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项目实际完成时间与计划完成时间的比较，用以反映和考核项目产出时效目标的实现程度。</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6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①草原管护员补助发放及时率等于100%，得2分，否则按比例得分；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②项目完成及时率等于100%，得2分，否则按比例得分；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ascii="Calibri" w:hAnsi="Calibri" w:eastAsia="微软雅黑" w:cs="Calibri"/>
                <w:i w:val="0"/>
                <w:iCs w:val="0"/>
                <w:color w:val="000000"/>
                <w:kern w:val="0"/>
                <w:sz w:val="20"/>
                <w:szCs w:val="20"/>
                <w:u w:val="none"/>
                <w:lang w:val="en-US" w:eastAsia="zh-CN" w:bidi="ar"/>
              </w:rPr>
              <w:t>③</w:t>
            </w:r>
            <w:r>
              <w:rPr>
                <w:rFonts w:hint="eastAsia" w:ascii="微软雅黑" w:hAnsi="微软雅黑" w:eastAsia="微软雅黑" w:cs="微软雅黑"/>
                <w:i w:val="0"/>
                <w:iCs w:val="0"/>
                <w:color w:val="000000"/>
                <w:kern w:val="0"/>
                <w:sz w:val="20"/>
                <w:szCs w:val="20"/>
                <w:u w:val="none"/>
                <w:lang w:val="en-US" w:eastAsia="zh-CN" w:bidi="ar"/>
              </w:rPr>
              <w:t>草原管护员完成选（续）聘工作时限小于等于30天，得3分，否则按比例得分；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计划完成时间：按照项目实施计划或相关规定完成该项目所需的时间。）</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48"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产出成本（7）</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成本节约率</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完成项目计划工作目标的实际节约成本与计划成本的比率，用以反映和考核项目的成本节约程度。</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6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 草原管护员补助标准小于等于1万元/人/年，得7分，否则按比例得分；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（成本节约率=[（计划成本-实际成本）/计划成本]×100%。</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实际成本：项目实施单位如期、保质、保量完成既定工作目标实际所耗费的支出。计划成本：项目实施单位为完成工作目标计划安排的支出，一般以项目预算为参考。）</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1" w:hRule="atLeast"/>
        </w:trPr>
        <w:tc>
          <w:tcPr>
            <w:tcW w:w="10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项目效益（30）　</w:t>
            </w: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项目效益（30）　　</w:t>
            </w: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经济效益</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项目实施所产生的经济效益是否达到预期值</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0</w:t>
            </w:r>
          </w:p>
        </w:tc>
        <w:tc>
          <w:tcPr>
            <w:tcW w:w="6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不涉及（分值可分配）。</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0"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社会效益</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项目实施所产生的社会效益是否达到预期值</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①有效提高草原管护员的生活质量，得10分，否则按评判比例得分；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12</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生态效益</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对生态环境产生的影响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0</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不涉及（分值可分配）。</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8"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可持续影响</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项目的可持续影响是否达到预计的期限</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6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持续保障草原管护员基本生活，得10分，否则按评判比例得分。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99"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满意度</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社会公众或服务对象对项目实施效果的满意程度。</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6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根据问卷调查，草原管护员满意度对该项目实施的满意度如下：</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①人数大于等于95%，得10分；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②人数小于95%大于85%，得8分；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③人数小于85%大于70%，得5分；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④人数小于等于70%，不得分。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atLeast"/>
        </w:trPr>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总分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100</w:t>
            </w:r>
          </w:p>
        </w:tc>
        <w:tc>
          <w:tcPr>
            <w:tcW w:w="6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最终得分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98.5</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bl>
    <w:p>
      <w:pPr>
        <w:rPr>
          <w:rFonts w:hint="eastAsia"/>
        </w:rPr>
        <w:sectPr>
          <w:pgSz w:w="16838" w:h="11906" w:orient="landscape"/>
          <w:pgMar w:top="1800" w:right="3838" w:bottom="17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tbl>
      <w:tblPr>
        <w:tblStyle w:val="17"/>
        <w:tblW w:w="17318" w:type="dxa"/>
        <w:tblInd w:w="-4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11"/>
        <w:gridCol w:w="811"/>
        <w:gridCol w:w="967"/>
        <w:gridCol w:w="944"/>
        <w:gridCol w:w="878"/>
        <w:gridCol w:w="1211"/>
        <w:gridCol w:w="911"/>
        <w:gridCol w:w="1133"/>
        <w:gridCol w:w="945"/>
        <w:gridCol w:w="1000"/>
        <w:gridCol w:w="844"/>
        <w:gridCol w:w="856"/>
        <w:gridCol w:w="711"/>
        <w:gridCol w:w="689"/>
        <w:gridCol w:w="822"/>
        <w:gridCol w:w="811"/>
        <w:gridCol w:w="22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274" w:type="dxa"/>
          <w:trHeight w:val="300" w:hRule="atLeast"/>
        </w:trPr>
        <w:tc>
          <w:tcPr>
            <w:tcW w:w="151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附件二</w:t>
            </w:r>
          </w:p>
        </w:tc>
        <w:tc>
          <w:tcPr>
            <w:tcW w:w="811" w:type="dxa"/>
            <w:tcBorders>
              <w:top w:val="nil"/>
              <w:left w:val="nil"/>
              <w:bottom w:val="nil"/>
              <w:right w:val="nil"/>
            </w:tcBorders>
            <w:shd w:val="clear" w:color="auto" w:fill="auto"/>
            <w:vAlign w:val="center"/>
          </w:tcPr>
          <w:p>
            <w:pPr>
              <w:rPr>
                <w:rFonts w:hint="eastAsia" w:ascii="仿宋" w:hAnsi="仿宋" w:eastAsia="仿宋" w:cs="仿宋"/>
                <w:i w:val="0"/>
                <w:iCs w:val="0"/>
                <w:color w:val="000000"/>
                <w:sz w:val="20"/>
                <w:szCs w:val="20"/>
                <w:u w:val="none"/>
              </w:rPr>
            </w:pPr>
          </w:p>
        </w:tc>
        <w:tc>
          <w:tcPr>
            <w:tcW w:w="96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4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7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1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1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133"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4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00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4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56"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1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89"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2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11" w:type="dxa"/>
            <w:tcBorders>
              <w:top w:val="nil"/>
              <w:left w:val="nil"/>
              <w:bottom w:val="nil"/>
              <w:right w:val="nil"/>
            </w:tcBorders>
            <w:shd w:val="clear" w:color="auto" w:fill="auto"/>
            <w:noWrap/>
            <w:vAlign w:val="center"/>
          </w:tcPr>
          <w:p>
            <w:pP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17318" w:type="dxa"/>
            <w:gridSpan w:val="1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资金使用情况明细表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274" w:type="dxa"/>
          <w:trHeight w:val="510" w:hRule="atLeast"/>
        </w:trPr>
        <w:tc>
          <w:tcPr>
            <w:tcW w:w="151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项目名称：草原管护员补助项目</w:t>
            </w:r>
          </w:p>
        </w:tc>
        <w:tc>
          <w:tcPr>
            <w:tcW w:w="811"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967"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944"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878"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1211"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3989"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截止日：2022年12月31日</w:t>
            </w:r>
          </w:p>
        </w:tc>
        <w:tc>
          <w:tcPr>
            <w:tcW w:w="844"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856"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711"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689"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822"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811"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274" w:type="dxa"/>
          <w:trHeight w:val="615" w:hRule="atLeast"/>
        </w:trPr>
        <w:tc>
          <w:tcPr>
            <w:tcW w:w="15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实施单位名称</w:t>
            </w:r>
          </w:p>
        </w:tc>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年度</w:t>
            </w:r>
          </w:p>
        </w:tc>
        <w:tc>
          <w:tcPr>
            <w:tcW w:w="40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预算批复资金</w:t>
            </w:r>
          </w:p>
        </w:tc>
        <w:tc>
          <w:tcPr>
            <w:tcW w:w="39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资金到位情况</w:t>
            </w:r>
          </w:p>
        </w:tc>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实际支出</w:t>
            </w:r>
          </w:p>
        </w:tc>
        <w:tc>
          <w:tcPr>
            <w:tcW w:w="3078"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剩余资金</w:t>
            </w:r>
          </w:p>
        </w:tc>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274" w:type="dxa"/>
          <w:trHeight w:val="800" w:hRule="atLeast"/>
        </w:trPr>
        <w:tc>
          <w:tcPr>
            <w:tcW w:w="1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中央财政资金</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自治区财政资金</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财政资金以外的其他资金</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中央财政资金</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自治区财政资金</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财政资金以外的其他资金</w:t>
            </w: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项目尾款</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结余资金</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调整资金</w:t>
            </w:r>
          </w:p>
        </w:tc>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274" w:type="dxa"/>
          <w:trHeight w:val="720" w:hRule="atLeast"/>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新疆维吾尔自治区疏附县自然资源局</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2022</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194.00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194.00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194.00 </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194.00 </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194.00 </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274" w:type="dxa"/>
          <w:trHeight w:val="720" w:hRule="atLeast"/>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b/>
                <w:bCs/>
                <w:i w:val="0"/>
                <w:iCs w:val="0"/>
                <w:color w:val="000000"/>
                <w:sz w:val="18"/>
                <w:szCs w:val="18"/>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194.00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194.00 </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194.00 </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194.00 </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194.00 </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pStyle w:val="2"/>
        <w:rPr>
          <w:rFonts w:hint="eastAsia"/>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jc w:val="both"/>
        <w:rPr>
          <w:rFonts w:hint="eastAsia" w:ascii="Times New Roman" w:hAnsi="Times New Roman" w:eastAsia="仿宋_GB2312"/>
          <w:sz w:val="36"/>
          <w:szCs w:val="36"/>
        </w:rPr>
      </w:pPr>
      <w:r>
        <w:rPr>
          <w:rFonts w:hint="eastAsia" w:ascii="Times New Roman" w:hAnsi="Times New Roman" w:eastAsia="仿宋_GB2312" w:cs="仿宋"/>
          <w:sz w:val="28"/>
          <w:szCs w:val="28"/>
          <w:lang w:val="en-US" w:eastAsia="zh-CN"/>
        </w:rPr>
        <w:t>附件三</w:t>
      </w:r>
      <w:r>
        <w:rPr>
          <w:rFonts w:hint="eastAsia" w:ascii="Times New Roman" w:hAnsi="Times New Roman" w:eastAsia="仿宋_GB2312"/>
          <w:sz w:val="36"/>
          <w:szCs w:val="36"/>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44"/>
          <w:szCs w:val="44"/>
          <w:lang w:val="en-US" w:eastAsia="zh-CN"/>
        </w:rPr>
      </w:pPr>
      <w:r>
        <w:rPr>
          <w:rFonts w:hint="eastAsia" w:ascii="Times New Roman" w:hAnsi="Times New Roman" w:eastAsia="仿宋_GB2312"/>
          <w:b/>
          <w:bCs/>
          <w:sz w:val="44"/>
          <w:szCs w:val="44"/>
          <w:lang w:eastAsia="zh-CN"/>
        </w:rPr>
        <w:t>草原管护员补助项目</w:t>
      </w:r>
      <w:r>
        <w:rPr>
          <w:rFonts w:hint="eastAsia" w:ascii="Times New Roman" w:hAnsi="Times New Roman" w:eastAsia="仿宋_GB2312"/>
          <w:b/>
          <w:bCs/>
          <w:sz w:val="44"/>
          <w:szCs w:val="44"/>
        </w:rPr>
        <w:t>绩效评价调查问卷</w:t>
      </w:r>
      <w:r>
        <w:rPr>
          <w:rFonts w:hint="eastAsia" w:ascii="Times New Roman" w:hAnsi="Times New Roman" w:eastAsia="仿宋_GB2312"/>
          <w:b/>
          <w:bCs/>
          <w:sz w:val="44"/>
          <w:szCs w:val="44"/>
          <w:lang w:val="en-US"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为真实反映</w:t>
      </w:r>
      <w:r>
        <w:rPr>
          <w:rFonts w:hint="eastAsia" w:ascii="Times New Roman" w:hAnsi="Times New Roman" w:eastAsia="仿宋_GB2312" w:cs="仿宋"/>
          <w:color w:val="000000"/>
          <w:kern w:val="0"/>
          <w:sz w:val="32"/>
          <w:szCs w:val="32"/>
          <w:lang w:eastAsia="zh-CN" w:bidi="ar"/>
        </w:rPr>
        <w:t>草原管护员补助项目</w:t>
      </w:r>
      <w:r>
        <w:rPr>
          <w:rFonts w:hint="eastAsia" w:ascii="Times New Roman" w:hAnsi="Times New Roman" w:eastAsia="仿宋_GB2312" w:cs="仿宋"/>
          <w:color w:val="000000"/>
          <w:kern w:val="0"/>
          <w:sz w:val="32"/>
          <w:szCs w:val="32"/>
          <w:lang w:bidi="ar"/>
        </w:rPr>
        <w:t>支出绩效和受益人满意度情况，本次对</w:t>
      </w:r>
      <w:r>
        <w:rPr>
          <w:rFonts w:hint="eastAsia" w:ascii="Times New Roman" w:hAnsi="Times New Roman" w:eastAsia="仿宋_GB2312" w:cs="仿宋"/>
          <w:color w:val="000000"/>
          <w:kern w:val="0"/>
          <w:sz w:val="32"/>
          <w:szCs w:val="32"/>
          <w:lang w:val="en-US" w:eastAsia="zh-CN" w:bidi="ar"/>
        </w:rPr>
        <w:t>草管员</w:t>
      </w:r>
      <w:r>
        <w:rPr>
          <w:rFonts w:hint="eastAsia" w:ascii="Times New Roman" w:hAnsi="Times New Roman" w:eastAsia="仿宋_GB2312" w:cs="仿宋"/>
          <w:color w:val="000000"/>
          <w:kern w:val="0"/>
          <w:sz w:val="32"/>
          <w:szCs w:val="32"/>
          <w:lang w:eastAsia="zh-CN" w:bidi="ar"/>
        </w:rPr>
        <w:t>满意度</w:t>
      </w:r>
      <w:r>
        <w:rPr>
          <w:rFonts w:hint="eastAsia" w:ascii="Times New Roman" w:hAnsi="Times New Roman" w:eastAsia="仿宋_GB2312" w:cs="仿宋"/>
          <w:color w:val="000000"/>
          <w:kern w:val="0"/>
          <w:sz w:val="32"/>
          <w:szCs w:val="32"/>
          <w:lang w:bidi="ar"/>
        </w:rPr>
        <w:t>进行问卷调查，回收有效问卷共计1</w:t>
      </w:r>
      <w:r>
        <w:rPr>
          <w:rFonts w:hint="eastAsia" w:ascii="Times New Roman" w:hAnsi="Times New Roman" w:eastAsia="仿宋_GB2312" w:cs="仿宋"/>
          <w:color w:val="000000"/>
          <w:kern w:val="0"/>
          <w:sz w:val="32"/>
          <w:szCs w:val="32"/>
          <w:lang w:val="en-US" w:eastAsia="zh-CN" w:bidi="ar"/>
        </w:rPr>
        <w:t>94</w:t>
      </w:r>
      <w:r>
        <w:rPr>
          <w:rFonts w:hint="eastAsia" w:ascii="Times New Roman" w:hAnsi="Times New Roman" w:eastAsia="仿宋_GB2312" w:cs="仿宋"/>
          <w:color w:val="000000"/>
          <w:kern w:val="0"/>
          <w:sz w:val="32"/>
          <w:szCs w:val="32"/>
          <w:lang w:bidi="ar"/>
        </w:rPr>
        <w:t>份，回收率100%。主要反馈如下：</w:t>
      </w:r>
    </w:p>
    <w:tbl>
      <w:tblPr>
        <w:tblStyle w:val="17"/>
        <w:tblW w:w="13982" w:type="dxa"/>
        <w:jc w:val="center"/>
        <w:tblInd w:w="0" w:type="dxa"/>
        <w:tblLayout w:type="fixed"/>
        <w:tblCellMar>
          <w:top w:w="15" w:type="dxa"/>
          <w:left w:w="15" w:type="dxa"/>
          <w:bottom w:w="15" w:type="dxa"/>
          <w:right w:w="15" w:type="dxa"/>
        </w:tblCellMar>
      </w:tblPr>
      <w:tblGrid>
        <w:gridCol w:w="1161"/>
        <w:gridCol w:w="4275"/>
        <w:gridCol w:w="2708"/>
        <w:gridCol w:w="2246"/>
        <w:gridCol w:w="3592"/>
      </w:tblGrid>
      <w:tr>
        <w:tblPrEx>
          <w:tblLayout w:type="fixed"/>
          <w:tblCellMar>
            <w:top w:w="15" w:type="dxa"/>
            <w:left w:w="15" w:type="dxa"/>
            <w:bottom w:w="15" w:type="dxa"/>
            <w:right w:w="15" w:type="dxa"/>
          </w:tblCellMar>
        </w:tblPrEx>
        <w:trPr>
          <w:trHeight w:val="283" w:hRule="atLeast"/>
          <w:jc w:val="center"/>
        </w:trPr>
        <w:tc>
          <w:tcPr>
            <w:tcW w:w="116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序号</w:t>
            </w:r>
          </w:p>
          <w:p>
            <w:pPr>
              <w:jc w:val="center"/>
              <w:textAlignment w:val="center"/>
              <w:rPr>
                <w:rFonts w:ascii="Times New Roman" w:hAnsi="Times New Roman" w:eastAsia="仿宋_GB2312" w:cs="仿宋"/>
                <w:b/>
                <w:bCs/>
                <w:color w:val="000000"/>
                <w:sz w:val="24"/>
                <w:szCs w:val="24"/>
              </w:rPr>
            </w:pPr>
          </w:p>
        </w:tc>
        <w:tc>
          <w:tcPr>
            <w:tcW w:w="427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问题</w:t>
            </w:r>
          </w:p>
        </w:tc>
        <w:tc>
          <w:tcPr>
            <w:tcW w:w="49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回应情况</w:t>
            </w:r>
          </w:p>
        </w:tc>
        <w:tc>
          <w:tcPr>
            <w:tcW w:w="35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比例</w:t>
            </w:r>
          </w:p>
        </w:tc>
      </w:tr>
      <w:tr>
        <w:tblPrEx>
          <w:tblLayout w:type="fixed"/>
          <w:tblCellMar>
            <w:top w:w="15" w:type="dxa"/>
            <w:left w:w="15" w:type="dxa"/>
            <w:bottom w:w="15" w:type="dxa"/>
            <w:right w:w="15" w:type="dxa"/>
          </w:tblCellMar>
        </w:tblPrEx>
        <w:trPr>
          <w:trHeight w:val="524" w:hRule="atLeast"/>
          <w:jc w:val="center"/>
        </w:trPr>
        <w:tc>
          <w:tcPr>
            <w:tcW w:w="1161"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4275"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2708"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w:t>
            </w:r>
          </w:p>
        </w:tc>
        <w:tc>
          <w:tcPr>
            <w:tcW w:w="2246"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回应2</w:t>
            </w:r>
          </w:p>
        </w:tc>
        <w:tc>
          <w:tcPr>
            <w:tcW w:w="3592"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回应1占比情况%</w:t>
            </w:r>
          </w:p>
        </w:tc>
      </w:tr>
      <w:tr>
        <w:tblPrEx>
          <w:tblLayout w:type="fixed"/>
          <w:tblCellMar>
            <w:top w:w="15" w:type="dxa"/>
            <w:left w:w="15" w:type="dxa"/>
            <w:bottom w:w="15" w:type="dxa"/>
            <w:right w:w="15" w:type="dxa"/>
          </w:tblCellMar>
        </w:tblPrEx>
        <w:trPr>
          <w:trHeight w:val="486" w:hRule="atLeast"/>
          <w:jc w:val="center"/>
        </w:trPr>
        <w:tc>
          <w:tcPr>
            <w:tcW w:w="11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1</w:t>
            </w:r>
          </w:p>
        </w:tc>
        <w:tc>
          <w:tcPr>
            <w:tcW w:w="4275" w:type="dxa"/>
            <w:vMerge w:val="restart"/>
            <w:tcBorders>
              <w:top w:val="single" w:color="000000" w:sz="4" w:space="0"/>
              <w:left w:val="single" w:color="000000" w:sz="4" w:space="0"/>
              <w:right w:val="single" w:color="000000" w:sz="4" w:space="0"/>
            </w:tcBorders>
            <w:vAlign w:val="center"/>
          </w:tcPr>
          <w:p>
            <w:pPr>
              <w:widowControl/>
              <w:ind w:right="124" w:rightChars="59"/>
              <w:jc w:val="left"/>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GB2321"/>
                <w:sz w:val="24"/>
                <w:szCs w:val="24"/>
              </w:rPr>
              <w:t>您是否</w:t>
            </w:r>
            <w:r>
              <w:rPr>
                <w:rFonts w:hint="eastAsia" w:ascii="Times New Roman" w:hAnsi="Times New Roman" w:eastAsia="仿宋_GB2312" w:cs="仿宋-GB2321"/>
                <w:sz w:val="24"/>
                <w:szCs w:val="24"/>
                <w:lang w:val="en-US" w:eastAsia="zh-CN"/>
              </w:rPr>
              <w:t>有了解</w:t>
            </w:r>
            <w:r>
              <w:rPr>
                <w:rFonts w:hint="eastAsia" w:ascii="Times New Roman" w:hAnsi="Times New Roman" w:eastAsia="仿宋_GB2312" w:cs="仿宋-GB2321"/>
                <w:sz w:val="24"/>
                <w:szCs w:val="24"/>
                <w:lang w:eastAsia="zh-CN"/>
              </w:rPr>
              <w:t>草原管护员补助</w:t>
            </w:r>
            <w:r>
              <w:rPr>
                <w:rFonts w:hint="eastAsia" w:ascii="Times New Roman" w:hAnsi="Times New Roman" w:eastAsia="仿宋_GB2312" w:cs="仿宋-GB2321"/>
                <w:sz w:val="24"/>
                <w:szCs w:val="24"/>
                <w:lang w:val="en-US" w:eastAsia="zh-CN"/>
              </w:rPr>
              <w:t>政策</w:t>
            </w:r>
            <w:r>
              <w:rPr>
                <w:rFonts w:hint="eastAsia" w:ascii="Times New Roman" w:hAnsi="Times New Roman" w:eastAsia="仿宋_GB2312" w:cs="仿宋-GB2321"/>
                <w:sz w:val="24"/>
                <w:szCs w:val="24"/>
              </w:rPr>
              <w:t>？</w:t>
            </w: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sz w:val="24"/>
                <w:szCs w:val="24"/>
              </w:rPr>
              <w:t>是</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否</w:t>
            </w:r>
          </w:p>
        </w:tc>
        <w:tc>
          <w:tcPr>
            <w:tcW w:w="35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455" w:hRule="atLeast"/>
          <w:jc w:val="center"/>
        </w:trPr>
        <w:tc>
          <w:tcPr>
            <w:tcW w:w="116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194</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3592"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385" w:hRule="atLeast"/>
          <w:jc w:val="center"/>
        </w:trPr>
        <w:tc>
          <w:tcPr>
            <w:tcW w:w="11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2</w:t>
            </w:r>
          </w:p>
        </w:tc>
        <w:tc>
          <w:tcPr>
            <w:tcW w:w="4275"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您是否享受草原管护员补助</w:t>
            </w:r>
            <w:r>
              <w:rPr>
                <w:rFonts w:hint="eastAsia" w:ascii="Times New Roman" w:hAnsi="Times New Roman" w:eastAsia="仿宋_GB2312" w:cs="仿宋-GB2321"/>
                <w:sz w:val="24"/>
                <w:szCs w:val="24"/>
              </w:rPr>
              <w:t>？</w:t>
            </w: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是</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35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330" w:hRule="atLeast"/>
          <w:jc w:val="center"/>
        </w:trPr>
        <w:tc>
          <w:tcPr>
            <w:tcW w:w="116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194</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3592"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344" w:hRule="atLeast"/>
          <w:jc w:val="center"/>
        </w:trPr>
        <w:tc>
          <w:tcPr>
            <w:tcW w:w="11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3</w:t>
            </w:r>
          </w:p>
        </w:tc>
        <w:tc>
          <w:tcPr>
            <w:tcW w:w="4275"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您认为项目的实施是否提高草原管护员的生活质量？</w:t>
            </w: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35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426" w:hRule="atLeast"/>
          <w:jc w:val="center"/>
        </w:trPr>
        <w:tc>
          <w:tcPr>
            <w:tcW w:w="116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194</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3592"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589" w:hRule="atLeast"/>
          <w:jc w:val="center"/>
        </w:trPr>
        <w:tc>
          <w:tcPr>
            <w:tcW w:w="11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4</w:t>
            </w:r>
          </w:p>
        </w:tc>
        <w:tc>
          <w:tcPr>
            <w:tcW w:w="4275"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本项目的实施是否保障草原管护员基本生活？</w:t>
            </w: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35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492" w:hRule="atLeast"/>
          <w:jc w:val="center"/>
        </w:trPr>
        <w:tc>
          <w:tcPr>
            <w:tcW w:w="1161"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194</w:t>
            </w:r>
          </w:p>
        </w:tc>
        <w:tc>
          <w:tcPr>
            <w:tcW w:w="2246"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3592"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40" w:hRule="atLeast"/>
          <w:jc w:val="center"/>
        </w:trPr>
        <w:tc>
          <w:tcPr>
            <w:tcW w:w="116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5</w:t>
            </w:r>
          </w:p>
        </w:tc>
        <w:tc>
          <w:tcPr>
            <w:tcW w:w="427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eastAsia="zh-CN"/>
              </w:rPr>
              <w:t>您对该项目的实施</w:t>
            </w:r>
            <w:r>
              <w:rPr>
                <w:rFonts w:hint="eastAsia" w:ascii="Times New Roman" w:hAnsi="Times New Roman" w:eastAsia="仿宋_GB2312" w:cs="仿宋-GB2321"/>
                <w:sz w:val="24"/>
                <w:szCs w:val="24"/>
                <w:lang w:val="en-US" w:eastAsia="zh-CN"/>
              </w:rPr>
              <w:t>效果</w:t>
            </w:r>
            <w:r>
              <w:rPr>
                <w:rFonts w:hint="eastAsia" w:ascii="Times New Roman" w:hAnsi="Times New Roman" w:eastAsia="仿宋_GB2312" w:cs="仿宋-GB2321"/>
                <w:sz w:val="24"/>
                <w:szCs w:val="24"/>
                <w:lang w:eastAsia="zh-CN"/>
              </w:rPr>
              <w:t>是否满意</w:t>
            </w:r>
            <w:r>
              <w:rPr>
                <w:rFonts w:hint="eastAsia" w:ascii="Times New Roman" w:hAnsi="Times New Roman" w:eastAsia="仿宋_GB2312" w:cs="仿宋-GB2321"/>
                <w:sz w:val="24"/>
                <w:szCs w:val="24"/>
              </w:rPr>
              <w:t>？</w:t>
            </w:r>
            <w:r>
              <w:rPr>
                <w:rFonts w:hint="eastAsia" w:ascii="Times New Roman" w:hAnsi="Times New Roman" w:eastAsia="仿宋_GB2312" w:cs="仿宋-GB2321"/>
                <w:sz w:val="24"/>
                <w:szCs w:val="24"/>
                <w:lang w:val="en-US" w:eastAsia="zh-CN"/>
              </w:rPr>
              <w:t xml:space="preserve"> </w:t>
            </w:r>
          </w:p>
        </w:tc>
        <w:tc>
          <w:tcPr>
            <w:tcW w:w="270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满意</w:t>
            </w:r>
          </w:p>
        </w:tc>
        <w:tc>
          <w:tcPr>
            <w:tcW w:w="224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不满意</w:t>
            </w:r>
          </w:p>
        </w:tc>
        <w:tc>
          <w:tcPr>
            <w:tcW w:w="3592"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r>
      <w:tr>
        <w:tblPrEx>
          <w:tblLayout w:type="fixed"/>
          <w:tblCellMar>
            <w:top w:w="15" w:type="dxa"/>
            <w:left w:w="15" w:type="dxa"/>
            <w:bottom w:w="15" w:type="dxa"/>
            <w:right w:w="15" w:type="dxa"/>
          </w:tblCellMar>
        </w:tblPrEx>
        <w:trPr>
          <w:trHeight w:val="412" w:hRule="atLeast"/>
          <w:jc w:val="center"/>
        </w:trPr>
        <w:tc>
          <w:tcPr>
            <w:tcW w:w="116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auto" w:sz="4" w:space="0"/>
              <w:left w:val="single" w:color="auto" w:sz="4" w:space="0"/>
              <w:bottom w:val="single" w:color="auto" w:sz="4" w:space="0"/>
              <w:right w:val="single" w:color="auto" w:sz="4" w:space="0"/>
            </w:tcBorders>
            <w:vAlign w:val="center"/>
          </w:tcPr>
          <w:p>
            <w:pPr>
              <w:widowControl/>
              <w:tabs>
                <w:tab w:val="left" w:pos="325"/>
              </w:tabs>
              <w:jc w:val="center"/>
              <w:textAlignment w:val="center"/>
              <w:rPr>
                <w:rFonts w:hint="default" w:ascii="Times New Roman" w:hAnsi="Times New Roman" w:eastAsia="仿宋_GB2312" w:cs="仿宋"/>
                <w:color w:val="000000"/>
                <w:sz w:val="24"/>
                <w:szCs w:val="24"/>
                <w:lang w:val="en-US"/>
              </w:rPr>
            </w:pPr>
            <w:r>
              <w:rPr>
                <w:rFonts w:hint="eastAsia" w:ascii="Times New Roman" w:hAnsi="Times New Roman" w:eastAsia="仿宋_GB2312" w:cs="仿宋"/>
                <w:color w:val="000000"/>
                <w:kern w:val="0"/>
                <w:sz w:val="24"/>
                <w:szCs w:val="24"/>
                <w:lang w:val="en-US" w:eastAsia="zh-CN" w:bidi="ar"/>
              </w:rPr>
              <w:t>184</w:t>
            </w:r>
          </w:p>
        </w:tc>
        <w:tc>
          <w:tcPr>
            <w:tcW w:w="224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10</w:t>
            </w:r>
          </w:p>
        </w:tc>
        <w:tc>
          <w:tcPr>
            <w:tcW w:w="3592"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p>
        </w:tc>
      </w:tr>
    </w:tbl>
    <w:p>
      <w:pPr>
        <w:rPr>
          <w:rFonts w:hint="eastAsia"/>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
        <w:rPr>
          <w:rFonts w:hint="eastAsia" w:eastAsia="宋体"/>
          <w:lang w:eastAsia="zh-CN"/>
        </w:rPr>
      </w:pPr>
    </w:p>
    <w:sectPr>
      <w:pgSz w:w="16838" w:h="11906" w:orient="landscape"/>
      <w:pgMar w:top="1800" w:right="1440" w:bottom="17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42114A-52B9-4A7E-9668-6CBCFAA8144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3BEAF8B-7AE7-4985-A4B8-A65F2DF0EFC4}"/>
  </w:font>
  <w:font w:name="仿宋">
    <w:panose1 w:val="02010609060101010101"/>
    <w:charset w:val="86"/>
    <w:family w:val="modern"/>
    <w:pitch w:val="default"/>
    <w:sig w:usb0="800002BF" w:usb1="38CF7CFA" w:usb2="00000016" w:usb3="00000000" w:csb0="00040001" w:csb1="00000000"/>
    <w:embedRegular r:id="rId3" w:fontKey="{7C0FD6EF-0210-430A-A608-C6542FD4AF81}"/>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0" w:usb1="00000000" w:usb2="00000000" w:usb3="00000000" w:csb0="00000000" w:csb1="00000000"/>
    <w:embedRegular r:id="rId4" w:fontKey="{0D173F06-FE9C-46B6-AC4A-05FA9780CE95}"/>
  </w:font>
  <w:font w:name="ËÎÌå">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embedRegular r:id="rId5" w:fontKey="{0353714E-79B8-4F94-9C98-69A26C9FF9D4}"/>
  </w:font>
  <w:font w:name="方正黑体_GBK">
    <w:panose1 w:val="03000509000000000000"/>
    <w:charset w:val="86"/>
    <w:family w:val="auto"/>
    <w:pitch w:val="default"/>
    <w:sig w:usb0="00000000" w:usb1="00000000" w:usb2="00000000" w:usb3="00000000" w:csb0="00000000" w:csb1="00000000"/>
    <w:embedRegular r:id="rId6" w:fontKey="{D68D1ADD-3C7C-48CF-A752-3016A9A51985}"/>
  </w:font>
  <w:font w:name="方正楷体_GBK">
    <w:panose1 w:val="03000509000000000000"/>
    <w:charset w:val="86"/>
    <w:family w:val="auto"/>
    <w:pitch w:val="default"/>
    <w:sig w:usb0="00000000" w:usb1="00000000" w:usb2="00000000" w:usb3="00000000" w:csb0="00000000" w:csb1="00000000"/>
    <w:embedRegular r:id="rId7" w:fontKey="{3F8E0D35-7CF5-494E-962C-90BD66322358}"/>
  </w:font>
  <w:font w:name="方正仿宋_GBK">
    <w:panose1 w:val="03000509000000000000"/>
    <w:charset w:val="86"/>
    <w:family w:val="script"/>
    <w:pitch w:val="default"/>
    <w:sig w:usb0="00000000" w:usb1="00000000" w:usb2="00000000" w:usb3="00000000" w:csb0="00000000" w:csb1="00000000"/>
    <w:embedRegular r:id="rId8" w:fontKey="{7CA3D8C6-AAC8-4300-ADB4-7618F4F872AE}"/>
  </w:font>
  <w:font w:name="仿宋-GB2321">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D9A"/>
    <w:multiLevelType w:val="multilevel"/>
    <w:tmpl w:val="06830D9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702"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BBB029A"/>
    <w:multiLevelType w:val="multilevel"/>
    <w:tmpl w:val="4BBB029A"/>
    <w:lvl w:ilvl="0" w:tentative="0">
      <w:start w:val="1"/>
      <w:numFmt w:val="decimal"/>
      <w:pStyle w:val="3"/>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A16E0C"/>
    <w:multiLevelType w:val="multilevel"/>
    <w:tmpl w:val="6EA16E0C"/>
    <w:lvl w:ilvl="0" w:tentative="0">
      <w:start w:val="1"/>
      <w:numFmt w:val="decimal"/>
      <w:pStyle w:val="4"/>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mZjZGEzZmQ1ZTgxNTAxYTYxZGNlNjJiZWFhNDYifQ=="/>
  </w:docVars>
  <w:rsids>
    <w:rsidRoot w:val="00172A27"/>
    <w:rsid w:val="000112AA"/>
    <w:rsid w:val="00016E08"/>
    <w:rsid w:val="00021851"/>
    <w:rsid w:val="00024B57"/>
    <w:rsid w:val="00036D0D"/>
    <w:rsid w:val="00036D41"/>
    <w:rsid w:val="00046D50"/>
    <w:rsid w:val="000475FC"/>
    <w:rsid w:val="00082C50"/>
    <w:rsid w:val="0008358D"/>
    <w:rsid w:val="00083F67"/>
    <w:rsid w:val="00087E49"/>
    <w:rsid w:val="000B0B81"/>
    <w:rsid w:val="000B1623"/>
    <w:rsid w:val="000B1CCE"/>
    <w:rsid w:val="000C3557"/>
    <w:rsid w:val="000C5082"/>
    <w:rsid w:val="000D57B9"/>
    <w:rsid w:val="000E1377"/>
    <w:rsid w:val="000F719E"/>
    <w:rsid w:val="00103F61"/>
    <w:rsid w:val="001040BC"/>
    <w:rsid w:val="00107A8F"/>
    <w:rsid w:val="00126B20"/>
    <w:rsid w:val="00130F27"/>
    <w:rsid w:val="00136B2F"/>
    <w:rsid w:val="00160CDB"/>
    <w:rsid w:val="00161F5F"/>
    <w:rsid w:val="00162F2E"/>
    <w:rsid w:val="001764F0"/>
    <w:rsid w:val="00176DFF"/>
    <w:rsid w:val="001825A2"/>
    <w:rsid w:val="00186F45"/>
    <w:rsid w:val="00187575"/>
    <w:rsid w:val="001C1801"/>
    <w:rsid w:val="001C64B5"/>
    <w:rsid w:val="0020463E"/>
    <w:rsid w:val="0021140C"/>
    <w:rsid w:val="00230276"/>
    <w:rsid w:val="00230A7C"/>
    <w:rsid w:val="002358FA"/>
    <w:rsid w:val="0023779B"/>
    <w:rsid w:val="002443C4"/>
    <w:rsid w:val="0025623B"/>
    <w:rsid w:val="00257940"/>
    <w:rsid w:val="0027097D"/>
    <w:rsid w:val="00271E15"/>
    <w:rsid w:val="0027684A"/>
    <w:rsid w:val="00276A45"/>
    <w:rsid w:val="00282C28"/>
    <w:rsid w:val="0029663F"/>
    <w:rsid w:val="00297D3C"/>
    <w:rsid w:val="002A49E8"/>
    <w:rsid w:val="002A64D8"/>
    <w:rsid w:val="002A6ECE"/>
    <w:rsid w:val="002B2807"/>
    <w:rsid w:val="002C092D"/>
    <w:rsid w:val="002C1471"/>
    <w:rsid w:val="002C7301"/>
    <w:rsid w:val="002D239F"/>
    <w:rsid w:val="002D483E"/>
    <w:rsid w:val="002D49A2"/>
    <w:rsid w:val="002E10B2"/>
    <w:rsid w:val="002E3475"/>
    <w:rsid w:val="002F2ABF"/>
    <w:rsid w:val="002F5C69"/>
    <w:rsid w:val="00300C5C"/>
    <w:rsid w:val="003118B1"/>
    <w:rsid w:val="00311E01"/>
    <w:rsid w:val="00334AA6"/>
    <w:rsid w:val="00335ABC"/>
    <w:rsid w:val="0035174C"/>
    <w:rsid w:val="00353891"/>
    <w:rsid w:val="00357062"/>
    <w:rsid w:val="003762B7"/>
    <w:rsid w:val="00377AB2"/>
    <w:rsid w:val="003963D0"/>
    <w:rsid w:val="003A243D"/>
    <w:rsid w:val="003A3F8A"/>
    <w:rsid w:val="003D3349"/>
    <w:rsid w:val="003F5B9B"/>
    <w:rsid w:val="003F5E87"/>
    <w:rsid w:val="003F7B44"/>
    <w:rsid w:val="00403605"/>
    <w:rsid w:val="00414B7D"/>
    <w:rsid w:val="00425B0B"/>
    <w:rsid w:val="00427588"/>
    <w:rsid w:val="0044086E"/>
    <w:rsid w:val="0044115C"/>
    <w:rsid w:val="004419BF"/>
    <w:rsid w:val="004446AF"/>
    <w:rsid w:val="00456D64"/>
    <w:rsid w:val="00461A03"/>
    <w:rsid w:val="00461C13"/>
    <w:rsid w:val="00466D62"/>
    <w:rsid w:val="00480EBB"/>
    <w:rsid w:val="004837BC"/>
    <w:rsid w:val="0048783C"/>
    <w:rsid w:val="00491DC0"/>
    <w:rsid w:val="0049279D"/>
    <w:rsid w:val="004929DD"/>
    <w:rsid w:val="004A17A9"/>
    <w:rsid w:val="004A3BA3"/>
    <w:rsid w:val="004C27AA"/>
    <w:rsid w:val="004C4305"/>
    <w:rsid w:val="004C48B5"/>
    <w:rsid w:val="004D64A9"/>
    <w:rsid w:val="004F5174"/>
    <w:rsid w:val="004F7E0C"/>
    <w:rsid w:val="00505ACA"/>
    <w:rsid w:val="00520F1C"/>
    <w:rsid w:val="00525DF1"/>
    <w:rsid w:val="0052602D"/>
    <w:rsid w:val="00535343"/>
    <w:rsid w:val="0054358D"/>
    <w:rsid w:val="005510BE"/>
    <w:rsid w:val="0055540B"/>
    <w:rsid w:val="005674C1"/>
    <w:rsid w:val="005A11A3"/>
    <w:rsid w:val="005A299C"/>
    <w:rsid w:val="005B40F5"/>
    <w:rsid w:val="005B5C85"/>
    <w:rsid w:val="005D2E62"/>
    <w:rsid w:val="005D3B9D"/>
    <w:rsid w:val="005D65BA"/>
    <w:rsid w:val="00606E86"/>
    <w:rsid w:val="00610597"/>
    <w:rsid w:val="00621D18"/>
    <w:rsid w:val="00623F16"/>
    <w:rsid w:val="006264C5"/>
    <w:rsid w:val="006276D2"/>
    <w:rsid w:val="00633F43"/>
    <w:rsid w:val="00635FD4"/>
    <w:rsid w:val="006451C9"/>
    <w:rsid w:val="00682CC7"/>
    <w:rsid w:val="006838D1"/>
    <w:rsid w:val="00683B82"/>
    <w:rsid w:val="006A0C6F"/>
    <w:rsid w:val="006A530D"/>
    <w:rsid w:val="006B5D89"/>
    <w:rsid w:val="006C0CBF"/>
    <w:rsid w:val="006E0F22"/>
    <w:rsid w:val="006F03CF"/>
    <w:rsid w:val="006F614A"/>
    <w:rsid w:val="00706A4E"/>
    <w:rsid w:val="007115C8"/>
    <w:rsid w:val="00722E10"/>
    <w:rsid w:val="007334F8"/>
    <w:rsid w:val="00752CB5"/>
    <w:rsid w:val="00760C80"/>
    <w:rsid w:val="00765FA0"/>
    <w:rsid w:val="00770E0C"/>
    <w:rsid w:val="00776C05"/>
    <w:rsid w:val="00783B17"/>
    <w:rsid w:val="00796661"/>
    <w:rsid w:val="007A3C4B"/>
    <w:rsid w:val="007B1F93"/>
    <w:rsid w:val="007B38F5"/>
    <w:rsid w:val="007C462B"/>
    <w:rsid w:val="007C6866"/>
    <w:rsid w:val="007D1B86"/>
    <w:rsid w:val="007D58AE"/>
    <w:rsid w:val="007E49F4"/>
    <w:rsid w:val="007E799E"/>
    <w:rsid w:val="007F0691"/>
    <w:rsid w:val="007F5B60"/>
    <w:rsid w:val="00804413"/>
    <w:rsid w:val="0080484E"/>
    <w:rsid w:val="00807F37"/>
    <w:rsid w:val="00813205"/>
    <w:rsid w:val="00853D02"/>
    <w:rsid w:val="008726A9"/>
    <w:rsid w:val="00873B68"/>
    <w:rsid w:val="008741FC"/>
    <w:rsid w:val="008764E8"/>
    <w:rsid w:val="00893C11"/>
    <w:rsid w:val="008B08D1"/>
    <w:rsid w:val="008B6709"/>
    <w:rsid w:val="008C646A"/>
    <w:rsid w:val="008C6AA7"/>
    <w:rsid w:val="008D2C5C"/>
    <w:rsid w:val="008E496C"/>
    <w:rsid w:val="009167F1"/>
    <w:rsid w:val="00932232"/>
    <w:rsid w:val="00942A28"/>
    <w:rsid w:val="009514EB"/>
    <w:rsid w:val="00952F6D"/>
    <w:rsid w:val="00957616"/>
    <w:rsid w:val="00960A8B"/>
    <w:rsid w:val="00974DAE"/>
    <w:rsid w:val="00975A3A"/>
    <w:rsid w:val="00987C5A"/>
    <w:rsid w:val="0099597E"/>
    <w:rsid w:val="0099715E"/>
    <w:rsid w:val="009A4DCB"/>
    <w:rsid w:val="009A507D"/>
    <w:rsid w:val="009B213F"/>
    <w:rsid w:val="009B47A3"/>
    <w:rsid w:val="009B5649"/>
    <w:rsid w:val="009B56E1"/>
    <w:rsid w:val="009C110C"/>
    <w:rsid w:val="009D79E4"/>
    <w:rsid w:val="009E5C35"/>
    <w:rsid w:val="009F3991"/>
    <w:rsid w:val="009F3EFC"/>
    <w:rsid w:val="009F6B69"/>
    <w:rsid w:val="00A10B96"/>
    <w:rsid w:val="00A11FD1"/>
    <w:rsid w:val="00A177CD"/>
    <w:rsid w:val="00A202D7"/>
    <w:rsid w:val="00A21618"/>
    <w:rsid w:val="00A21665"/>
    <w:rsid w:val="00A225EB"/>
    <w:rsid w:val="00A262B3"/>
    <w:rsid w:val="00A35141"/>
    <w:rsid w:val="00A35A5E"/>
    <w:rsid w:val="00A415E3"/>
    <w:rsid w:val="00A426D9"/>
    <w:rsid w:val="00A45F48"/>
    <w:rsid w:val="00A621B0"/>
    <w:rsid w:val="00A72180"/>
    <w:rsid w:val="00A74E49"/>
    <w:rsid w:val="00A773A3"/>
    <w:rsid w:val="00A802B0"/>
    <w:rsid w:val="00AA252A"/>
    <w:rsid w:val="00AA2C44"/>
    <w:rsid w:val="00AC2A90"/>
    <w:rsid w:val="00AD43E3"/>
    <w:rsid w:val="00AE34E7"/>
    <w:rsid w:val="00AF0AFB"/>
    <w:rsid w:val="00AF7214"/>
    <w:rsid w:val="00B03232"/>
    <w:rsid w:val="00B053C8"/>
    <w:rsid w:val="00B05937"/>
    <w:rsid w:val="00B10C7D"/>
    <w:rsid w:val="00B12A63"/>
    <w:rsid w:val="00B20D12"/>
    <w:rsid w:val="00B219EF"/>
    <w:rsid w:val="00B35851"/>
    <w:rsid w:val="00B4360F"/>
    <w:rsid w:val="00B46B99"/>
    <w:rsid w:val="00B4775C"/>
    <w:rsid w:val="00B54402"/>
    <w:rsid w:val="00B6760A"/>
    <w:rsid w:val="00B83DC4"/>
    <w:rsid w:val="00BA6BA3"/>
    <w:rsid w:val="00BB7563"/>
    <w:rsid w:val="00BC0899"/>
    <w:rsid w:val="00BE28B4"/>
    <w:rsid w:val="00C0298E"/>
    <w:rsid w:val="00C13121"/>
    <w:rsid w:val="00C17077"/>
    <w:rsid w:val="00C1762E"/>
    <w:rsid w:val="00C20D59"/>
    <w:rsid w:val="00C37C3C"/>
    <w:rsid w:val="00C47601"/>
    <w:rsid w:val="00C53CE0"/>
    <w:rsid w:val="00C553E8"/>
    <w:rsid w:val="00C64B66"/>
    <w:rsid w:val="00C669C6"/>
    <w:rsid w:val="00C735FC"/>
    <w:rsid w:val="00C7792A"/>
    <w:rsid w:val="00C87D33"/>
    <w:rsid w:val="00C900CB"/>
    <w:rsid w:val="00C90434"/>
    <w:rsid w:val="00CA6ECC"/>
    <w:rsid w:val="00CB23FF"/>
    <w:rsid w:val="00CD4B61"/>
    <w:rsid w:val="00CD5385"/>
    <w:rsid w:val="00CF007C"/>
    <w:rsid w:val="00CF08F6"/>
    <w:rsid w:val="00D02D71"/>
    <w:rsid w:val="00D21A15"/>
    <w:rsid w:val="00D45204"/>
    <w:rsid w:val="00D51B3C"/>
    <w:rsid w:val="00D70DBE"/>
    <w:rsid w:val="00D85954"/>
    <w:rsid w:val="00D868FA"/>
    <w:rsid w:val="00D942D8"/>
    <w:rsid w:val="00DA1E6E"/>
    <w:rsid w:val="00DF6D58"/>
    <w:rsid w:val="00DF79A0"/>
    <w:rsid w:val="00E01285"/>
    <w:rsid w:val="00E06E72"/>
    <w:rsid w:val="00E101C5"/>
    <w:rsid w:val="00E14352"/>
    <w:rsid w:val="00E25CE9"/>
    <w:rsid w:val="00E25E58"/>
    <w:rsid w:val="00E274D7"/>
    <w:rsid w:val="00E35680"/>
    <w:rsid w:val="00E52AFF"/>
    <w:rsid w:val="00E54E41"/>
    <w:rsid w:val="00E77BFD"/>
    <w:rsid w:val="00EA4F02"/>
    <w:rsid w:val="00EA52D5"/>
    <w:rsid w:val="00EA62F4"/>
    <w:rsid w:val="00EE64AF"/>
    <w:rsid w:val="00EF0362"/>
    <w:rsid w:val="00EF7923"/>
    <w:rsid w:val="00F0169E"/>
    <w:rsid w:val="00F02ECD"/>
    <w:rsid w:val="00F03FEA"/>
    <w:rsid w:val="00F32F3A"/>
    <w:rsid w:val="00F3638E"/>
    <w:rsid w:val="00F37675"/>
    <w:rsid w:val="00F37DD1"/>
    <w:rsid w:val="00F52189"/>
    <w:rsid w:val="00F843F0"/>
    <w:rsid w:val="00F845E1"/>
    <w:rsid w:val="00F87D7A"/>
    <w:rsid w:val="00F90E9A"/>
    <w:rsid w:val="00F9178B"/>
    <w:rsid w:val="00FA2D92"/>
    <w:rsid w:val="00FA79ED"/>
    <w:rsid w:val="00FB055D"/>
    <w:rsid w:val="00FB13FC"/>
    <w:rsid w:val="00FB20DA"/>
    <w:rsid w:val="00FB212B"/>
    <w:rsid w:val="00FC0C10"/>
    <w:rsid w:val="00FC1F1B"/>
    <w:rsid w:val="00FC312F"/>
    <w:rsid w:val="00FD336C"/>
    <w:rsid w:val="0119139B"/>
    <w:rsid w:val="011A6F60"/>
    <w:rsid w:val="012B7512"/>
    <w:rsid w:val="0172088C"/>
    <w:rsid w:val="017A1376"/>
    <w:rsid w:val="017B7B3E"/>
    <w:rsid w:val="0184188F"/>
    <w:rsid w:val="0184631C"/>
    <w:rsid w:val="01850078"/>
    <w:rsid w:val="018D2FE8"/>
    <w:rsid w:val="018E78B1"/>
    <w:rsid w:val="01900FF4"/>
    <w:rsid w:val="019652F4"/>
    <w:rsid w:val="01AE5025"/>
    <w:rsid w:val="01BB5378"/>
    <w:rsid w:val="01BC00F2"/>
    <w:rsid w:val="01C1326C"/>
    <w:rsid w:val="01CB29A8"/>
    <w:rsid w:val="01D16165"/>
    <w:rsid w:val="01D27ACA"/>
    <w:rsid w:val="01D976F9"/>
    <w:rsid w:val="01E07F9A"/>
    <w:rsid w:val="01F42F83"/>
    <w:rsid w:val="020269D3"/>
    <w:rsid w:val="023F5011"/>
    <w:rsid w:val="024E705E"/>
    <w:rsid w:val="024F4C6E"/>
    <w:rsid w:val="025A29F1"/>
    <w:rsid w:val="0270740C"/>
    <w:rsid w:val="0275033F"/>
    <w:rsid w:val="02777676"/>
    <w:rsid w:val="02846786"/>
    <w:rsid w:val="029D3C0D"/>
    <w:rsid w:val="02A976A0"/>
    <w:rsid w:val="02AC5E27"/>
    <w:rsid w:val="02CD4D4B"/>
    <w:rsid w:val="02CE097A"/>
    <w:rsid w:val="02DB1872"/>
    <w:rsid w:val="02F0323D"/>
    <w:rsid w:val="02FC16D0"/>
    <w:rsid w:val="03024553"/>
    <w:rsid w:val="0307725D"/>
    <w:rsid w:val="030F657D"/>
    <w:rsid w:val="03114C33"/>
    <w:rsid w:val="031B4FD7"/>
    <w:rsid w:val="03281C9E"/>
    <w:rsid w:val="032D44B1"/>
    <w:rsid w:val="03384BB1"/>
    <w:rsid w:val="03611F1A"/>
    <w:rsid w:val="0379515C"/>
    <w:rsid w:val="03860219"/>
    <w:rsid w:val="03A07711"/>
    <w:rsid w:val="03C32C35"/>
    <w:rsid w:val="03D22F22"/>
    <w:rsid w:val="03D71513"/>
    <w:rsid w:val="03E5220B"/>
    <w:rsid w:val="03EE2230"/>
    <w:rsid w:val="040860B2"/>
    <w:rsid w:val="0413307A"/>
    <w:rsid w:val="04205902"/>
    <w:rsid w:val="04242978"/>
    <w:rsid w:val="042542F0"/>
    <w:rsid w:val="043848BD"/>
    <w:rsid w:val="043F0DA3"/>
    <w:rsid w:val="04462D9A"/>
    <w:rsid w:val="045937BA"/>
    <w:rsid w:val="046C2B8A"/>
    <w:rsid w:val="048E2D9A"/>
    <w:rsid w:val="04A406D7"/>
    <w:rsid w:val="04BC5076"/>
    <w:rsid w:val="04CE689B"/>
    <w:rsid w:val="050304FE"/>
    <w:rsid w:val="050D5612"/>
    <w:rsid w:val="0526328F"/>
    <w:rsid w:val="05280467"/>
    <w:rsid w:val="053378AE"/>
    <w:rsid w:val="05406E25"/>
    <w:rsid w:val="05466AD0"/>
    <w:rsid w:val="054E5D9E"/>
    <w:rsid w:val="055A5230"/>
    <w:rsid w:val="055D0F3B"/>
    <w:rsid w:val="057909E1"/>
    <w:rsid w:val="057D02EC"/>
    <w:rsid w:val="057D1D75"/>
    <w:rsid w:val="057E0F8D"/>
    <w:rsid w:val="05836ADA"/>
    <w:rsid w:val="0597427D"/>
    <w:rsid w:val="059B00A7"/>
    <w:rsid w:val="059E36F3"/>
    <w:rsid w:val="05AB0733"/>
    <w:rsid w:val="05BF43F2"/>
    <w:rsid w:val="05BF77A3"/>
    <w:rsid w:val="05DD54EF"/>
    <w:rsid w:val="05F74C2E"/>
    <w:rsid w:val="06073B0D"/>
    <w:rsid w:val="06156B24"/>
    <w:rsid w:val="062B1081"/>
    <w:rsid w:val="063F521C"/>
    <w:rsid w:val="065B5A01"/>
    <w:rsid w:val="06890048"/>
    <w:rsid w:val="068D2C76"/>
    <w:rsid w:val="06907DF6"/>
    <w:rsid w:val="06B20CD6"/>
    <w:rsid w:val="06BD767F"/>
    <w:rsid w:val="06BE7D00"/>
    <w:rsid w:val="06EB697C"/>
    <w:rsid w:val="07127320"/>
    <w:rsid w:val="0719389B"/>
    <w:rsid w:val="071A48FE"/>
    <w:rsid w:val="072C076C"/>
    <w:rsid w:val="072D56D3"/>
    <w:rsid w:val="0736799C"/>
    <w:rsid w:val="073B7E00"/>
    <w:rsid w:val="07413BF2"/>
    <w:rsid w:val="07603861"/>
    <w:rsid w:val="076210D8"/>
    <w:rsid w:val="077C5445"/>
    <w:rsid w:val="0780328F"/>
    <w:rsid w:val="07A40D62"/>
    <w:rsid w:val="07AA4A46"/>
    <w:rsid w:val="07E43806"/>
    <w:rsid w:val="07E5001C"/>
    <w:rsid w:val="082600C2"/>
    <w:rsid w:val="08306D85"/>
    <w:rsid w:val="08557AA0"/>
    <w:rsid w:val="085B1963"/>
    <w:rsid w:val="0865028C"/>
    <w:rsid w:val="08690C4F"/>
    <w:rsid w:val="087752CE"/>
    <w:rsid w:val="08AA18B2"/>
    <w:rsid w:val="08B039B6"/>
    <w:rsid w:val="08C93603"/>
    <w:rsid w:val="08CC0603"/>
    <w:rsid w:val="08E02679"/>
    <w:rsid w:val="08E06F0C"/>
    <w:rsid w:val="08E34FF3"/>
    <w:rsid w:val="0903004C"/>
    <w:rsid w:val="09035DC8"/>
    <w:rsid w:val="09110342"/>
    <w:rsid w:val="091E1038"/>
    <w:rsid w:val="092B1014"/>
    <w:rsid w:val="093A1BBD"/>
    <w:rsid w:val="09415222"/>
    <w:rsid w:val="094A3778"/>
    <w:rsid w:val="09501E33"/>
    <w:rsid w:val="095D16C1"/>
    <w:rsid w:val="09627501"/>
    <w:rsid w:val="0985130B"/>
    <w:rsid w:val="09A3752A"/>
    <w:rsid w:val="09AC29C3"/>
    <w:rsid w:val="09B958DD"/>
    <w:rsid w:val="09CA6A7A"/>
    <w:rsid w:val="09DA5756"/>
    <w:rsid w:val="09DC263D"/>
    <w:rsid w:val="09FA681B"/>
    <w:rsid w:val="0A037E2F"/>
    <w:rsid w:val="0A0402F4"/>
    <w:rsid w:val="0A0E0F48"/>
    <w:rsid w:val="0A154975"/>
    <w:rsid w:val="0A24565F"/>
    <w:rsid w:val="0A2C12CA"/>
    <w:rsid w:val="0A2F73EC"/>
    <w:rsid w:val="0A5343BB"/>
    <w:rsid w:val="0A636C67"/>
    <w:rsid w:val="0A67769D"/>
    <w:rsid w:val="0A68236A"/>
    <w:rsid w:val="0A73765A"/>
    <w:rsid w:val="0A844F3D"/>
    <w:rsid w:val="0A870EFF"/>
    <w:rsid w:val="0A9224F0"/>
    <w:rsid w:val="0A996C7D"/>
    <w:rsid w:val="0AA83ED9"/>
    <w:rsid w:val="0AAF7AB0"/>
    <w:rsid w:val="0AC2430A"/>
    <w:rsid w:val="0AD43F2A"/>
    <w:rsid w:val="0AE60305"/>
    <w:rsid w:val="0AE64A4E"/>
    <w:rsid w:val="0AF8299A"/>
    <w:rsid w:val="0B0F4E87"/>
    <w:rsid w:val="0B1669B2"/>
    <w:rsid w:val="0B3B770C"/>
    <w:rsid w:val="0B3D2868"/>
    <w:rsid w:val="0B5F4024"/>
    <w:rsid w:val="0B665A1A"/>
    <w:rsid w:val="0B6C5381"/>
    <w:rsid w:val="0B6E5E32"/>
    <w:rsid w:val="0B7C202A"/>
    <w:rsid w:val="0B7C6A34"/>
    <w:rsid w:val="0B956CB0"/>
    <w:rsid w:val="0BB602C9"/>
    <w:rsid w:val="0BB77561"/>
    <w:rsid w:val="0BC221AF"/>
    <w:rsid w:val="0BCC3123"/>
    <w:rsid w:val="0BCD258F"/>
    <w:rsid w:val="0BCE7731"/>
    <w:rsid w:val="0BE57DD1"/>
    <w:rsid w:val="0BE95617"/>
    <w:rsid w:val="0C2647C1"/>
    <w:rsid w:val="0C3329E8"/>
    <w:rsid w:val="0C346451"/>
    <w:rsid w:val="0C5149F8"/>
    <w:rsid w:val="0C571740"/>
    <w:rsid w:val="0C644F2E"/>
    <w:rsid w:val="0C8110A2"/>
    <w:rsid w:val="0C862B83"/>
    <w:rsid w:val="0C8A515C"/>
    <w:rsid w:val="0C9408B1"/>
    <w:rsid w:val="0CB956BC"/>
    <w:rsid w:val="0CC84DB4"/>
    <w:rsid w:val="0CCA0CEC"/>
    <w:rsid w:val="0CD95F1B"/>
    <w:rsid w:val="0CDB0D93"/>
    <w:rsid w:val="0CE45BF2"/>
    <w:rsid w:val="0CF63AC6"/>
    <w:rsid w:val="0D201908"/>
    <w:rsid w:val="0D215BAD"/>
    <w:rsid w:val="0D217FB6"/>
    <w:rsid w:val="0D2322C1"/>
    <w:rsid w:val="0D31087C"/>
    <w:rsid w:val="0D3D0602"/>
    <w:rsid w:val="0D5D1405"/>
    <w:rsid w:val="0D614074"/>
    <w:rsid w:val="0D9E1764"/>
    <w:rsid w:val="0D9E1D21"/>
    <w:rsid w:val="0D9F2933"/>
    <w:rsid w:val="0DAD0BE4"/>
    <w:rsid w:val="0DB34F14"/>
    <w:rsid w:val="0DBF428C"/>
    <w:rsid w:val="0DC32815"/>
    <w:rsid w:val="0DCB7564"/>
    <w:rsid w:val="0DCC7F1F"/>
    <w:rsid w:val="0DCF1CEC"/>
    <w:rsid w:val="0DE56420"/>
    <w:rsid w:val="0DF80D2F"/>
    <w:rsid w:val="0E020B6B"/>
    <w:rsid w:val="0E1B50D4"/>
    <w:rsid w:val="0E1D36E7"/>
    <w:rsid w:val="0E200118"/>
    <w:rsid w:val="0E3A731C"/>
    <w:rsid w:val="0E5C62A4"/>
    <w:rsid w:val="0E6A754B"/>
    <w:rsid w:val="0E807B7C"/>
    <w:rsid w:val="0E8A030C"/>
    <w:rsid w:val="0EA80D89"/>
    <w:rsid w:val="0EC87565"/>
    <w:rsid w:val="0ECA6D61"/>
    <w:rsid w:val="0ECD5BF9"/>
    <w:rsid w:val="0ECE64B9"/>
    <w:rsid w:val="0EF05572"/>
    <w:rsid w:val="0EFF4355"/>
    <w:rsid w:val="0F1C1F4B"/>
    <w:rsid w:val="0F2D73AD"/>
    <w:rsid w:val="0F33534F"/>
    <w:rsid w:val="0F4B02CE"/>
    <w:rsid w:val="0F4D7123"/>
    <w:rsid w:val="0F53083B"/>
    <w:rsid w:val="0F5C07E3"/>
    <w:rsid w:val="0F6126F8"/>
    <w:rsid w:val="0F6B1F68"/>
    <w:rsid w:val="0F8503D6"/>
    <w:rsid w:val="0F895D4C"/>
    <w:rsid w:val="0F8A633E"/>
    <w:rsid w:val="0F8E4757"/>
    <w:rsid w:val="0F97343D"/>
    <w:rsid w:val="0F9A707D"/>
    <w:rsid w:val="0FAB28FB"/>
    <w:rsid w:val="0FB72F0D"/>
    <w:rsid w:val="0FD80DC2"/>
    <w:rsid w:val="0FEC34D0"/>
    <w:rsid w:val="0FF371E2"/>
    <w:rsid w:val="10064890"/>
    <w:rsid w:val="1027304F"/>
    <w:rsid w:val="10393748"/>
    <w:rsid w:val="10500F35"/>
    <w:rsid w:val="105F192F"/>
    <w:rsid w:val="106C577E"/>
    <w:rsid w:val="107E409D"/>
    <w:rsid w:val="10815ACD"/>
    <w:rsid w:val="108C3C26"/>
    <w:rsid w:val="108E293A"/>
    <w:rsid w:val="10BD11CB"/>
    <w:rsid w:val="10C5422A"/>
    <w:rsid w:val="10EF4D6B"/>
    <w:rsid w:val="10F06AF3"/>
    <w:rsid w:val="10F74798"/>
    <w:rsid w:val="10FE4384"/>
    <w:rsid w:val="110A197C"/>
    <w:rsid w:val="111456A1"/>
    <w:rsid w:val="113F5796"/>
    <w:rsid w:val="1142519B"/>
    <w:rsid w:val="116D4004"/>
    <w:rsid w:val="117466BF"/>
    <w:rsid w:val="1188035B"/>
    <w:rsid w:val="118A4BB1"/>
    <w:rsid w:val="119014B5"/>
    <w:rsid w:val="119F6B9F"/>
    <w:rsid w:val="11A31BB8"/>
    <w:rsid w:val="11AA65F7"/>
    <w:rsid w:val="11B21415"/>
    <w:rsid w:val="11D66EDD"/>
    <w:rsid w:val="11E703CC"/>
    <w:rsid w:val="11E718F8"/>
    <w:rsid w:val="11F87298"/>
    <w:rsid w:val="12273FB1"/>
    <w:rsid w:val="12634B1E"/>
    <w:rsid w:val="12675644"/>
    <w:rsid w:val="128F39B9"/>
    <w:rsid w:val="12A3061F"/>
    <w:rsid w:val="12AE0195"/>
    <w:rsid w:val="12B957EB"/>
    <w:rsid w:val="12D04CCA"/>
    <w:rsid w:val="12E43E6E"/>
    <w:rsid w:val="12EA3BAE"/>
    <w:rsid w:val="12EB67CB"/>
    <w:rsid w:val="12F21F5A"/>
    <w:rsid w:val="12F220DD"/>
    <w:rsid w:val="130C0067"/>
    <w:rsid w:val="1348464E"/>
    <w:rsid w:val="13565C74"/>
    <w:rsid w:val="135A5FCC"/>
    <w:rsid w:val="135D6079"/>
    <w:rsid w:val="136473C7"/>
    <w:rsid w:val="13693A6F"/>
    <w:rsid w:val="136A10B9"/>
    <w:rsid w:val="136A5003"/>
    <w:rsid w:val="13766451"/>
    <w:rsid w:val="13965A6F"/>
    <w:rsid w:val="13A370A5"/>
    <w:rsid w:val="13AF5A71"/>
    <w:rsid w:val="13CA46F8"/>
    <w:rsid w:val="13CD18A0"/>
    <w:rsid w:val="13D04A91"/>
    <w:rsid w:val="13DF5D97"/>
    <w:rsid w:val="13E348AD"/>
    <w:rsid w:val="13FF1634"/>
    <w:rsid w:val="140416E5"/>
    <w:rsid w:val="141379A2"/>
    <w:rsid w:val="1434560B"/>
    <w:rsid w:val="14423DE3"/>
    <w:rsid w:val="14436FA7"/>
    <w:rsid w:val="144A35BD"/>
    <w:rsid w:val="14530434"/>
    <w:rsid w:val="148E3E83"/>
    <w:rsid w:val="148F1019"/>
    <w:rsid w:val="1497203A"/>
    <w:rsid w:val="149743E3"/>
    <w:rsid w:val="14B3566B"/>
    <w:rsid w:val="14B733A0"/>
    <w:rsid w:val="14B93F12"/>
    <w:rsid w:val="14BC23A8"/>
    <w:rsid w:val="14C305AC"/>
    <w:rsid w:val="14C6358D"/>
    <w:rsid w:val="14CA12A5"/>
    <w:rsid w:val="14CD1754"/>
    <w:rsid w:val="14CD4BF2"/>
    <w:rsid w:val="14CF03CF"/>
    <w:rsid w:val="14DF6855"/>
    <w:rsid w:val="14E360E8"/>
    <w:rsid w:val="14F42DB7"/>
    <w:rsid w:val="14FF7E50"/>
    <w:rsid w:val="150367C0"/>
    <w:rsid w:val="150B30B8"/>
    <w:rsid w:val="15116E82"/>
    <w:rsid w:val="151547B8"/>
    <w:rsid w:val="15192D96"/>
    <w:rsid w:val="151C4000"/>
    <w:rsid w:val="15227492"/>
    <w:rsid w:val="15247A64"/>
    <w:rsid w:val="152F5D79"/>
    <w:rsid w:val="1531188A"/>
    <w:rsid w:val="153605E7"/>
    <w:rsid w:val="153C6A42"/>
    <w:rsid w:val="154510DF"/>
    <w:rsid w:val="154A170E"/>
    <w:rsid w:val="154F6D01"/>
    <w:rsid w:val="15694A29"/>
    <w:rsid w:val="157355C5"/>
    <w:rsid w:val="15747157"/>
    <w:rsid w:val="15850A65"/>
    <w:rsid w:val="159914F7"/>
    <w:rsid w:val="159F0114"/>
    <w:rsid w:val="15AA14C0"/>
    <w:rsid w:val="15CE1DC2"/>
    <w:rsid w:val="15DF0449"/>
    <w:rsid w:val="15E30C8B"/>
    <w:rsid w:val="15E46F6D"/>
    <w:rsid w:val="15F47A7C"/>
    <w:rsid w:val="15FD3EBA"/>
    <w:rsid w:val="16027BE7"/>
    <w:rsid w:val="160C45E8"/>
    <w:rsid w:val="16176532"/>
    <w:rsid w:val="16181B81"/>
    <w:rsid w:val="161C3356"/>
    <w:rsid w:val="162A03FF"/>
    <w:rsid w:val="1633748D"/>
    <w:rsid w:val="163D3794"/>
    <w:rsid w:val="163F43C1"/>
    <w:rsid w:val="163F5E48"/>
    <w:rsid w:val="164023A1"/>
    <w:rsid w:val="16482432"/>
    <w:rsid w:val="1654243B"/>
    <w:rsid w:val="16662EC4"/>
    <w:rsid w:val="16727DE1"/>
    <w:rsid w:val="167E282C"/>
    <w:rsid w:val="169D44BD"/>
    <w:rsid w:val="169E1268"/>
    <w:rsid w:val="16A315E8"/>
    <w:rsid w:val="16C72D23"/>
    <w:rsid w:val="16D220A3"/>
    <w:rsid w:val="16D332C5"/>
    <w:rsid w:val="16DD6B31"/>
    <w:rsid w:val="16DE2ADE"/>
    <w:rsid w:val="16F5179D"/>
    <w:rsid w:val="16F91617"/>
    <w:rsid w:val="16F95FE5"/>
    <w:rsid w:val="17146DB0"/>
    <w:rsid w:val="172B1B14"/>
    <w:rsid w:val="172C1DAE"/>
    <w:rsid w:val="173D4A5F"/>
    <w:rsid w:val="17431A0D"/>
    <w:rsid w:val="1790337D"/>
    <w:rsid w:val="17932A82"/>
    <w:rsid w:val="17E41719"/>
    <w:rsid w:val="17E62AA7"/>
    <w:rsid w:val="17EF2C21"/>
    <w:rsid w:val="17FC0AC2"/>
    <w:rsid w:val="17FC7DAB"/>
    <w:rsid w:val="17FE1596"/>
    <w:rsid w:val="17FE1673"/>
    <w:rsid w:val="180A4BE2"/>
    <w:rsid w:val="18345D8A"/>
    <w:rsid w:val="18370513"/>
    <w:rsid w:val="18376203"/>
    <w:rsid w:val="183C4479"/>
    <w:rsid w:val="18742579"/>
    <w:rsid w:val="188106BA"/>
    <w:rsid w:val="18875045"/>
    <w:rsid w:val="188A5D5E"/>
    <w:rsid w:val="18AC5A87"/>
    <w:rsid w:val="18BF3BA1"/>
    <w:rsid w:val="18CD1949"/>
    <w:rsid w:val="18DC7A26"/>
    <w:rsid w:val="18DE6279"/>
    <w:rsid w:val="18EF46F1"/>
    <w:rsid w:val="18F410F4"/>
    <w:rsid w:val="18F57B56"/>
    <w:rsid w:val="190E12DB"/>
    <w:rsid w:val="190E4781"/>
    <w:rsid w:val="1913253A"/>
    <w:rsid w:val="19171450"/>
    <w:rsid w:val="191B6DF9"/>
    <w:rsid w:val="191D1906"/>
    <w:rsid w:val="193020E6"/>
    <w:rsid w:val="195238E8"/>
    <w:rsid w:val="19600542"/>
    <w:rsid w:val="19700435"/>
    <w:rsid w:val="19837757"/>
    <w:rsid w:val="19856B8F"/>
    <w:rsid w:val="19BD4786"/>
    <w:rsid w:val="19C2358F"/>
    <w:rsid w:val="19CC6629"/>
    <w:rsid w:val="19DF72F9"/>
    <w:rsid w:val="19F607EE"/>
    <w:rsid w:val="1A055B6E"/>
    <w:rsid w:val="1A2204DF"/>
    <w:rsid w:val="1A4716FB"/>
    <w:rsid w:val="1A4843BE"/>
    <w:rsid w:val="1A49321F"/>
    <w:rsid w:val="1A56486E"/>
    <w:rsid w:val="1A6A6005"/>
    <w:rsid w:val="1A6B70D6"/>
    <w:rsid w:val="1A8525DF"/>
    <w:rsid w:val="1A920F98"/>
    <w:rsid w:val="1A974B8B"/>
    <w:rsid w:val="1A9F6C51"/>
    <w:rsid w:val="1AA53386"/>
    <w:rsid w:val="1AAB25B0"/>
    <w:rsid w:val="1AAF6A68"/>
    <w:rsid w:val="1AB77E75"/>
    <w:rsid w:val="1AB806B1"/>
    <w:rsid w:val="1ABB5FB5"/>
    <w:rsid w:val="1AC50250"/>
    <w:rsid w:val="1AD14567"/>
    <w:rsid w:val="1ADA513A"/>
    <w:rsid w:val="1AEC4F0B"/>
    <w:rsid w:val="1AF26613"/>
    <w:rsid w:val="1AF85385"/>
    <w:rsid w:val="1AFE7AF2"/>
    <w:rsid w:val="1B023436"/>
    <w:rsid w:val="1B22583F"/>
    <w:rsid w:val="1B253D2E"/>
    <w:rsid w:val="1B4B01E9"/>
    <w:rsid w:val="1B4F7855"/>
    <w:rsid w:val="1B593908"/>
    <w:rsid w:val="1B5D6A3F"/>
    <w:rsid w:val="1B5F708B"/>
    <w:rsid w:val="1B6566FB"/>
    <w:rsid w:val="1B6B2243"/>
    <w:rsid w:val="1B7529AF"/>
    <w:rsid w:val="1B8D6265"/>
    <w:rsid w:val="1B99749C"/>
    <w:rsid w:val="1B9B08B2"/>
    <w:rsid w:val="1BA5543E"/>
    <w:rsid w:val="1BB66088"/>
    <w:rsid w:val="1BC162F9"/>
    <w:rsid w:val="1BC30A94"/>
    <w:rsid w:val="1BD86BA5"/>
    <w:rsid w:val="1BDB434B"/>
    <w:rsid w:val="1BF76724"/>
    <w:rsid w:val="1BFC5495"/>
    <w:rsid w:val="1BFD0C48"/>
    <w:rsid w:val="1BFF75B4"/>
    <w:rsid w:val="1C027925"/>
    <w:rsid w:val="1C0F4D75"/>
    <w:rsid w:val="1C1316D8"/>
    <w:rsid w:val="1C1653DE"/>
    <w:rsid w:val="1C1B73F4"/>
    <w:rsid w:val="1C2E3419"/>
    <w:rsid w:val="1C546FA2"/>
    <w:rsid w:val="1C6548DB"/>
    <w:rsid w:val="1C694A85"/>
    <w:rsid w:val="1C743378"/>
    <w:rsid w:val="1C7A0A18"/>
    <w:rsid w:val="1C936CCC"/>
    <w:rsid w:val="1C9B12DD"/>
    <w:rsid w:val="1CAD4738"/>
    <w:rsid w:val="1CB34EF1"/>
    <w:rsid w:val="1CCA74B1"/>
    <w:rsid w:val="1CCD3ED3"/>
    <w:rsid w:val="1CD33C8D"/>
    <w:rsid w:val="1CD62325"/>
    <w:rsid w:val="1CF83C46"/>
    <w:rsid w:val="1CFA7874"/>
    <w:rsid w:val="1D0826D3"/>
    <w:rsid w:val="1D0B5B65"/>
    <w:rsid w:val="1D0E5433"/>
    <w:rsid w:val="1D161465"/>
    <w:rsid w:val="1D327E57"/>
    <w:rsid w:val="1D3A18E4"/>
    <w:rsid w:val="1D46008F"/>
    <w:rsid w:val="1D576965"/>
    <w:rsid w:val="1D596594"/>
    <w:rsid w:val="1D644450"/>
    <w:rsid w:val="1D7A639C"/>
    <w:rsid w:val="1D8545A6"/>
    <w:rsid w:val="1D985C6E"/>
    <w:rsid w:val="1DB45D52"/>
    <w:rsid w:val="1DBE0608"/>
    <w:rsid w:val="1DD7544D"/>
    <w:rsid w:val="1DEB1048"/>
    <w:rsid w:val="1DEB4805"/>
    <w:rsid w:val="1DF21B83"/>
    <w:rsid w:val="1DF41A30"/>
    <w:rsid w:val="1DF4463C"/>
    <w:rsid w:val="1DFC5EBA"/>
    <w:rsid w:val="1E093229"/>
    <w:rsid w:val="1E0E166B"/>
    <w:rsid w:val="1E1124D8"/>
    <w:rsid w:val="1E284886"/>
    <w:rsid w:val="1E3D6CC8"/>
    <w:rsid w:val="1E6240C6"/>
    <w:rsid w:val="1E690E5E"/>
    <w:rsid w:val="1E7D07F0"/>
    <w:rsid w:val="1E7D1C4A"/>
    <w:rsid w:val="1E95273B"/>
    <w:rsid w:val="1EA04077"/>
    <w:rsid w:val="1EAE009C"/>
    <w:rsid w:val="1EB1746C"/>
    <w:rsid w:val="1EC30CDB"/>
    <w:rsid w:val="1EC82DA6"/>
    <w:rsid w:val="1ECB5101"/>
    <w:rsid w:val="1EF11E2E"/>
    <w:rsid w:val="1EF41E5D"/>
    <w:rsid w:val="1EFA667B"/>
    <w:rsid w:val="1F0F6830"/>
    <w:rsid w:val="1F270062"/>
    <w:rsid w:val="1F3D026E"/>
    <w:rsid w:val="1F3F3481"/>
    <w:rsid w:val="1F571835"/>
    <w:rsid w:val="1F58218D"/>
    <w:rsid w:val="1F5A011E"/>
    <w:rsid w:val="1F5C4677"/>
    <w:rsid w:val="1F7B06AC"/>
    <w:rsid w:val="1F7F0371"/>
    <w:rsid w:val="1F8054F8"/>
    <w:rsid w:val="1F982ED4"/>
    <w:rsid w:val="1F984D5C"/>
    <w:rsid w:val="1FC07F49"/>
    <w:rsid w:val="1FCC0EF5"/>
    <w:rsid w:val="1FD00093"/>
    <w:rsid w:val="1FD57546"/>
    <w:rsid w:val="201A26D0"/>
    <w:rsid w:val="202C6230"/>
    <w:rsid w:val="203A0003"/>
    <w:rsid w:val="203B4D31"/>
    <w:rsid w:val="204D5429"/>
    <w:rsid w:val="20551955"/>
    <w:rsid w:val="20586AD2"/>
    <w:rsid w:val="206E2C71"/>
    <w:rsid w:val="2074170F"/>
    <w:rsid w:val="207811BD"/>
    <w:rsid w:val="207F7945"/>
    <w:rsid w:val="2085708B"/>
    <w:rsid w:val="208D370F"/>
    <w:rsid w:val="20B31AFE"/>
    <w:rsid w:val="20BC1BD0"/>
    <w:rsid w:val="20DB05CD"/>
    <w:rsid w:val="21063FF6"/>
    <w:rsid w:val="2111040D"/>
    <w:rsid w:val="212665AE"/>
    <w:rsid w:val="21311EA5"/>
    <w:rsid w:val="213D6CA6"/>
    <w:rsid w:val="215017E8"/>
    <w:rsid w:val="216E0053"/>
    <w:rsid w:val="2183368C"/>
    <w:rsid w:val="21943A2C"/>
    <w:rsid w:val="219C5C30"/>
    <w:rsid w:val="219D639D"/>
    <w:rsid w:val="219E24D2"/>
    <w:rsid w:val="219F5527"/>
    <w:rsid w:val="21C25F7F"/>
    <w:rsid w:val="21C86D7A"/>
    <w:rsid w:val="21CB7F3A"/>
    <w:rsid w:val="21CC6C91"/>
    <w:rsid w:val="21F148E9"/>
    <w:rsid w:val="22043216"/>
    <w:rsid w:val="220553C9"/>
    <w:rsid w:val="220C1172"/>
    <w:rsid w:val="22195E99"/>
    <w:rsid w:val="2224538C"/>
    <w:rsid w:val="22324FE5"/>
    <w:rsid w:val="2247551E"/>
    <w:rsid w:val="22492769"/>
    <w:rsid w:val="224D233A"/>
    <w:rsid w:val="22746D6D"/>
    <w:rsid w:val="22781603"/>
    <w:rsid w:val="227E2081"/>
    <w:rsid w:val="22943074"/>
    <w:rsid w:val="229F30BB"/>
    <w:rsid w:val="22AA0743"/>
    <w:rsid w:val="22AA3D0C"/>
    <w:rsid w:val="22C07814"/>
    <w:rsid w:val="22CF0252"/>
    <w:rsid w:val="22D32253"/>
    <w:rsid w:val="22EF6F20"/>
    <w:rsid w:val="22F453AC"/>
    <w:rsid w:val="2304779B"/>
    <w:rsid w:val="231E19DF"/>
    <w:rsid w:val="232447FB"/>
    <w:rsid w:val="23250BAC"/>
    <w:rsid w:val="2398676A"/>
    <w:rsid w:val="23BA1713"/>
    <w:rsid w:val="23BE435F"/>
    <w:rsid w:val="23C30376"/>
    <w:rsid w:val="23C83D48"/>
    <w:rsid w:val="23E021C9"/>
    <w:rsid w:val="23E409BB"/>
    <w:rsid w:val="23EB5B08"/>
    <w:rsid w:val="23F514FD"/>
    <w:rsid w:val="23FB1741"/>
    <w:rsid w:val="23FE7C16"/>
    <w:rsid w:val="24003517"/>
    <w:rsid w:val="24033B00"/>
    <w:rsid w:val="240F633F"/>
    <w:rsid w:val="24194349"/>
    <w:rsid w:val="241F2FAC"/>
    <w:rsid w:val="242D0046"/>
    <w:rsid w:val="242E7DE4"/>
    <w:rsid w:val="2449672E"/>
    <w:rsid w:val="244C19C5"/>
    <w:rsid w:val="244C4E42"/>
    <w:rsid w:val="24503FA9"/>
    <w:rsid w:val="24556463"/>
    <w:rsid w:val="246C3CB4"/>
    <w:rsid w:val="247206A5"/>
    <w:rsid w:val="24751FEE"/>
    <w:rsid w:val="247C6FB7"/>
    <w:rsid w:val="2484792C"/>
    <w:rsid w:val="24A159B9"/>
    <w:rsid w:val="24A34E1C"/>
    <w:rsid w:val="24B83AB7"/>
    <w:rsid w:val="24D75BD0"/>
    <w:rsid w:val="24EC15BA"/>
    <w:rsid w:val="25040446"/>
    <w:rsid w:val="250927C0"/>
    <w:rsid w:val="251332CE"/>
    <w:rsid w:val="25177E64"/>
    <w:rsid w:val="251D41DD"/>
    <w:rsid w:val="25200A3A"/>
    <w:rsid w:val="252C56FF"/>
    <w:rsid w:val="255C72E7"/>
    <w:rsid w:val="256D1D94"/>
    <w:rsid w:val="2572526C"/>
    <w:rsid w:val="257A2084"/>
    <w:rsid w:val="258B16B5"/>
    <w:rsid w:val="25A1584D"/>
    <w:rsid w:val="25B310C7"/>
    <w:rsid w:val="25EE023D"/>
    <w:rsid w:val="2625105C"/>
    <w:rsid w:val="262D044F"/>
    <w:rsid w:val="263521FC"/>
    <w:rsid w:val="263B5086"/>
    <w:rsid w:val="26485096"/>
    <w:rsid w:val="26787FE9"/>
    <w:rsid w:val="268D036B"/>
    <w:rsid w:val="26995AE5"/>
    <w:rsid w:val="26B26BA7"/>
    <w:rsid w:val="26B631D7"/>
    <w:rsid w:val="26B9722F"/>
    <w:rsid w:val="26C401F9"/>
    <w:rsid w:val="26C47815"/>
    <w:rsid w:val="26E33624"/>
    <w:rsid w:val="27020C9E"/>
    <w:rsid w:val="27315D59"/>
    <w:rsid w:val="27553060"/>
    <w:rsid w:val="27595A6D"/>
    <w:rsid w:val="275B7935"/>
    <w:rsid w:val="27674805"/>
    <w:rsid w:val="277F4CDB"/>
    <w:rsid w:val="279426A1"/>
    <w:rsid w:val="279D3FFA"/>
    <w:rsid w:val="27A05A4B"/>
    <w:rsid w:val="27A566B4"/>
    <w:rsid w:val="27A6794D"/>
    <w:rsid w:val="27A73652"/>
    <w:rsid w:val="27AF7B23"/>
    <w:rsid w:val="27B45BAD"/>
    <w:rsid w:val="27B611CB"/>
    <w:rsid w:val="27CA27BD"/>
    <w:rsid w:val="27D23000"/>
    <w:rsid w:val="27D3783B"/>
    <w:rsid w:val="27D516BF"/>
    <w:rsid w:val="27EC1CE1"/>
    <w:rsid w:val="27EC41C1"/>
    <w:rsid w:val="27F9469B"/>
    <w:rsid w:val="280C161A"/>
    <w:rsid w:val="281A4A03"/>
    <w:rsid w:val="28213EF5"/>
    <w:rsid w:val="282441FE"/>
    <w:rsid w:val="28284B06"/>
    <w:rsid w:val="284F0B62"/>
    <w:rsid w:val="285C6D29"/>
    <w:rsid w:val="287F0225"/>
    <w:rsid w:val="28873B75"/>
    <w:rsid w:val="289274C2"/>
    <w:rsid w:val="28967876"/>
    <w:rsid w:val="28AD5BAF"/>
    <w:rsid w:val="28B7497D"/>
    <w:rsid w:val="28BB0FE9"/>
    <w:rsid w:val="28BD129C"/>
    <w:rsid w:val="28E2421D"/>
    <w:rsid w:val="28E50750"/>
    <w:rsid w:val="29045DFD"/>
    <w:rsid w:val="291D3EAE"/>
    <w:rsid w:val="291D7D65"/>
    <w:rsid w:val="291E4868"/>
    <w:rsid w:val="292473CB"/>
    <w:rsid w:val="29264D8C"/>
    <w:rsid w:val="2934369F"/>
    <w:rsid w:val="2936446B"/>
    <w:rsid w:val="29371222"/>
    <w:rsid w:val="293A6459"/>
    <w:rsid w:val="294806D3"/>
    <w:rsid w:val="294946B1"/>
    <w:rsid w:val="295D4A59"/>
    <w:rsid w:val="295E4748"/>
    <w:rsid w:val="29601992"/>
    <w:rsid w:val="2978756B"/>
    <w:rsid w:val="297C4FCF"/>
    <w:rsid w:val="298311B1"/>
    <w:rsid w:val="29AE6E7B"/>
    <w:rsid w:val="29C75BF1"/>
    <w:rsid w:val="29C77FFB"/>
    <w:rsid w:val="29C80440"/>
    <w:rsid w:val="29FC4531"/>
    <w:rsid w:val="2A245842"/>
    <w:rsid w:val="2A2A5F95"/>
    <w:rsid w:val="2A366B00"/>
    <w:rsid w:val="2A5C7E4C"/>
    <w:rsid w:val="2A614EDE"/>
    <w:rsid w:val="2A684B44"/>
    <w:rsid w:val="2A6A21FD"/>
    <w:rsid w:val="2A715F2F"/>
    <w:rsid w:val="2A7E03B4"/>
    <w:rsid w:val="2AAB110B"/>
    <w:rsid w:val="2AAC3ABA"/>
    <w:rsid w:val="2AB21B99"/>
    <w:rsid w:val="2AB46171"/>
    <w:rsid w:val="2ABF1BAF"/>
    <w:rsid w:val="2ACA1782"/>
    <w:rsid w:val="2ACA733E"/>
    <w:rsid w:val="2ACB432F"/>
    <w:rsid w:val="2AE259DC"/>
    <w:rsid w:val="2B2354C6"/>
    <w:rsid w:val="2B2E50A3"/>
    <w:rsid w:val="2B34574C"/>
    <w:rsid w:val="2B3D1AE4"/>
    <w:rsid w:val="2B47657D"/>
    <w:rsid w:val="2B5C4116"/>
    <w:rsid w:val="2B7128C3"/>
    <w:rsid w:val="2B9132FE"/>
    <w:rsid w:val="2BCB1CCD"/>
    <w:rsid w:val="2BED42B0"/>
    <w:rsid w:val="2BF72439"/>
    <w:rsid w:val="2C0F7CEA"/>
    <w:rsid w:val="2C1113BE"/>
    <w:rsid w:val="2C120FBA"/>
    <w:rsid w:val="2C147D3C"/>
    <w:rsid w:val="2C324090"/>
    <w:rsid w:val="2C3C6A84"/>
    <w:rsid w:val="2C3C7944"/>
    <w:rsid w:val="2C4B19F0"/>
    <w:rsid w:val="2C725452"/>
    <w:rsid w:val="2C73599E"/>
    <w:rsid w:val="2C933DFF"/>
    <w:rsid w:val="2CA22633"/>
    <w:rsid w:val="2CA27188"/>
    <w:rsid w:val="2CA345C9"/>
    <w:rsid w:val="2CA8518B"/>
    <w:rsid w:val="2CE12E91"/>
    <w:rsid w:val="2CE63DF8"/>
    <w:rsid w:val="2CEC395E"/>
    <w:rsid w:val="2CFB26C8"/>
    <w:rsid w:val="2D013BD6"/>
    <w:rsid w:val="2D0357CE"/>
    <w:rsid w:val="2D0A3CEA"/>
    <w:rsid w:val="2D105807"/>
    <w:rsid w:val="2D1550EE"/>
    <w:rsid w:val="2D184247"/>
    <w:rsid w:val="2D247631"/>
    <w:rsid w:val="2D47212A"/>
    <w:rsid w:val="2D5C07CA"/>
    <w:rsid w:val="2D7C5BAA"/>
    <w:rsid w:val="2DA872D5"/>
    <w:rsid w:val="2DCB5D1D"/>
    <w:rsid w:val="2DD72371"/>
    <w:rsid w:val="2DDA0415"/>
    <w:rsid w:val="2DDB109D"/>
    <w:rsid w:val="2DE36B1A"/>
    <w:rsid w:val="2DEC32C7"/>
    <w:rsid w:val="2DFF5DC1"/>
    <w:rsid w:val="2E100518"/>
    <w:rsid w:val="2E271856"/>
    <w:rsid w:val="2E2C5F9D"/>
    <w:rsid w:val="2E306D43"/>
    <w:rsid w:val="2E41104D"/>
    <w:rsid w:val="2E503645"/>
    <w:rsid w:val="2E5E6A69"/>
    <w:rsid w:val="2E66748C"/>
    <w:rsid w:val="2E703523"/>
    <w:rsid w:val="2E706FDD"/>
    <w:rsid w:val="2E8F6D9B"/>
    <w:rsid w:val="2E925117"/>
    <w:rsid w:val="2E9D1E0B"/>
    <w:rsid w:val="2EA61CD4"/>
    <w:rsid w:val="2EB909D3"/>
    <w:rsid w:val="2EBF72CB"/>
    <w:rsid w:val="2EC14FF9"/>
    <w:rsid w:val="2ECE4387"/>
    <w:rsid w:val="2EF3534B"/>
    <w:rsid w:val="2EF70377"/>
    <w:rsid w:val="2EFB00DE"/>
    <w:rsid w:val="2F0138AE"/>
    <w:rsid w:val="2F0344D5"/>
    <w:rsid w:val="2F05200F"/>
    <w:rsid w:val="2F11728B"/>
    <w:rsid w:val="2F1C6843"/>
    <w:rsid w:val="2F416AE1"/>
    <w:rsid w:val="2F4D3B3D"/>
    <w:rsid w:val="2F4F570C"/>
    <w:rsid w:val="2F5175FB"/>
    <w:rsid w:val="2F545A81"/>
    <w:rsid w:val="2F5F3596"/>
    <w:rsid w:val="2F6D2B41"/>
    <w:rsid w:val="2F6F5C80"/>
    <w:rsid w:val="2F87684F"/>
    <w:rsid w:val="2F993AFD"/>
    <w:rsid w:val="2F9A7A79"/>
    <w:rsid w:val="2FB655AD"/>
    <w:rsid w:val="2FCC0A75"/>
    <w:rsid w:val="2FD020B8"/>
    <w:rsid w:val="2FD369EB"/>
    <w:rsid w:val="2FD9742C"/>
    <w:rsid w:val="2FE03F21"/>
    <w:rsid w:val="2FE040FA"/>
    <w:rsid w:val="2FE253D6"/>
    <w:rsid w:val="2FE91893"/>
    <w:rsid w:val="2FF5333F"/>
    <w:rsid w:val="3009276B"/>
    <w:rsid w:val="300A7CE7"/>
    <w:rsid w:val="301902E9"/>
    <w:rsid w:val="30321DC6"/>
    <w:rsid w:val="30365E93"/>
    <w:rsid w:val="303C7515"/>
    <w:rsid w:val="30592DBB"/>
    <w:rsid w:val="305D097B"/>
    <w:rsid w:val="3081012B"/>
    <w:rsid w:val="308A1F6E"/>
    <w:rsid w:val="30902DB3"/>
    <w:rsid w:val="309B5AA8"/>
    <w:rsid w:val="30AE132D"/>
    <w:rsid w:val="30C702D7"/>
    <w:rsid w:val="30CB1107"/>
    <w:rsid w:val="30D74F49"/>
    <w:rsid w:val="30D90890"/>
    <w:rsid w:val="30E37F16"/>
    <w:rsid w:val="30F66D7A"/>
    <w:rsid w:val="30FF5B8C"/>
    <w:rsid w:val="31032936"/>
    <w:rsid w:val="310E7A63"/>
    <w:rsid w:val="31471A88"/>
    <w:rsid w:val="314C7366"/>
    <w:rsid w:val="315F2B6B"/>
    <w:rsid w:val="317E48F8"/>
    <w:rsid w:val="319442BC"/>
    <w:rsid w:val="31B270F0"/>
    <w:rsid w:val="31B53DF6"/>
    <w:rsid w:val="31C75A19"/>
    <w:rsid w:val="31CE3CE9"/>
    <w:rsid w:val="31CF6AEF"/>
    <w:rsid w:val="31F65444"/>
    <w:rsid w:val="31F902C1"/>
    <w:rsid w:val="31FD2DFF"/>
    <w:rsid w:val="31FE1724"/>
    <w:rsid w:val="32317258"/>
    <w:rsid w:val="32505F18"/>
    <w:rsid w:val="326125E2"/>
    <w:rsid w:val="326E661E"/>
    <w:rsid w:val="32803DC2"/>
    <w:rsid w:val="32866F4C"/>
    <w:rsid w:val="328B58E3"/>
    <w:rsid w:val="32A44374"/>
    <w:rsid w:val="32C94382"/>
    <w:rsid w:val="32E57142"/>
    <w:rsid w:val="330149B7"/>
    <w:rsid w:val="33071AE0"/>
    <w:rsid w:val="33106558"/>
    <w:rsid w:val="3314415B"/>
    <w:rsid w:val="333F2FEF"/>
    <w:rsid w:val="33527C78"/>
    <w:rsid w:val="337C2AAD"/>
    <w:rsid w:val="338F1AAA"/>
    <w:rsid w:val="33A618DA"/>
    <w:rsid w:val="33BB0E6E"/>
    <w:rsid w:val="33D20AF9"/>
    <w:rsid w:val="33DE2096"/>
    <w:rsid w:val="33DE7EFA"/>
    <w:rsid w:val="33E45FE1"/>
    <w:rsid w:val="33E658E4"/>
    <w:rsid w:val="33E9573D"/>
    <w:rsid w:val="33F5363E"/>
    <w:rsid w:val="33F56325"/>
    <w:rsid w:val="34046946"/>
    <w:rsid w:val="340E7B0A"/>
    <w:rsid w:val="3416653D"/>
    <w:rsid w:val="342D41BB"/>
    <w:rsid w:val="3434303E"/>
    <w:rsid w:val="34346014"/>
    <w:rsid w:val="343E2D93"/>
    <w:rsid w:val="3447676A"/>
    <w:rsid w:val="345D70F2"/>
    <w:rsid w:val="34627C56"/>
    <w:rsid w:val="34791915"/>
    <w:rsid w:val="348204F7"/>
    <w:rsid w:val="34892C0A"/>
    <w:rsid w:val="348A5676"/>
    <w:rsid w:val="349F14B4"/>
    <w:rsid w:val="34A4013A"/>
    <w:rsid w:val="34B57766"/>
    <w:rsid w:val="34DF4479"/>
    <w:rsid w:val="34EC7728"/>
    <w:rsid w:val="3501728D"/>
    <w:rsid w:val="350B4964"/>
    <w:rsid w:val="35247E43"/>
    <w:rsid w:val="353D6614"/>
    <w:rsid w:val="354123FC"/>
    <w:rsid w:val="354407BC"/>
    <w:rsid w:val="354941CA"/>
    <w:rsid w:val="355024D1"/>
    <w:rsid w:val="35574541"/>
    <w:rsid w:val="356405EC"/>
    <w:rsid w:val="357135DB"/>
    <w:rsid w:val="35AC7563"/>
    <w:rsid w:val="35AF648F"/>
    <w:rsid w:val="35DD2739"/>
    <w:rsid w:val="35DE1AED"/>
    <w:rsid w:val="35E36877"/>
    <w:rsid w:val="35E46128"/>
    <w:rsid w:val="35EC1630"/>
    <w:rsid w:val="35EF4932"/>
    <w:rsid w:val="35FB74E9"/>
    <w:rsid w:val="35FC04B8"/>
    <w:rsid w:val="36015BC5"/>
    <w:rsid w:val="360954BB"/>
    <w:rsid w:val="36133101"/>
    <w:rsid w:val="361653D4"/>
    <w:rsid w:val="361E5856"/>
    <w:rsid w:val="36241B16"/>
    <w:rsid w:val="362B1A08"/>
    <w:rsid w:val="36345A94"/>
    <w:rsid w:val="364D23E0"/>
    <w:rsid w:val="365A545B"/>
    <w:rsid w:val="365E1C86"/>
    <w:rsid w:val="366148F0"/>
    <w:rsid w:val="36656558"/>
    <w:rsid w:val="369C06A7"/>
    <w:rsid w:val="36BA56A8"/>
    <w:rsid w:val="36C40E55"/>
    <w:rsid w:val="36C80F43"/>
    <w:rsid w:val="36CE7B41"/>
    <w:rsid w:val="36E5310E"/>
    <w:rsid w:val="3702714D"/>
    <w:rsid w:val="37153D89"/>
    <w:rsid w:val="37227EFA"/>
    <w:rsid w:val="37481D61"/>
    <w:rsid w:val="3771444E"/>
    <w:rsid w:val="37756A7F"/>
    <w:rsid w:val="37782674"/>
    <w:rsid w:val="378909C8"/>
    <w:rsid w:val="37920AEE"/>
    <w:rsid w:val="37AB5FB6"/>
    <w:rsid w:val="37D556C3"/>
    <w:rsid w:val="37D922CF"/>
    <w:rsid w:val="37DC7E88"/>
    <w:rsid w:val="37E212AE"/>
    <w:rsid w:val="37EF2F58"/>
    <w:rsid w:val="37F326EB"/>
    <w:rsid w:val="3800561F"/>
    <w:rsid w:val="382B5397"/>
    <w:rsid w:val="382C2D07"/>
    <w:rsid w:val="38401CA6"/>
    <w:rsid w:val="385064FD"/>
    <w:rsid w:val="3858288B"/>
    <w:rsid w:val="385B231E"/>
    <w:rsid w:val="387F0F2C"/>
    <w:rsid w:val="388A5A7A"/>
    <w:rsid w:val="38905D39"/>
    <w:rsid w:val="38972FCA"/>
    <w:rsid w:val="38AA4D53"/>
    <w:rsid w:val="38D0012A"/>
    <w:rsid w:val="38D204A4"/>
    <w:rsid w:val="38D94CED"/>
    <w:rsid w:val="38ED78EC"/>
    <w:rsid w:val="39005446"/>
    <w:rsid w:val="390F4D0A"/>
    <w:rsid w:val="391A3348"/>
    <w:rsid w:val="391E1F52"/>
    <w:rsid w:val="39203FAF"/>
    <w:rsid w:val="393121D5"/>
    <w:rsid w:val="3931598D"/>
    <w:rsid w:val="3936391B"/>
    <w:rsid w:val="39465DF3"/>
    <w:rsid w:val="394A5FF0"/>
    <w:rsid w:val="394F4BE0"/>
    <w:rsid w:val="396B5391"/>
    <w:rsid w:val="39782628"/>
    <w:rsid w:val="399A1B83"/>
    <w:rsid w:val="39C37A5E"/>
    <w:rsid w:val="39D16D90"/>
    <w:rsid w:val="39DE7F87"/>
    <w:rsid w:val="39FA52A2"/>
    <w:rsid w:val="3A1177A4"/>
    <w:rsid w:val="3A220130"/>
    <w:rsid w:val="3A2C3673"/>
    <w:rsid w:val="3A4C5776"/>
    <w:rsid w:val="3A566484"/>
    <w:rsid w:val="3A6871A8"/>
    <w:rsid w:val="3A6F665F"/>
    <w:rsid w:val="3A7845C1"/>
    <w:rsid w:val="3A982498"/>
    <w:rsid w:val="3A992100"/>
    <w:rsid w:val="3AA87D91"/>
    <w:rsid w:val="3ABA1996"/>
    <w:rsid w:val="3AC646F0"/>
    <w:rsid w:val="3AFF0826"/>
    <w:rsid w:val="3B024423"/>
    <w:rsid w:val="3B03123F"/>
    <w:rsid w:val="3B0A09E5"/>
    <w:rsid w:val="3B3F2D9A"/>
    <w:rsid w:val="3B3F6F04"/>
    <w:rsid w:val="3B4476D7"/>
    <w:rsid w:val="3BAE1DD0"/>
    <w:rsid w:val="3BB719E6"/>
    <w:rsid w:val="3BC5774D"/>
    <w:rsid w:val="3BCC0025"/>
    <w:rsid w:val="3C2C5B04"/>
    <w:rsid w:val="3C306F4B"/>
    <w:rsid w:val="3C3505F9"/>
    <w:rsid w:val="3C356645"/>
    <w:rsid w:val="3C443550"/>
    <w:rsid w:val="3C483ACE"/>
    <w:rsid w:val="3C7A059A"/>
    <w:rsid w:val="3C7F18A3"/>
    <w:rsid w:val="3C8E2537"/>
    <w:rsid w:val="3C984AFA"/>
    <w:rsid w:val="3C9E505B"/>
    <w:rsid w:val="3CA87724"/>
    <w:rsid w:val="3CA9748D"/>
    <w:rsid w:val="3CAC15D2"/>
    <w:rsid w:val="3CFA5080"/>
    <w:rsid w:val="3CFB7829"/>
    <w:rsid w:val="3D0242C9"/>
    <w:rsid w:val="3D061283"/>
    <w:rsid w:val="3D082BA8"/>
    <w:rsid w:val="3D096FBF"/>
    <w:rsid w:val="3D1841E4"/>
    <w:rsid w:val="3D215F76"/>
    <w:rsid w:val="3D30544F"/>
    <w:rsid w:val="3D334FE9"/>
    <w:rsid w:val="3D527EBE"/>
    <w:rsid w:val="3D6D04D1"/>
    <w:rsid w:val="3D806319"/>
    <w:rsid w:val="3DA127E6"/>
    <w:rsid w:val="3DA1373D"/>
    <w:rsid w:val="3DAF33D9"/>
    <w:rsid w:val="3DBB5ABB"/>
    <w:rsid w:val="3DCB5F49"/>
    <w:rsid w:val="3DDA79A5"/>
    <w:rsid w:val="3DDC5AEF"/>
    <w:rsid w:val="3DF0667B"/>
    <w:rsid w:val="3DFD198C"/>
    <w:rsid w:val="3E107CA2"/>
    <w:rsid w:val="3E20148A"/>
    <w:rsid w:val="3E224AFD"/>
    <w:rsid w:val="3E237759"/>
    <w:rsid w:val="3E3071F5"/>
    <w:rsid w:val="3E3442AB"/>
    <w:rsid w:val="3E390CC2"/>
    <w:rsid w:val="3E3B59C0"/>
    <w:rsid w:val="3E504A51"/>
    <w:rsid w:val="3E5D7F6D"/>
    <w:rsid w:val="3E7C1114"/>
    <w:rsid w:val="3E7F0FD3"/>
    <w:rsid w:val="3E7F6E2F"/>
    <w:rsid w:val="3E802402"/>
    <w:rsid w:val="3E932E61"/>
    <w:rsid w:val="3EA85063"/>
    <w:rsid w:val="3EC2276D"/>
    <w:rsid w:val="3F0B7447"/>
    <w:rsid w:val="3F377B61"/>
    <w:rsid w:val="3F3A7B06"/>
    <w:rsid w:val="3F5C1241"/>
    <w:rsid w:val="3F72006A"/>
    <w:rsid w:val="3F774967"/>
    <w:rsid w:val="3F7D783C"/>
    <w:rsid w:val="3F8F4793"/>
    <w:rsid w:val="3F992C4F"/>
    <w:rsid w:val="3FBB218F"/>
    <w:rsid w:val="3FBE0ACB"/>
    <w:rsid w:val="3FDC7E34"/>
    <w:rsid w:val="3FE73F63"/>
    <w:rsid w:val="3FF248E1"/>
    <w:rsid w:val="4002614B"/>
    <w:rsid w:val="40134A8C"/>
    <w:rsid w:val="40214590"/>
    <w:rsid w:val="402B7E3F"/>
    <w:rsid w:val="40342640"/>
    <w:rsid w:val="40372104"/>
    <w:rsid w:val="405F7A56"/>
    <w:rsid w:val="40A722A6"/>
    <w:rsid w:val="40A801E1"/>
    <w:rsid w:val="40A80457"/>
    <w:rsid w:val="40AB5896"/>
    <w:rsid w:val="40BA14B0"/>
    <w:rsid w:val="40BE62F3"/>
    <w:rsid w:val="40CD3E37"/>
    <w:rsid w:val="40CE0BF5"/>
    <w:rsid w:val="40DC7699"/>
    <w:rsid w:val="41161E60"/>
    <w:rsid w:val="41322588"/>
    <w:rsid w:val="4146296C"/>
    <w:rsid w:val="41630FEA"/>
    <w:rsid w:val="41647214"/>
    <w:rsid w:val="41887CA4"/>
    <w:rsid w:val="41E1186B"/>
    <w:rsid w:val="41F7241C"/>
    <w:rsid w:val="41FE5B14"/>
    <w:rsid w:val="420E7B56"/>
    <w:rsid w:val="421D3181"/>
    <w:rsid w:val="42427036"/>
    <w:rsid w:val="42495DB2"/>
    <w:rsid w:val="4269322C"/>
    <w:rsid w:val="427A53E9"/>
    <w:rsid w:val="4284303B"/>
    <w:rsid w:val="42844D95"/>
    <w:rsid w:val="42847D13"/>
    <w:rsid w:val="42892DBE"/>
    <w:rsid w:val="429C3997"/>
    <w:rsid w:val="42A1628B"/>
    <w:rsid w:val="42AA07D4"/>
    <w:rsid w:val="42AD7A50"/>
    <w:rsid w:val="42D55AD3"/>
    <w:rsid w:val="42D95E50"/>
    <w:rsid w:val="42DC703E"/>
    <w:rsid w:val="42F15308"/>
    <w:rsid w:val="43047FB6"/>
    <w:rsid w:val="43057EDD"/>
    <w:rsid w:val="430D7F09"/>
    <w:rsid w:val="43100D3F"/>
    <w:rsid w:val="431E58B7"/>
    <w:rsid w:val="432B278D"/>
    <w:rsid w:val="435438FA"/>
    <w:rsid w:val="435C1A58"/>
    <w:rsid w:val="43645F97"/>
    <w:rsid w:val="437212DC"/>
    <w:rsid w:val="437720E2"/>
    <w:rsid w:val="43825D54"/>
    <w:rsid w:val="43A8521B"/>
    <w:rsid w:val="43A9227D"/>
    <w:rsid w:val="43BD5878"/>
    <w:rsid w:val="43D75AF5"/>
    <w:rsid w:val="43D917B8"/>
    <w:rsid w:val="43E9449B"/>
    <w:rsid w:val="43EC1FC6"/>
    <w:rsid w:val="43FB3B36"/>
    <w:rsid w:val="43FE2FD4"/>
    <w:rsid w:val="444E7FB8"/>
    <w:rsid w:val="44587795"/>
    <w:rsid w:val="44625A6F"/>
    <w:rsid w:val="44790DAC"/>
    <w:rsid w:val="447F4114"/>
    <w:rsid w:val="44806310"/>
    <w:rsid w:val="44811998"/>
    <w:rsid w:val="44822C94"/>
    <w:rsid w:val="44991448"/>
    <w:rsid w:val="44BA555B"/>
    <w:rsid w:val="44E339A9"/>
    <w:rsid w:val="44EC1534"/>
    <w:rsid w:val="44F70103"/>
    <w:rsid w:val="44FD3133"/>
    <w:rsid w:val="450726DE"/>
    <w:rsid w:val="450B55FB"/>
    <w:rsid w:val="450F31B9"/>
    <w:rsid w:val="451E4B9D"/>
    <w:rsid w:val="4524776C"/>
    <w:rsid w:val="453E0A3F"/>
    <w:rsid w:val="453F4B4B"/>
    <w:rsid w:val="45450755"/>
    <w:rsid w:val="45450A0A"/>
    <w:rsid w:val="457149E6"/>
    <w:rsid w:val="458B68C2"/>
    <w:rsid w:val="459203C7"/>
    <w:rsid w:val="45A622AC"/>
    <w:rsid w:val="45A80E97"/>
    <w:rsid w:val="45A97C69"/>
    <w:rsid w:val="45B914F0"/>
    <w:rsid w:val="45BD469C"/>
    <w:rsid w:val="45C933B3"/>
    <w:rsid w:val="45CA7BC0"/>
    <w:rsid w:val="45DE3554"/>
    <w:rsid w:val="45E17116"/>
    <w:rsid w:val="45E812E4"/>
    <w:rsid w:val="45FE63FC"/>
    <w:rsid w:val="462D7FDB"/>
    <w:rsid w:val="46311E9B"/>
    <w:rsid w:val="46500258"/>
    <w:rsid w:val="46601036"/>
    <w:rsid w:val="46673B16"/>
    <w:rsid w:val="46680A76"/>
    <w:rsid w:val="467C1E8C"/>
    <w:rsid w:val="46844F73"/>
    <w:rsid w:val="46952B52"/>
    <w:rsid w:val="46C87CF0"/>
    <w:rsid w:val="46F17A0D"/>
    <w:rsid w:val="46FD33DB"/>
    <w:rsid w:val="47025B68"/>
    <w:rsid w:val="470343A1"/>
    <w:rsid w:val="4704502E"/>
    <w:rsid w:val="470B0C37"/>
    <w:rsid w:val="472178A3"/>
    <w:rsid w:val="472B474E"/>
    <w:rsid w:val="47307EF0"/>
    <w:rsid w:val="47460841"/>
    <w:rsid w:val="474D4DE4"/>
    <w:rsid w:val="47543636"/>
    <w:rsid w:val="475F5BE1"/>
    <w:rsid w:val="47635A36"/>
    <w:rsid w:val="477D2490"/>
    <w:rsid w:val="47802038"/>
    <w:rsid w:val="478B6735"/>
    <w:rsid w:val="47924D6D"/>
    <w:rsid w:val="479F2CA9"/>
    <w:rsid w:val="47D70C73"/>
    <w:rsid w:val="47FB099F"/>
    <w:rsid w:val="48046070"/>
    <w:rsid w:val="480D5388"/>
    <w:rsid w:val="481048FC"/>
    <w:rsid w:val="481E1749"/>
    <w:rsid w:val="48297E12"/>
    <w:rsid w:val="48342887"/>
    <w:rsid w:val="483504F4"/>
    <w:rsid w:val="484C57EC"/>
    <w:rsid w:val="486D5AE7"/>
    <w:rsid w:val="48743BBD"/>
    <w:rsid w:val="487A5B4E"/>
    <w:rsid w:val="488818F3"/>
    <w:rsid w:val="489D0F9C"/>
    <w:rsid w:val="489E4067"/>
    <w:rsid w:val="48A7564B"/>
    <w:rsid w:val="48B653B8"/>
    <w:rsid w:val="48D2493F"/>
    <w:rsid w:val="48D32632"/>
    <w:rsid w:val="48E54110"/>
    <w:rsid w:val="49072078"/>
    <w:rsid w:val="492876F7"/>
    <w:rsid w:val="49475C4A"/>
    <w:rsid w:val="4951694D"/>
    <w:rsid w:val="497A5D03"/>
    <w:rsid w:val="497B7727"/>
    <w:rsid w:val="49952322"/>
    <w:rsid w:val="49A04769"/>
    <w:rsid w:val="49BF66B8"/>
    <w:rsid w:val="49C5477A"/>
    <w:rsid w:val="49DC7359"/>
    <w:rsid w:val="49E13D63"/>
    <w:rsid w:val="4A060368"/>
    <w:rsid w:val="4A0D7B2C"/>
    <w:rsid w:val="4A1C0D38"/>
    <w:rsid w:val="4A290108"/>
    <w:rsid w:val="4A2A3BE7"/>
    <w:rsid w:val="4A2F648D"/>
    <w:rsid w:val="4A3547B1"/>
    <w:rsid w:val="4A432BA3"/>
    <w:rsid w:val="4A491758"/>
    <w:rsid w:val="4A4B04CC"/>
    <w:rsid w:val="4A545712"/>
    <w:rsid w:val="4A5D26FE"/>
    <w:rsid w:val="4A605B7A"/>
    <w:rsid w:val="4A6C3B7F"/>
    <w:rsid w:val="4A7221C8"/>
    <w:rsid w:val="4A72756B"/>
    <w:rsid w:val="4A786097"/>
    <w:rsid w:val="4A787893"/>
    <w:rsid w:val="4A797541"/>
    <w:rsid w:val="4A7F4B78"/>
    <w:rsid w:val="4A864446"/>
    <w:rsid w:val="4A8C7E5F"/>
    <w:rsid w:val="4AA37359"/>
    <w:rsid w:val="4AA6268E"/>
    <w:rsid w:val="4AA77BAD"/>
    <w:rsid w:val="4AE75F2E"/>
    <w:rsid w:val="4B010B09"/>
    <w:rsid w:val="4B0A736B"/>
    <w:rsid w:val="4B541DFC"/>
    <w:rsid w:val="4B5A6782"/>
    <w:rsid w:val="4B6778A4"/>
    <w:rsid w:val="4B69590F"/>
    <w:rsid w:val="4B7E5D13"/>
    <w:rsid w:val="4B8442E0"/>
    <w:rsid w:val="4BA40BFF"/>
    <w:rsid w:val="4BA9468A"/>
    <w:rsid w:val="4BBD0440"/>
    <w:rsid w:val="4BC149DF"/>
    <w:rsid w:val="4BC554E1"/>
    <w:rsid w:val="4BE14965"/>
    <w:rsid w:val="4BE556A8"/>
    <w:rsid w:val="4BFF2308"/>
    <w:rsid w:val="4C0108A9"/>
    <w:rsid w:val="4C097693"/>
    <w:rsid w:val="4C121913"/>
    <w:rsid w:val="4C163CF0"/>
    <w:rsid w:val="4C215EF7"/>
    <w:rsid w:val="4C32379E"/>
    <w:rsid w:val="4C3B47EB"/>
    <w:rsid w:val="4C3B5B30"/>
    <w:rsid w:val="4C49561D"/>
    <w:rsid w:val="4C4E07CF"/>
    <w:rsid w:val="4C587844"/>
    <w:rsid w:val="4C597CAA"/>
    <w:rsid w:val="4C5F5A69"/>
    <w:rsid w:val="4C79253D"/>
    <w:rsid w:val="4C7C27D4"/>
    <w:rsid w:val="4C7E529D"/>
    <w:rsid w:val="4C9E0DB6"/>
    <w:rsid w:val="4CA06621"/>
    <w:rsid w:val="4CBC1C93"/>
    <w:rsid w:val="4CC028EC"/>
    <w:rsid w:val="4CCC397B"/>
    <w:rsid w:val="4CE62DFF"/>
    <w:rsid w:val="4D0021FE"/>
    <w:rsid w:val="4D1406F2"/>
    <w:rsid w:val="4D1E0B50"/>
    <w:rsid w:val="4D1E15CD"/>
    <w:rsid w:val="4D3134D0"/>
    <w:rsid w:val="4D3D26BF"/>
    <w:rsid w:val="4D570832"/>
    <w:rsid w:val="4D6040FA"/>
    <w:rsid w:val="4D701B1E"/>
    <w:rsid w:val="4D726917"/>
    <w:rsid w:val="4D746E18"/>
    <w:rsid w:val="4D76756A"/>
    <w:rsid w:val="4D8D24E8"/>
    <w:rsid w:val="4D8D36DE"/>
    <w:rsid w:val="4D9A67D3"/>
    <w:rsid w:val="4DA226B4"/>
    <w:rsid w:val="4DA61F91"/>
    <w:rsid w:val="4DAB1359"/>
    <w:rsid w:val="4DAE1057"/>
    <w:rsid w:val="4DC85B79"/>
    <w:rsid w:val="4DD7626E"/>
    <w:rsid w:val="4DDA11F1"/>
    <w:rsid w:val="4DE93588"/>
    <w:rsid w:val="4E115C3E"/>
    <w:rsid w:val="4E1A6AB1"/>
    <w:rsid w:val="4E2A6CB9"/>
    <w:rsid w:val="4E4179EE"/>
    <w:rsid w:val="4E54721B"/>
    <w:rsid w:val="4E652338"/>
    <w:rsid w:val="4E695C10"/>
    <w:rsid w:val="4E767DC2"/>
    <w:rsid w:val="4E8F6F3C"/>
    <w:rsid w:val="4E90785A"/>
    <w:rsid w:val="4E976C71"/>
    <w:rsid w:val="4E9B3E35"/>
    <w:rsid w:val="4EA169AD"/>
    <w:rsid w:val="4EA7760A"/>
    <w:rsid w:val="4EAF4498"/>
    <w:rsid w:val="4EB4265F"/>
    <w:rsid w:val="4EBA5B26"/>
    <w:rsid w:val="4EBD5675"/>
    <w:rsid w:val="4EBE6842"/>
    <w:rsid w:val="4ED57ECB"/>
    <w:rsid w:val="4EEB7DED"/>
    <w:rsid w:val="4F031432"/>
    <w:rsid w:val="4F0754C4"/>
    <w:rsid w:val="4F127F92"/>
    <w:rsid w:val="4F1521F0"/>
    <w:rsid w:val="4F197DB4"/>
    <w:rsid w:val="4F1F59DB"/>
    <w:rsid w:val="4F2D661D"/>
    <w:rsid w:val="4F2F0DBB"/>
    <w:rsid w:val="4F3B7D36"/>
    <w:rsid w:val="4F3D1691"/>
    <w:rsid w:val="4F3E37FA"/>
    <w:rsid w:val="4F544797"/>
    <w:rsid w:val="4F8E0E09"/>
    <w:rsid w:val="4F932A85"/>
    <w:rsid w:val="4F962A07"/>
    <w:rsid w:val="4F9668FF"/>
    <w:rsid w:val="4F9A03E9"/>
    <w:rsid w:val="4FAD3556"/>
    <w:rsid w:val="4FAF160F"/>
    <w:rsid w:val="4FAF3116"/>
    <w:rsid w:val="4FB004BB"/>
    <w:rsid w:val="4FBA59DA"/>
    <w:rsid w:val="4FBB0187"/>
    <w:rsid w:val="4FCE03C2"/>
    <w:rsid w:val="4FCF706B"/>
    <w:rsid w:val="4FD36C6F"/>
    <w:rsid w:val="4FE905C5"/>
    <w:rsid w:val="4FEC4E6C"/>
    <w:rsid w:val="4FEE78C8"/>
    <w:rsid w:val="4FF23923"/>
    <w:rsid w:val="4FF858A5"/>
    <w:rsid w:val="4FFE029C"/>
    <w:rsid w:val="50025148"/>
    <w:rsid w:val="500D0028"/>
    <w:rsid w:val="50165DEC"/>
    <w:rsid w:val="502E20A9"/>
    <w:rsid w:val="508D199A"/>
    <w:rsid w:val="509E2E0E"/>
    <w:rsid w:val="50A832AC"/>
    <w:rsid w:val="50AC64AF"/>
    <w:rsid w:val="50C07DE8"/>
    <w:rsid w:val="50C16CAB"/>
    <w:rsid w:val="50C51AB1"/>
    <w:rsid w:val="50CC1BD3"/>
    <w:rsid w:val="50D42F2D"/>
    <w:rsid w:val="50D77FC2"/>
    <w:rsid w:val="50DD0647"/>
    <w:rsid w:val="50DF34CC"/>
    <w:rsid w:val="50E866D3"/>
    <w:rsid w:val="50F66874"/>
    <w:rsid w:val="50F74FF9"/>
    <w:rsid w:val="510711CE"/>
    <w:rsid w:val="511E5C73"/>
    <w:rsid w:val="512E1CBB"/>
    <w:rsid w:val="51513E0F"/>
    <w:rsid w:val="515C24D4"/>
    <w:rsid w:val="51A204CE"/>
    <w:rsid w:val="51A44E40"/>
    <w:rsid w:val="51B24506"/>
    <w:rsid w:val="51B758CC"/>
    <w:rsid w:val="51BA596D"/>
    <w:rsid w:val="51BF6D30"/>
    <w:rsid w:val="51CE2068"/>
    <w:rsid w:val="51D54D75"/>
    <w:rsid w:val="51EC168C"/>
    <w:rsid w:val="51F821A6"/>
    <w:rsid w:val="51FA2F1F"/>
    <w:rsid w:val="52215128"/>
    <w:rsid w:val="5223591D"/>
    <w:rsid w:val="52276F8E"/>
    <w:rsid w:val="52374500"/>
    <w:rsid w:val="52414FCD"/>
    <w:rsid w:val="524D5D80"/>
    <w:rsid w:val="52603064"/>
    <w:rsid w:val="526376F1"/>
    <w:rsid w:val="52677290"/>
    <w:rsid w:val="52A03AFC"/>
    <w:rsid w:val="52A44851"/>
    <w:rsid w:val="52B27FA0"/>
    <w:rsid w:val="52E554BC"/>
    <w:rsid w:val="52EC573D"/>
    <w:rsid w:val="53181211"/>
    <w:rsid w:val="531C1269"/>
    <w:rsid w:val="534941E8"/>
    <w:rsid w:val="534A5099"/>
    <w:rsid w:val="535C721F"/>
    <w:rsid w:val="5377345F"/>
    <w:rsid w:val="537826CF"/>
    <w:rsid w:val="538951BA"/>
    <w:rsid w:val="538A3922"/>
    <w:rsid w:val="538A5ECD"/>
    <w:rsid w:val="53CE5B9E"/>
    <w:rsid w:val="53D725CB"/>
    <w:rsid w:val="53F01E56"/>
    <w:rsid w:val="540A36EA"/>
    <w:rsid w:val="54205A11"/>
    <w:rsid w:val="542B42CD"/>
    <w:rsid w:val="544977CA"/>
    <w:rsid w:val="54500945"/>
    <w:rsid w:val="54633A00"/>
    <w:rsid w:val="54B2490E"/>
    <w:rsid w:val="54B721DB"/>
    <w:rsid w:val="54BF6B94"/>
    <w:rsid w:val="54C528D9"/>
    <w:rsid w:val="54CA057C"/>
    <w:rsid w:val="54FE1A7A"/>
    <w:rsid w:val="55024327"/>
    <w:rsid w:val="550A3FF3"/>
    <w:rsid w:val="553C20FE"/>
    <w:rsid w:val="55436EC8"/>
    <w:rsid w:val="55513A09"/>
    <w:rsid w:val="55683187"/>
    <w:rsid w:val="556D4363"/>
    <w:rsid w:val="55971B15"/>
    <w:rsid w:val="559D78DA"/>
    <w:rsid w:val="55AE5125"/>
    <w:rsid w:val="55B94739"/>
    <w:rsid w:val="55C00540"/>
    <w:rsid w:val="55DD6DA5"/>
    <w:rsid w:val="55E434E1"/>
    <w:rsid w:val="55EB0C46"/>
    <w:rsid w:val="56306178"/>
    <w:rsid w:val="56316DF5"/>
    <w:rsid w:val="563B1F57"/>
    <w:rsid w:val="563E16C3"/>
    <w:rsid w:val="56411E8D"/>
    <w:rsid w:val="56443477"/>
    <w:rsid w:val="56686407"/>
    <w:rsid w:val="568203C1"/>
    <w:rsid w:val="56874FCB"/>
    <w:rsid w:val="56AF201E"/>
    <w:rsid w:val="56B44488"/>
    <w:rsid w:val="56CB0800"/>
    <w:rsid w:val="56F920EE"/>
    <w:rsid w:val="56FF5D3F"/>
    <w:rsid w:val="570C6A4D"/>
    <w:rsid w:val="572E6F6F"/>
    <w:rsid w:val="573419AA"/>
    <w:rsid w:val="5738258C"/>
    <w:rsid w:val="574C028A"/>
    <w:rsid w:val="57986BED"/>
    <w:rsid w:val="57A053C8"/>
    <w:rsid w:val="57AA1CEA"/>
    <w:rsid w:val="57AA2E91"/>
    <w:rsid w:val="57B254F9"/>
    <w:rsid w:val="57B57573"/>
    <w:rsid w:val="57B97339"/>
    <w:rsid w:val="57BC5EFE"/>
    <w:rsid w:val="57C96BFE"/>
    <w:rsid w:val="57D71466"/>
    <w:rsid w:val="57D9752D"/>
    <w:rsid w:val="57FB4CEE"/>
    <w:rsid w:val="58050209"/>
    <w:rsid w:val="583D4DDE"/>
    <w:rsid w:val="585140C9"/>
    <w:rsid w:val="585A3E98"/>
    <w:rsid w:val="58914DD9"/>
    <w:rsid w:val="58B8677E"/>
    <w:rsid w:val="58BB7F4A"/>
    <w:rsid w:val="58BF635D"/>
    <w:rsid w:val="58C41ABE"/>
    <w:rsid w:val="58C93758"/>
    <w:rsid w:val="58D0419E"/>
    <w:rsid w:val="58F853C4"/>
    <w:rsid w:val="5903310E"/>
    <w:rsid w:val="590442C3"/>
    <w:rsid w:val="590B4AF5"/>
    <w:rsid w:val="591269E9"/>
    <w:rsid w:val="592059A6"/>
    <w:rsid w:val="59216480"/>
    <w:rsid w:val="594E6E94"/>
    <w:rsid w:val="594F6709"/>
    <w:rsid w:val="595F249D"/>
    <w:rsid w:val="5967603D"/>
    <w:rsid w:val="59870D69"/>
    <w:rsid w:val="599975CF"/>
    <w:rsid w:val="59B724B8"/>
    <w:rsid w:val="59BE4ACC"/>
    <w:rsid w:val="59CE5B60"/>
    <w:rsid w:val="59D818FE"/>
    <w:rsid w:val="59D83C63"/>
    <w:rsid w:val="59DB4646"/>
    <w:rsid w:val="59E12961"/>
    <w:rsid w:val="59EC7AF5"/>
    <w:rsid w:val="59F60CAB"/>
    <w:rsid w:val="59FE5684"/>
    <w:rsid w:val="5A0679B5"/>
    <w:rsid w:val="5A071CCE"/>
    <w:rsid w:val="5A1E0EE0"/>
    <w:rsid w:val="5A251913"/>
    <w:rsid w:val="5A2758E9"/>
    <w:rsid w:val="5A3E04E9"/>
    <w:rsid w:val="5A49220A"/>
    <w:rsid w:val="5A577C51"/>
    <w:rsid w:val="5A5A4163"/>
    <w:rsid w:val="5A6648A2"/>
    <w:rsid w:val="5A6A1ABA"/>
    <w:rsid w:val="5ABD0BEC"/>
    <w:rsid w:val="5ABE5995"/>
    <w:rsid w:val="5AF52BAC"/>
    <w:rsid w:val="5AF70C4B"/>
    <w:rsid w:val="5AFD22FB"/>
    <w:rsid w:val="5AFD5821"/>
    <w:rsid w:val="5B0F3E48"/>
    <w:rsid w:val="5B15313B"/>
    <w:rsid w:val="5B180886"/>
    <w:rsid w:val="5B1F08AD"/>
    <w:rsid w:val="5B2218A1"/>
    <w:rsid w:val="5B254960"/>
    <w:rsid w:val="5B2C6F0C"/>
    <w:rsid w:val="5B5A1508"/>
    <w:rsid w:val="5B5C6C8D"/>
    <w:rsid w:val="5B614E05"/>
    <w:rsid w:val="5B6405AC"/>
    <w:rsid w:val="5B7D493B"/>
    <w:rsid w:val="5B834322"/>
    <w:rsid w:val="5B8A2D22"/>
    <w:rsid w:val="5B8D20DB"/>
    <w:rsid w:val="5B9731AC"/>
    <w:rsid w:val="5BAF2155"/>
    <w:rsid w:val="5BBB54FB"/>
    <w:rsid w:val="5BDB0B6F"/>
    <w:rsid w:val="5BDC5C32"/>
    <w:rsid w:val="5BE67C77"/>
    <w:rsid w:val="5BEB3578"/>
    <w:rsid w:val="5BF30574"/>
    <w:rsid w:val="5BF83B8E"/>
    <w:rsid w:val="5C0001E8"/>
    <w:rsid w:val="5C0D7E00"/>
    <w:rsid w:val="5C1B3169"/>
    <w:rsid w:val="5C413E58"/>
    <w:rsid w:val="5C4C11C4"/>
    <w:rsid w:val="5C533ECE"/>
    <w:rsid w:val="5C564E4C"/>
    <w:rsid w:val="5C587953"/>
    <w:rsid w:val="5C697FF7"/>
    <w:rsid w:val="5C86561B"/>
    <w:rsid w:val="5C9323D4"/>
    <w:rsid w:val="5CA20657"/>
    <w:rsid w:val="5CD37180"/>
    <w:rsid w:val="5CDE2AF7"/>
    <w:rsid w:val="5CEE0350"/>
    <w:rsid w:val="5CF11772"/>
    <w:rsid w:val="5CF722A9"/>
    <w:rsid w:val="5CF91EBD"/>
    <w:rsid w:val="5D017DBD"/>
    <w:rsid w:val="5D0540C1"/>
    <w:rsid w:val="5D0D0413"/>
    <w:rsid w:val="5D226ACA"/>
    <w:rsid w:val="5D2B250C"/>
    <w:rsid w:val="5D330B50"/>
    <w:rsid w:val="5D3778A4"/>
    <w:rsid w:val="5D497BB8"/>
    <w:rsid w:val="5D547B84"/>
    <w:rsid w:val="5D6F0DFF"/>
    <w:rsid w:val="5D6F10C4"/>
    <w:rsid w:val="5D7F0FEA"/>
    <w:rsid w:val="5D873867"/>
    <w:rsid w:val="5DC44D1D"/>
    <w:rsid w:val="5DCB13B6"/>
    <w:rsid w:val="5DD9065B"/>
    <w:rsid w:val="5DE06CD1"/>
    <w:rsid w:val="5DF412EC"/>
    <w:rsid w:val="5E0A44CC"/>
    <w:rsid w:val="5E1B7549"/>
    <w:rsid w:val="5E216473"/>
    <w:rsid w:val="5E221908"/>
    <w:rsid w:val="5E301F55"/>
    <w:rsid w:val="5E324CFB"/>
    <w:rsid w:val="5E3B1634"/>
    <w:rsid w:val="5E5A2253"/>
    <w:rsid w:val="5E61052F"/>
    <w:rsid w:val="5E8C2CF7"/>
    <w:rsid w:val="5EA212ED"/>
    <w:rsid w:val="5EAD31EB"/>
    <w:rsid w:val="5EBB39B2"/>
    <w:rsid w:val="5EBD6E24"/>
    <w:rsid w:val="5EBF4237"/>
    <w:rsid w:val="5EC621A9"/>
    <w:rsid w:val="5EC713DE"/>
    <w:rsid w:val="5EDF3AF9"/>
    <w:rsid w:val="5EED7F88"/>
    <w:rsid w:val="5EF73918"/>
    <w:rsid w:val="5F021772"/>
    <w:rsid w:val="5F16714A"/>
    <w:rsid w:val="5F231876"/>
    <w:rsid w:val="5F246E56"/>
    <w:rsid w:val="5F3304DD"/>
    <w:rsid w:val="5F416CEF"/>
    <w:rsid w:val="5F604B14"/>
    <w:rsid w:val="5F6230F3"/>
    <w:rsid w:val="5F6A0D11"/>
    <w:rsid w:val="5F74455E"/>
    <w:rsid w:val="5F7856A9"/>
    <w:rsid w:val="5FA53720"/>
    <w:rsid w:val="5FBF184A"/>
    <w:rsid w:val="5FC369CC"/>
    <w:rsid w:val="5FC47CB4"/>
    <w:rsid w:val="5FC907DD"/>
    <w:rsid w:val="5FD02F76"/>
    <w:rsid w:val="5FD06533"/>
    <w:rsid w:val="5FEE78AE"/>
    <w:rsid w:val="5FF55DA5"/>
    <w:rsid w:val="5FFC4058"/>
    <w:rsid w:val="5FFC765E"/>
    <w:rsid w:val="600E0767"/>
    <w:rsid w:val="60192212"/>
    <w:rsid w:val="60222776"/>
    <w:rsid w:val="602E0C52"/>
    <w:rsid w:val="60420659"/>
    <w:rsid w:val="607227FD"/>
    <w:rsid w:val="60934C45"/>
    <w:rsid w:val="609A24DB"/>
    <w:rsid w:val="60A067FA"/>
    <w:rsid w:val="60AA6473"/>
    <w:rsid w:val="60AB4146"/>
    <w:rsid w:val="60B15AE1"/>
    <w:rsid w:val="60C064E5"/>
    <w:rsid w:val="60CB6B1B"/>
    <w:rsid w:val="60D2047D"/>
    <w:rsid w:val="60D24C0D"/>
    <w:rsid w:val="60EC0811"/>
    <w:rsid w:val="60EF3577"/>
    <w:rsid w:val="60F5433C"/>
    <w:rsid w:val="60FB4C03"/>
    <w:rsid w:val="611F6EB3"/>
    <w:rsid w:val="61295728"/>
    <w:rsid w:val="612F2FC5"/>
    <w:rsid w:val="614479B7"/>
    <w:rsid w:val="614610AC"/>
    <w:rsid w:val="614D4F53"/>
    <w:rsid w:val="61561B0A"/>
    <w:rsid w:val="615D3886"/>
    <w:rsid w:val="616617FE"/>
    <w:rsid w:val="616D4F71"/>
    <w:rsid w:val="61790AD6"/>
    <w:rsid w:val="61810DAC"/>
    <w:rsid w:val="619D2B52"/>
    <w:rsid w:val="61A65EC3"/>
    <w:rsid w:val="61AA1D4E"/>
    <w:rsid w:val="61B30B3C"/>
    <w:rsid w:val="61B82DAF"/>
    <w:rsid w:val="61BA34EB"/>
    <w:rsid w:val="61C33DEA"/>
    <w:rsid w:val="61D14B99"/>
    <w:rsid w:val="61D67400"/>
    <w:rsid w:val="61DF0386"/>
    <w:rsid w:val="61E15F02"/>
    <w:rsid w:val="61E33C3E"/>
    <w:rsid w:val="61F64342"/>
    <w:rsid w:val="61FF2D1E"/>
    <w:rsid w:val="620B020C"/>
    <w:rsid w:val="621234E3"/>
    <w:rsid w:val="621642CE"/>
    <w:rsid w:val="621D4A8B"/>
    <w:rsid w:val="62291EE6"/>
    <w:rsid w:val="62361D20"/>
    <w:rsid w:val="623C480D"/>
    <w:rsid w:val="62491F9A"/>
    <w:rsid w:val="626838A5"/>
    <w:rsid w:val="626B2601"/>
    <w:rsid w:val="627A76BE"/>
    <w:rsid w:val="628233E4"/>
    <w:rsid w:val="6288451A"/>
    <w:rsid w:val="628A0E41"/>
    <w:rsid w:val="629372B1"/>
    <w:rsid w:val="62994D41"/>
    <w:rsid w:val="629C6B8D"/>
    <w:rsid w:val="62AF53F8"/>
    <w:rsid w:val="62DE154E"/>
    <w:rsid w:val="62FF7FC8"/>
    <w:rsid w:val="63164E73"/>
    <w:rsid w:val="63230500"/>
    <w:rsid w:val="63300FF6"/>
    <w:rsid w:val="63352A8B"/>
    <w:rsid w:val="634B753B"/>
    <w:rsid w:val="63515250"/>
    <w:rsid w:val="63530257"/>
    <w:rsid w:val="636171EE"/>
    <w:rsid w:val="636B4E01"/>
    <w:rsid w:val="63872853"/>
    <w:rsid w:val="63920A42"/>
    <w:rsid w:val="63B4199C"/>
    <w:rsid w:val="63CC18C0"/>
    <w:rsid w:val="63D32FE8"/>
    <w:rsid w:val="63DB77EA"/>
    <w:rsid w:val="63EF0360"/>
    <w:rsid w:val="63F86107"/>
    <w:rsid w:val="6419610B"/>
    <w:rsid w:val="642758FE"/>
    <w:rsid w:val="643449D6"/>
    <w:rsid w:val="643900D6"/>
    <w:rsid w:val="643D61F5"/>
    <w:rsid w:val="64415C43"/>
    <w:rsid w:val="64444A4A"/>
    <w:rsid w:val="647573B1"/>
    <w:rsid w:val="64760EA5"/>
    <w:rsid w:val="64864796"/>
    <w:rsid w:val="64963F53"/>
    <w:rsid w:val="649918A2"/>
    <w:rsid w:val="64A77CB0"/>
    <w:rsid w:val="64AA73D0"/>
    <w:rsid w:val="64CC30EB"/>
    <w:rsid w:val="64D4630A"/>
    <w:rsid w:val="64E548D9"/>
    <w:rsid w:val="64E916E7"/>
    <w:rsid w:val="64F927CB"/>
    <w:rsid w:val="650B5682"/>
    <w:rsid w:val="651253DB"/>
    <w:rsid w:val="65371112"/>
    <w:rsid w:val="65373F08"/>
    <w:rsid w:val="654414D0"/>
    <w:rsid w:val="654D3D05"/>
    <w:rsid w:val="655F231D"/>
    <w:rsid w:val="655F50FB"/>
    <w:rsid w:val="65611872"/>
    <w:rsid w:val="656A2317"/>
    <w:rsid w:val="656C6C0C"/>
    <w:rsid w:val="656E04FB"/>
    <w:rsid w:val="65766D13"/>
    <w:rsid w:val="65776B3B"/>
    <w:rsid w:val="65AA794F"/>
    <w:rsid w:val="65AC0975"/>
    <w:rsid w:val="65BD3A90"/>
    <w:rsid w:val="65C33005"/>
    <w:rsid w:val="65C70F7E"/>
    <w:rsid w:val="65D12017"/>
    <w:rsid w:val="65E13D3B"/>
    <w:rsid w:val="65EC03BB"/>
    <w:rsid w:val="65F20C48"/>
    <w:rsid w:val="65F777F5"/>
    <w:rsid w:val="66120CE6"/>
    <w:rsid w:val="663C6FD7"/>
    <w:rsid w:val="664A1A6A"/>
    <w:rsid w:val="66503626"/>
    <w:rsid w:val="66575D9F"/>
    <w:rsid w:val="66583933"/>
    <w:rsid w:val="66660326"/>
    <w:rsid w:val="666C50C8"/>
    <w:rsid w:val="66805DB2"/>
    <w:rsid w:val="66AE6963"/>
    <w:rsid w:val="66AF1C00"/>
    <w:rsid w:val="66CF3B5B"/>
    <w:rsid w:val="66D55705"/>
    <w:rsid w:val="67206039"/>
    <w:rsid w:val="672A387B"/>
    <w:rsid w:val="672C200C"/>
    <w:rsid w:val="672E6437"/>
    <w:rsid w:val="673E5EF8"/>
    <w:rsid w:val="674358A4"/>
    <w:rsid w:val="67536D3E"/>
    <w:rsid w:val="675F4E7B"/>
    <w:rsid w:val="6773441E"/>
    <w:rsid w:val="67A067ED"/>
    <w:rsid w:val="67AD7AD1"/>
    <w:rsid w:val="67B80B02"/>
    <w:rsid w:val="67CA4419"/>
    <w:rsid w:val="67E55609"/>
    <w:rsid w:val="67E706B2"/>
    <w:rsid w:val="67F54305"/>
    <w:rsid w:val="67F72DF6"/>
    <w:rsid w:val="68042C59"/>
    <w:rsid w:val="68083B50"/>
    <w:rsid w:val="68120E4D"/>
    <w:rsid w:val="68186459"/>
    <w:rsid w:val="68202DDC"/>
    <w:rsid w:val="682B0D80"/>
    <w:rsid w:val="68370C2A"/>
    <w:rsid w:val="6849453E"/>
    <w:rsid w:val="68525987"/>
    <w:rsid w:val="686525F9"/>
    <w:rsid w:val="686F0A84"/>
    <w:rsid w:val="6878656B"/>
    <w:rsid w:val="68793299"/>
    <w:rsid w:val="687A5E05"/>
    <w:rsid w:val="68882045"/>
    <w:rsid w:val="688D2FD2"/>
    <w:rsid w:val="688E629F"/>
    <w:rsid w:val="689D0A17"/>
    <w:rsid w:val="68A7237A"/>
    <w:rsid w:val="68A863DD"/>
    <w:rsid w:val="68CC239C"/>
    <w:rsid w:val="68CE2566"/>
    <w:rsid w:val="68EC7C27"/>
    <w:rsid w:val="68F734FC"/>
    <w:rsid w:val="69006B8C"/>
    <w:rsid w:val="6902426E"/>
    <w:rsid w:val="690E2883"/>
    <w:rsid w:val="691F5F49"/>
    <w:rsid w:val="69317E45"/>
    <w:rsid w:val="6938706F"/>
    <w:rsid w:val="694A368B"/>
    <w:rsid w:val="69512DEF"/>
    <w:rsid w:val="6954706E"/>
    <w:rsid w:val="69603B4A"/>
    <w:rsid w:val="696320E7"/>
    <w:rsid w:val="6970347F"/>
    <w:rsid w:val="69794DD8"/>
    <w:rsid w:val="6990162D"/>
    <w:rsid w:val="699F71BA"/>
    <w:rsid w:val="69A31604"/>
    <w:rsid w:val="69C50AD7"/>
    <w:rsid w:val="69D508F3"/>
    <w:rsid w:val="69E705DB"/>
    <w:rsid w:val="69E73129"/>
    <w:rsid w:val="6A0D6E4B"/>
    <w:rsid w:val="6A295EBD"/>
    <w:rsid w:val="6A304F5A"/>
    <w:rsid w:val="6A4102EA"/>
    <w:rsid w:val="6A482DF9"/>
    <w:rsid w:val="6A4E2574"/>
    <w:rsid w:val="6A5461E7"/>
    <w:rsid w:val="6A5A04F8"/>
    <w:rsid w:val="6A6352C7"/>
    <w:rsid w:val="6A716CA2"/>
    <w:rsid w:val="6A7874D2"/>
    <w:rsid w:val="6AF40AEA"/>
    <w:rsid w:val="6AFF1F1A"/>
    <w:rsid w:val="6B153C81"/>
    <w:rsid w:val="6B197E24"/>
    <w:rsid w:val="6B224577"/>
    <w:rsid w:val="6B2B29CB"/>
    <w:rsid w:val="6B2F6A19"/>
    <w:rsid w:val="6B6309E8"/>
    <w:rsid w:val="6B640F22"/>
    <w:rsid w:val="6B72606E"/>
    <w:rsid w:val="6B9C7329"/>
    <w:rsid w:val="6BAD1C3B"/>
    <w:rsid w:val="6BBD43C6"/>
    <w:rsid w:val="6BC51EB4"/>
    <w:rsid w:val="6BC87F76"/>
    <w:rsid w:val="6BF50213"/>
    <w:rsid w:val="6BFF6337"/>
    <w:rsid w:val="6C117F8C"/>
    <w:rsid w:val="6C227BAF"/>
    <w:rsid w:val="6C231C20"/>
    <w:rsid w:val="6C5336CD"/>
    <w:rsid w:val="6C542FFA"/>
    <w:rsid w:val="6C7674C0"/>
    <w:rsid w:val="6C7853EE"/>
    <w:rsid w:val="6C831487"/>
    <w:rsid w:val="6C9970FF"/>
    <w:rsid w:val="6C9D0E0D"/>
    <w:rsid w:val="6CA62C5B"/>
    <w:rsid w:val="6CAE0A02"/>
    <w:rsid w:val="6CB6671F"/>
    <w:rsid w:val="6CBD4F11"/>
    <w:rsid w:val="6D011978"/>
    <w:rsid w:val="6D1F3BA8"/>
    <w:rsid w:val="6D203223"/>
    <w:rsid w:val="6D385577"/>
    <w:rsid w:val="6D4C7577"/>
    <w:rsid w:val="6D796103"/>
    <w:rsid w:val="6D8764D2"/>
    <w:rsid w:val="6DB025C9"/>
    <w:rsid w:val="6DC109D4"/>
    <w:rsid w:val="6DCF760B"/>
    <w:rsid w:val="6DD969B5"/>
    <w:rsid w:val="6DF40034"/>
    <w:rsid w:val="6E0F15B7"/>
    <w:rsid w:val="6E1C7923"/>
    <w:rsid w:val="6E453429"/>
    <w:rsid w:val="6E543FE6"/>
    <w:rsid w:val="6E5A5520"/>
    <w:rsid w:val="6E5B3CBD"/>
    <w:rsid w:val="6E790E16"/>
    <w:rsid w:val="6E820A6E"/>
    <w:rsid w:val="6E8D75E5"/>
    <w:rsid w:val="6E9119E0"/>
    <w:rsid w:val="6E9B58EC"/>
    <w:rsid w:val="6EA04183"/>
    <w:rsid w:val="6EA351B6"/>
    <w:rsid w:val="6EB222EB"/>
    <w:rsid w:val="6ECF343E"/>
    <w:rsid w:val="6ED74A5C"/>
    <w:rsid w:val="6EDC6594"/>
    <w:rsid w:val="6EEC2F8A"/>
    <w:rsid w:val="6EFA4222"/>
    <w:rsid w:val="6EFD7CDD"/>
    <w:rsid w:val="6F01074B"/>
    <w:rsid w:val="6F033D32"/>
    <w:rsid w:val="6F0A662C"/>
    <w:rsid w:val="6F37630C"/>
    <w:rsid w:val="6F387EFC"/>
    <w:rsid w:val="6F3974FF"/>
    <w:rsid w:val="6F550C5A"/>
    <w:rsid w:val="6F670D3C"/>
    <w:rsid w:val="6F6B1471"/>
    <w:rsid w:val="6F707950"/>
    <w:rsid w:val="6F793F3A"/>
    <w:rsid w:val="6F887A5B"/>
    <w:rsid w:val="6FA408F4"/>
    <w:rsid w:val="6FA76787"/>
    <w:rsid w:val="6FB00B6F"/>
    <w:rsid w:val="6FBA4626"/>
    <w:rsid w:val="6FD32CC6"/>
    <w:rsid w:val="6FD34435"/>
    <w:rsid w:val="6FDD0496"/>
    <w:rsid w:val="6FE3255B"/>
    <w:rsid w:val="6FE6143A"/>
    <w:rsid w:val="6FE95F96"/>
    <w:rsid w:val="6FF605C5"/>
    <w:rsid w:val="7001703B"/>
    <w:rsid w:val="701B152D"/>
    <w:rsid w:val="701C4D42"/>
    <w:rsid w:val="7035239D"/>
    <w:rsid w:val="703F0231"/>
    <w:rsid w:val="705742C5"/>
    <w:rsid w:val="708030CA"/>
    <w:rsid w:val="708519A6"/>
    <w:rsid w:val="70953AEF"/>
    <w:rsid w:val="70970782"/>
    <w:rsid w:val="70AB05A1"/>
    <w:rsid w:val="70B838A9"/>
    <w:rsid w:val="70D84686"/>
    <w:rsid w:val="70E522C6"/>
    <w:rsid w:val="70F96748"/>
    <w:rsid w:val="710950A7"/>
    <w:rsid w:val="711143BD"/>
    <w:rsid w:val="71146F3B"/>
    <w:rsid w:val="711B49BC"/>
    <w:rsid w:val="71202317"/>
    <w:rsid w:val="712A0D03"/>
    <w:rsid w:val="71312680"/>
    <w:rsid w:val="713426AF"/>
    <w:rsid w:val="7139079B"/>
    <w:rsid w:val="71484F58"/>
    <w:rsid w:val="71511AEC"/>
    <w:rsid w:val="71693B7E"/>
    <w:rsid w:val="7174240D"/>
    <w:rsid w:val="717E3C11"/>
    <w:rsid w:val="71807120"/>
    <w:rsid w:val="7186199B"/>
    <w:rsid w:val="718664B7"/>
    <w:rsid w:val="71C10EE3"/>
    <w:rsid w:val="71E33775"/>
    <w:rsid w:val="71E453D0"/>
    <w:rsid w:val="71E641EF"/>
    <w:rsid w:val="71EB191E"/>
    <w:rsid w:val="71EF0C97"/>
    <w:rsid w:val="71F10FA2"/>
    <w:rsid w:val="71FE0693"/>
    <w:rsid w:val="72010CFD"/>
    <w:rsid w:val="720664BC"/>
    <w:rsid w:val="720E3673"/>
    <w:rsid w:val="72177FD0"/>
    <w:rsid w:val="7218645E"/>
    <w:rsid w:val="721C1B3B"/>
    <w:rsid w:val="7225637D"/>
    <w:rsid w:val="72267C6A"/>
    <w:rsid w:val="723D7C65"/>
    <w:rsid w:val="72425B2C"/>
    <w:rsid w:val="724D6661"/>
    <w:rsid w:val="724E1F7F"/>
    <w:rsid w:val="72723CFF"/>
    <w:rsid w:val="72795DBB"/>
    <w:rsid w:val="728D3532"/>
    <w:rsid w:val="729348B4"/>
    <w:rsid w:val="72B13A79"/>
    <w:rsid w:val="72CA14F5"/>
    <w:rsid w:val="72D00C1D"/>
    <w:rsid w:val="72D30B34"/>
    <w:rsid w:val="72FA0BB8"/>
    <w:rsid w:val="730438BA"/>
    <w:rsid w:val="730E285D"/>
    <w:rsid w:val="73245633"/>
    <w:rsid w:val="732A6637"/>
    <w:rsid w:val="735A7DCF"/>
    <w:rsid w:val="735D664B"/>
    <w:rsid w:val="735E418F"/>
    <w:rsid w:val="73766339"/>
    <w:rsid w:val="738144AE"/>
    <w:rsid w:val="73A94202"/>
    <w:rsid w:val="73AA2197"/>
    <w:rsid w:val="73AE1E42"/>
    <w:rsid w:val="73BA25AC"/>
    <w:rsid w:val="73CB7639"/>
    <w:rsid w:val="73E13EE0"/>
    <w:rsid w:val="73E36577"/>
    <w:rsid w:val="73FE450E"/>
    <w:rsid w:val="7404008A"/>
    <w:rsid w:val="741241E8"/>
    <w:rsid w:val="74257373"/>
    <w:rsid w:val="742C7101"/>
    <w:rsid w:val="742E0904"/>
    <w:rsid w:val="74493FE4"/>
    <w:rsid w:val="74513497"/>
    <w:rsid w:val="745D0779"/>
    <w:rsid w:val="74667C0C"/>
    <w:rsid w:val="749368F0"/>
    <w:rsid w:val="74A02772"/>
    <w:rsid w:val="74A2489D"/>
    <w:rsid w:val="74D41782"/>
    <w:rsid w:val="74DA6C11"/>
    <w:rsid w:val="74E42D50"/>
    <w:rsid w:val="74F02F1E"/>
    <w:rsid w:val="74F74F2A"/>
    <w:rsid w:val="74FB4B66"/>
    <w:rsid w:val="74FE25E4"/>
    <w:rsid w:val="750933EE"/>
    <w:rsid w:val="75305065"/>
    <w:rsid w:val="75330DAE"/>
    <w:rsid w:val="7534689E"/>
    <w:rsid w:val="754427F8"/>
    <w:rsid w:val="75482616"/>
    <w:rsid w:val="754A2EA4"/>
    <w:rsid w:val="75533CDB"/>
    <w:rsid w:val="755C1784"/>
    <w:rsid w:val="756A176D"/>
    <w:rsid w:val="75744956"/>
    <w:rsid w:val="75784746"/>
    <w:rsid w:val="757B2EFF"/>
    <w:rsid w:val="757C60BA"/>
    <w:rsid w:val="759804BA"/>
    <w:rsid w:val="75A05E4E"/>
    <w:rsid w:val="75AC36CE"/>
    <w:rsid w:val="75B93025"/>
    <w:rsid w:val="75BF77AF"/>
    <w:rsid w:val="75C96FDA"/>
    <w:rsid w:val="75D14FF0"/>
    <w:rsid w:val="75DD3EF1"/>
    <w:rsid w:val="75DE7E46"/>
    <w:rsid w:val="75E33C54"/>
    <w:rsid w:val="75FD6A10"/>
    <w:rsid w:val="75FE6729"/>
    <w:rsid w:val="760A30B1"/>
    <w:rsid w:val="760D7FD2"/>
    <w:rsid w:val="762742D3"/>
    <w:rsid w:val="762D3E3F"/>
    <w:rsid w:val="76310ED3"/>
    <w:rsid w:val="763D0D8E"/>
    <w:rsid w:val="76425E10"/>
    <w:rsid w:val="765F4188"/>
    <w:rsid w:val="766C0ADC"/>
    <w:rsid w:val="76703C57"/>
    <w:rsid w:val="76770F8D"/>
    <w:rsid w:val="767D7154"/>
    <w:rsid w:val="76826103"/>
    <w:rsid w:val="768A0F69"/>
    <w:rsid w:val="76A255B4"/>
    <w:rsid w:val="76B940E3"/>
    <w:rsid w:val="76BD2C0E"/>
    <w:rsid w:val="76CA0D43"/>
    <w:rsid w:val="76E43928"/>
    <w:rsid w:val="770909B2"/>
    <w:rsid w:val="77546EBE"/>
    <w:rsid w:val="77784CDF"/>
    <w:rsid w:val="777961A7"/>
    <w:rsid w:val="77894C00"/>
    <w:rsid w:val="779042E9"/>
    <w:rsid w:val="77923C1D"/>
    <w:rsid w:val="779921AF"/>
    <w:rsid w:val="77B67B5F"/>
    <w:rsid w:val="77C63B79"/>
    <w:rsid w:val="77D82D6C"/>
    <w:rsid w:val="77DD7C3C"/>
    <w:rsid w:val="77FA56D8"/>
    <w:rsid w:val="781716BB"/>
    <w:rsid w:val="781E6E46"/>
    <w:rsid w:val="78235817"/>
    <w:rsid w:val="782375E2"/>
    <w:rsid w:val="782C2A76"/>
    <w:rsid w:val="783B31FD"/>
    <w:rsid w:val="783F07FA"/>
    <w:rsid w:val="78497278"/>
    <w:rsid w:val="78741A53"/>
    <w:rsid w:val="78742A6E"/>
    <w:rsid w:val="787D2562"/>
    <w:rsid w:val="78952BE3"/>
    <w:rsid w:val="789E63F9"/>
    <w:rsid w:val="78BB5756"/>
    <w:rsid w:val="78BC7B73"/>
    <w:rsid w:val="78C86E22"/>
    <w:rsid w:val="78CE2D16"/>
    <w:rsid w:val="78DC4EF2"/>
    <w:rsid w:val="78E01577"/>
    <w:rsid w:val="78E505BC"/>
    <w:rsid w:val="78F74791"/>
    <w:rsid w:val="790E2B13"/>
    <w:rsid w:val="7912379A"/>
    <w:rsid w:val="79151A64"/>
    <w:rsid w:val="792A33BB"/>
    <w:rsid w:val="792F26B3"/>
    <w:rsid w:val="793916A8"/>
    <w:rsid w:val="7943154C"/>
    <w:rsid w:val="79585816"/>
    <w:rsid w:val="79701F08"/>
    <w:rsid w:val="79B15469"/>
    <w:rsid w:val="79B246FF"/>
    <w:rsid w:val="79BB2739"/>
    <w:rsid w:val="79C033F4"/>
    <w:rsid w:val="79C244C5"/>
    <w:rsid w:val="79CC2923"/>
    <w:rsid w:val="79D97E79"/>
    <w:rsid w:val="79E43492"/>
    <w:rsid w:val="79E542A2"/>
    <w:rsid w:val="79F11649"/>
    <w:rsid w:val="79F17863"/>
    <w:rsid w:val="7A055157"/>
    <w:rsid w:val="7A074A7C"/>
    <w:rsid w:val="7A0B2A10"/>
    <w:rsid w:val="7A202489"/>
    <w:rsid w:val="7A275CD6"/>
    <w:rsid w:val="7A36116C"/>
    <w:rsid w:val="7A68225F"/>
    <w:rsid w:val="7A7E1851"/>
    <w:rsid w:val="7A88080E"/>
    <w:rsid w:val="7AA30BDB"/>
    <w:rsid w:val="7AA51A1E"/>
    <w:rsid w:val="7AC17A4D"/>
    <w:rsid w:val="7AC55644"/>
    <w:rsid w:val="7AC842E9"/>
    <w:rsid w:val="7AC96271"/>
    <w:rsid w:val="7AD4761F"/>
    <w:rsid w:val="7AE7538D"/>
    <w:rsid w:val="7B160A5C"/>
    <w:rsid w:val="7B3B68B1"/>
    <w:rsid w:val="7B4D4030"/>
    <w:rsid w:val="7B5820CE"/>
    <w:rsid w:val="7B5E578E"/>
    <w:rsid w:val="7B7A6B88"/>
    <w:rsid w:val="7B850870"/>
    <w:rsid w:val="7B8C02B1"/>
    <w:rsid w:val="7BAB1552"/>
    <w:rsid w:val="7BCC00E5"/>
    <w:rsid w:val="7BCC17F6"/>
    <w:rsid w:val="7BD00FC3"/>
    <w:rsid w:val="7BD50079"/>
    <w:rsid w:val="7BE03826"/>
    <w:rsid w:val="7BE76D09"/>
    <w:rsid w:val="7BEB3876"/>
    <w:rsid w:val="7BFC2B92"/>
    <w:rsid w:val="7C08229D"/>
    <w:rsid w:val="7C1169AE"/>
    <w:rsid w:val="7C1A69E1"/>
    <w:rsid w:val="7C367C97"/>
    <w:rsid w:val="7C4612FA"/>
    <w:rsid w:val="7C481E21"/>
    <w:rsid w:val="7C4D4C50"/>
    <w:rsid w:val="7C567CCD"/>
    <w:rsid w:val="7C616904"/>
    <w:rsid w:val="7C6B06D9"/>
    <w:rsid w:val="7C6B52F4"/>
    <w:rsid w:val="7C6E2CDB"/>
    <w:rsid w:val="7C7C01AF"/>
    <w:rsid w:val="7C83192F"/>
    <w:rsid w:val="7C9733BE"/>
    <w:rsid w:val="7CB24C02"/>
    <w:rsid w:val="7CBD4F45"/>
    <w:rsid w:val="7CC22DBA"/>
    <w:rsid w:val="7CDA340B"/>
    <w:rsid w:val="7CE049EE"/>
    <w:rsid w:val="7CF215C3"/>
    <w:rsid w:val="7CF6064F"/>
    <w:rsid w:val="7D062F31"/>
    <w:rsid w:val="7D1F286A"/>
    <w:rsid w:val="7D273185"/>
    <w:rsid w:val="7D300641"/>
    <w:rsid w:val="7D623E4A"/>
    <w:rsid w:val="7D69529C"/>
    <w:rsid w:val="7D6F32C3"/>
    <w:rsid w:val="7D7C3F65"/>
    <w:rsid w:val="7D8A4BFA"/>
    <w:rsid w:val="7D9510B7"/>
    <w:rsid w:val="7DD84250"/>
    <w:rsid w:val="7DDA6D69"/>
    <w:rsid w:val="7DE20C9E"/>
    <w:rsid w:val="7DF557CF"/>
    <w:rsid w:val="7E0000DB"/>
    <w:rsid w:val="7E006510"/>
    <w:rsid w:val="7E06430A"/>
    <w:rsid w:val="7E0D7ED1"/>
    <w:rsid w:val="7E214757"/>
    <w:rsid w:val="7E294FDB"/>
    <w:rsid w:val="7E2B5635"/>
    <w:rsid w:val="7E301557"/>
    <w:rsid w:val="7E430BBD"/>
    <w:rsid w:val="7E590833"/>
    <w:rsid w:val="7E697C9B"/>
    <w:rsid w:val="7E7F58C9"/>
    <w:rsid w:val="7E814781"/>
    <w:rsid w:val="7E9B5251"/>
    <w:rsid w:val="7E9E5D9A"/>
    <w:rsid w:val="7EAF594E"/>
    <w:rsid w:val="7EB55A60"/>
    <w:rsid w:val="7EEC3633"/>
    <w:rsid w:val="7EF849CF"/>
    <w:rsid w:val="7F0C4881"/>
    <w:rsid w:val="7F224C36"/>
    <w:rsid w:val="7F3332E8"/>
    <w:rsid w:val="7F377FC8"/>
    <w:rsid w:val="7F4F7478"/>
    <w:rsid w:val="7F735EB0"/>
    <w:rsid w:val="7F7723E7"/>
    <w:rsid w:val="7F780A88"/>
    <w:rsid w:val="7F7E64D5"/>
    <w:rsid w:val="7F7F4180"/>
    <w:rsid w:val="7F9A47D6"/>
    <w:rsid w:val="7F9B04FC"/>
    <w:rsid w:val="7FCC0955"/>
    <w:rsid w:val="7FD075BC"/>
    <w:rsid w:val="7FD5136B"/>
    <w:rsid w:val="7FDA23E4"/>
    <w:rsid w:val="7FE943A9"/>
    <w:rsid w:val="7FF32148"/>
    <w:rsid w:val="7FF42E5A"/>
    <w:rsid w:val="7FFD0E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9"/>
    <w:qFormat/>
    <w:uiPriority w:val="9"/>
    <w:pPr>
      <w:keepNext/>
      <w:keepLines/>
      <w:numPr>
        <w:ilvl w:val="0"/>
        <w:numId w:val="1"/>
      </w:numPr>
      <w:spacing w:before="340" w:after="330" w:line="578" w:lineRule="auto"/>
      <w:ind w:left="0" w:firstLine="0"/>
      <w:outlineLvl w:val="0"/>
    </w:pPr>
    <w:rPr>
      <w:rFonts w:eastAsia="仿宋"/>
      <w:b/>
      <w:bCs/>
      <w:kern w:val="44"/>
      <w:sz w:val="32"/>
      <w:szCs w:val="44"/>
    </w:rPr>
  </w:style>
  <w:style w:type="paragraph" w:styleId="4">
    <w:name w:val="heading 2"/>
    <w:basedOn w:val="1"/>
    <w:next w:val="1"/>
    <w:link w:val="30"/>
    <w:unhideWhenUsed/>
    <w:qFormat/>
    <w:uiPriority w:val="9"/>
    <w:pPr>
      <w:keepNext/>
      <w:keepLines/>
      <w:numPr>
        <w:ilvl w:val="0"/>
        <w:numId w:val="2"/>
      </w:numPr>
      <w:spacing w:before="260" w:after="260" w:line="416" w:lineRule="auto"/>
      <w:outlineLvl w:val="1"/>
    </w:pPr>
    <w:rPr>
      <w:rFonts w:eastAsia="仿宋" w:asciiTheme="majorHAnsi" w:hAnsiTheme="majorHAnsi" w:cstheme="majorBidi"/>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caption"/>
    <w:basedOn w:val="1"/>
    <w:next w:val="1"/>
    <w:unhideWhenUsed/>
    <w:qFormat/>
    <w:uiPriority w:val="35"/>
    <w:rPr>
      <w:rFonts w:eastAsia="黑体" w:asciiTheme="majorHAnsi" w:hAnsiTheme="majorHAnsi" w:cstheme="majorBidi"/>
      <w:sz w:val="20"/>
      <w:szCs w:val="20"/>
    </w:rPr>
  </w:style>
  <w:style w:type="paragraph" w:styleId="6">
    <w:name w:val="annotation text"/>
    <w:basedOn w:val="1"/>
    <w:link w:val="36"/>
    <w:semiHidden/>
    <w:unhideWhenUsed/>
    <w:qFormat/>
    <w:uiPriority w:val="99"/>
    <w:pPr>
      <w:jc w:val="left"/>
    </w:pPr>
  </w:style>
  <w:style w:type="paragraph" w:styleId="7">
    <w:name w:val="Body Text"/>
    <w:basedOn w:val="1"/>
    <w:qFormat/>
    <w:uiPriority w:val="0"/>
  </w:style>
  <w:style w:type="paragraph" w:styleId="8">
    <w:name w:val="toc 3"/>
    <w:basedOn w:val="1"/>
    <w:next w:val="1"/>
    <w:semiHidden/>
    <w:unhideWhenUsed/>
    <w:qFormat/>
    <w:uiPriority w:val="39"/>
    <w:pPr>
      <w:ind w:left="840" w:leftChars="400"/>
    </w:pPr>
  </w:style>
  <w:style w:type="paragraph" w:styleId="9">
    <w:name w:val="Balloon Text"/>
    <w:basedOn w:val="1"/>
    <w:link w:val="35"/>
    <w:semiHidden/>
    <w:unhideWhenUsed/>
    <w:qFormat/>
    <w:uiPriority w:val="99"/>
    <w:rPr>
      <w:sz w:val="18"/>
      <w:szCs w:val="18"/>
    </w:rPr>
  </w:style>
  <w:style w:type="paragraph" w:styleId="10">
    <w:name w:val="footer"/>
    <w:basedOn w:val="1"/>
    <w:link w:val="27"/>
    <w:unhideWhenUsed/>
    <w:qFormat/>
    <w:uiPriority w:val="99"/>
    <w:pPr>
      <w:tabs>
        <w:tab w:val="center" w:pos="4153"/>
        <w:tab w:val="right" w:pos="8306"/>
      </w:tabs>
      <w:snapToGrid w:val="0"/>
      <w:jc w:val="left"/>
    </w:pPr>
    <w:rPr>
      <w:sz w:val="18"/>
      <w:szCs w:val="18"/>
    </w:rPr>
  </w:style>
  <w:style w:type="paragraph" w:styleId="11">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rPr>
      <w:rFonts w:ascii="Times New Roman" w:hAnsi="Times New Roman" w:eastAsia="宋体" w:cs="Times New Roman"/>
    </w:rPr>
  </w:style>
  <w:style w:type="paragraph" w:styleId="13">
    <w:name w:val="toc 2"/>
    <w:basedOn w:val="1"/>
    <w:next w:val="1"/>
    <w:semiHidden/>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14"/>
      <w:szCs w:val="14"/>
      <w:lang w:val="en-US" w:eastAsia="zh-CN" w:bidi="ar"/>
    </w:rPr>
  </w:style>
  <w:style w:type="paragraph" w:styleId="15">
    <w:name w:val="annotation subject"/>
    <w:basedOn w:val="6"/>
    <w:next w:val="6"/>
    <w:link w:val="37"/>
    <w:semiHidden/>
    <w:unhideWhenUsed/>
    <w:qFormat/>
    <w:uiPriority w:val="99"/>
    <w:rPr>
      <w:b/>
      <w:bCs/>
    </w:rPr>
  </w:style>
  <w:style w:type="paragraph" w:styleId="16">
    <w:name w:val="Body Text First Indent"/>
    <w:basedOn w:val="7"/>
    <w:semiHidden/>
    <w:unhideWhenUsed/>
    <w:qFormat/>
    <w:uiPriority w:val="99"/>
    <w:pPr>
      <w:ind w:firstLine="420" w:firstLineChars="100"/>
    </w:p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Strong"/>
    <w:basedOn w:val="19"/>
    <w:qFormat/>
    <w:uiPriority w:val="0"/>
    <w:rPr>
      <w:b/>
      <w:bCs/>
    </w:rPr>
  </w:style>
  <w:style w:type="character" w:styleId="21">
    <w:name w:val="FollowedHyperlink"/>
    <w:basedOn w:val="19"/>
    <w:semiHidden/>
    <w:unhideWhenUsed/>
    <w:qFormat/>
    <w:uiPriority w:val="99"/>
    <w:rPr>
      <w:color w:val="000000"/>
      <w:u w:val="none"/>
    </w:rPr>
  </w:style>
  <w:style w:type="character" w:styleId="22">
    <w:name w:val="Emphasis"/>
    <w:basedOn w:val="19"/>
    <w:qFormat/>
    <w:uiPriority w:val="20"/>
  </w:style>
  <w:style w:type="character" w:styleId="23">
    <w:name w:val="Hyperlink"/>
    <w:basedOn w:val="19"/>
    <w:semiHidden/>
    <w:unhideWhenUsed/>
    <w:qFormat/>
    <w:uiPriority w:val="99"/>
    <w:rPr>
      <w:color w:val="000000"/>
      <w:u w:val="none"/>
    </w:rPr>
  </w:style>
  <w:style w:type="character" w:styleId="24">
    <w:name w:val="annotation reference"/>
    <w:basedOn w:val="19"/>
    <w:semiHidden/>
    <w:unhideWhenUsed/>
    <w:qFormat/>
    <w:uiPriority w:val="99"/>
    <w:rPr>
      <w:sz w:val="21"/>
      <w:szCs w:val="21"/>
    </w:rPr>
  </w:style>
  <w:style w:type="paragraph" w:customStyle="1" w:styleId="25">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character" w:customStyle="1" w:styleId="26">
    <w:name w:val="页眉 Char"/>
    <w:basedOn w:val="19"/>
    <w:link w:val="11"/>
    <w:qFormat/>
    <w:uiPriority w:val="99"/>
    <w:rPr>
      <w:sz w:val="18"/>
      <w:szCs w:val="18"/>
    </w:rPr>
  </w:style>
  <w:style w:type="character" w:customStyle="1" w:styleId="27">
    <w:name w:val="页脚 Char"/>
    <w:basedOn w:val="19"/>
    <w:link w:val="10"/>
    <w:qFormat/>
    <w:uiPriority w:val="99"/>
    <w:rPr>
      <w:sz w:val="18"/>
      <w:szCs w:val="18"/>
    </w:rPr>
  </w:style>
  <w:style w:type="character" w:customStyle="1" w:styleId="28">
    <w:name w:val="font41"/>
    <w:basedOn w:val="19"/>
    <w:qFormat/>
    <w:uiPriority w:val="0"/>
    <w:rPr>
      <w:rFonts w:ascii="仿宋_GB2312" w:eastAsia="仿宋_GB2312" w:cs="仿宋_GB2312"/>
      <w:color w:val="000000"/>
      <w:sz w:val="24"/>
      <w:szCs w:val="24"/>
      <w:u w:val="none"/>
    </w:rPr>
  </w:style>
  <w:style w:type="character" w:customStyle="1" w:styleId="29">
    <w:name w:val="标题 1 Char"/>
    <w:basedOn w:val="19"/>
    <w:link w:val="3"/>
    <w:qFormat/>
    <w:uiPriority w:val="9"/>
    <w:rPr>
      <w:rFonts w:eastAsia="仿宋"/>
      <w:b/>
      <w:bCs/>
      <w:kern w:val="44"/>
      <w:sz w:val="32"/>
      <w:szCs w:val="44"/>
    </w:rPr>
  </w:style>
  <w:style w:type="character" w:customStyle="1" w:styleId="30">
    <w:name w:val="标题 2 Char"/>
    <w:basedOn w:val="19"/>
    <w:link w:val="4"/>
    <w:qFormat/>
    <w:uiPriority w:val="9"/>
    <w:rPr>
      <w:rFonts w:eastAsia="仿宋" w:asciiTheme="majorHAnsi" w:hAnsiTheme="majorHAnsi" w:cstheme="majorBidi"/>
      <w:bCs/>
      <w:sz w:val="32"/>
      <w:szCs w:val="32"/>
    </w:rPr>
  </w:style>
  <w:style w:type="paragraph" w:styleId="31">
    <w:name w:val="List Paragraph"/>
    <w:basedOn w:val="1"/>
    <w:qFormat/>
    <w:uiPriority w:val="34"/>
    <w:pPr>
      <w:ind w:firstLine="420" w:firstLineChars="200"/>
    </w:pPr>
  </w:style>
  <w:style w:type="paragraph" w:customStyle="1" w:styleId="32">
    <w:name w:val="WPSOffice手动目录 1"/>
    <w:qFormat/>
    <w:uiPriority w:val="0"/>
    <w:rPr>
      <w:rFonts w:asciiTheme="minorHAnsi" w:hAnsiTheme="minorHAnsi" w:eastAsiaTheme="minorEastAsia" w:cstheme="minorBidi"/>
      <w:lang w:val="en-US" w:eastAsia="zh-CN" w:bidi="ar-SA"/>
    </w:rPr>
  </w:style>
  <w:style w:type="paragraph" w:customStyle="1" w:styleId="33">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4">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35">
    <w:name w:val="批注框文本 Char"/>
    <w:basedOn w:val="19"/>
    <w:link w:val="9"/>
    <w:semiHidden/>
    <w:qFormat/>
    <w:uiPriority w:val="99"/>
    <w:rPr>
      <w:kern w:val="2"/>
      <w:sz w:val="18"/>
      <w:szCs w:val="18"/>
    </w:rPr>
  </w:style>
  <w:style w:type="character" w:customStyle="1" w:styleId="36">
    <w:name w:val="批注文字 Char"/>
    <w:basedOn w:val="19"/>
    <w:link w:val="6"/>
    <w:semiHidden/>
    <w:qFormat/>
    <w:uiPriority w:val="99"/>
    <w:rPr>
      <w:kern w:val="2"/>
      <w:sz w:val="21"/>
      <w:szCs w:val="24"/>
    </w:rPr>
  </w:style>
  <w:style w:type="character" w:customStyle="1" w:styleId="37">
    <w:name w:val="批注主题 Char"/>
    <w:basedOn w:val="36"/>
    <w:link w:val="15"/>
    <w:semiHidden/>
    <w:qFormat/>
    <w:uiPriority w:val="99"/>
    <w:rPr>
      <w:b/>
      <w:bCs/>
      <w:kern w:val="2"/>
      <w:sz w:val="21"/>
      <w:szCs w:val="24"/>
    </w:rPr>
  </w:style>
  <w:style w:type="paragraph" w:customStyle="1" w:styleId="38">
    <w:name w:val="闻政表"/>
    <w:basedOn w:val="1"/>
    <w:qFormat/>
    <w:uiPriority w:val="99"/>
    <w:pPr>
      <w:spacing w:before="60" w:after="60"/>
      <w:jc w:val="center"/>
    </w:pPr>
    <w:rPr>
      <w:rFonts w:ascii="Times New Roman" w:hAnsi="Times New Roman" w:eastAsia="仿宋_GB2312"/>
      <w:b/>
      <w:kern w:val="0"/>
      <w:sz w:val="24"/>
      <w:szCs w:val="28"/>
    </w:rPr>
  </w:style>
  <w:style w:type="paragraph" w:customStyle="1" w:styleId="39">
    <w:name w:val="列表段落1"/>
    <w:basedOn w:val="1"/>
    <w:qFormat/>
    <w:uiPriority w:val="34"/>
    <w:pPr>
      <w:ind w:firstLine="420" w:firstLineChars="200"/>
    </w:pPr>
  </w:style>
  <w:style w:type="paragraph" w:customStyle="1" w:styleId="40">
    <w:name w:val="正文1"/>
    <w:basedOn w:val="41"/>
    <w:qFormat/>
    <w:uiPriority w:val="99"/>
    <w:pPr>
      <w:widowControl/>
      <w:jc w:val="both"/>
    </w:pPr>
    <w:rPr>
      <w:rFonts w:ascii="Times New Roman" w:hAnsi="Times New Roman" w:cs="Times New Roman"/>
      <w:sz w:val="21"/>
      <w:szCs w:val="21"/>
    </w:rPr>
  </w:style>
  <w:style w:type="paragraph" w:customStyle="1" w:styleId="41">
    <w:name w:val="[Normal]"/>
    <w:qFormat/>
    <w:uiPriority w:val="0"/>
    <w:pPr>
      <w:widowControl w:val="0"/>
      <w:autoSpaceDE w:val="0"/>
      <w:autoSpaceDN w:val="0"/>
      <w:adjustRightInd w:val="0"/>
    </w:pPr>
    <w:rPr>
      <w:rFonts w:ascii="ËÎÌå" w:hAnsi="ËÎÌå" w:eastAsia="宋体" w:cs="ËÎÌå"/>
      <w:sz w:val="24"/>
      <w:szCs w:val="24"/>
      <w:lang w:val="en-US" w:eastAsia="zh-CN" w:bidi="ar-SA"/>
    </w:rPr>
  </w:style>
  <w:style w:type="character" w:customStyle="1" w:styleId="42">
    <w:name w:val="font51"/>
    <w:basedOn w:val="19"/>
    <w:qFormat/>
    <w:uiPriority w:val="0"/>
    <w:rPr>
      <w:rFonts w:hint="eastAsia" w:ascii="微软雅黑" w:hAnsi="微软雅黑" w:eastAsia="微软雅黑" w:cs="微软雅黑"/>
      <w:color w:val="000000"/>
      <w:sz w:val="20"/>
      <w:szCs w:val="20"/>
      <w:u w:val="none"/>
    </w:rPr>
  </w:style>
  <w:style w:type="character" w:customStyle="1" w:styleId="43">
    <w:name w:val="font101"/>
    <w:basedOn w:val="19"/>
    <w:qFormat/>
    <w:uiPriority w:val="0"/>
    <w:rPr>
      <w:rFonts w:ascii="Calibri" w:hAnsi="Calibri" w:cs="Calibri"/>
      <w:color w:val="000000"/>
      <w:sz w:val="20"/>
      <w:szCs w:val="20"/>
      <w:u w:val="none"/>
    </w:rPr>
  </w:style>
  <w:style w:type="character" w:customStyle="1" w:styleId="44">
    <w:name w:val="font91"/>
    <w:basedOn w:val="19"/>
    <w:qFormat/>
    <w:uiPriority w:val="0"/>
    <w:rPr>
      <w:rFonts w:hint="eastAsia" w:ascii="微软雅黑" w:hAnsi="微软雅黑" w:eastAsia="微软雅黑" w:cs="微软雅黑"/>
      <w:color w:val="000000"/>
      <w:sz w:val="20"/>
      <w:szCs w:val="20"/>
      <w:u w:val="none"/>
    </w:rPr>
  </w:style>
  <w:style w:type="character" w:customStyle="1" w:styleId="45">
    <w:name w:val="font71"/>
    <w:basedOn w:val="19"/>
    <w:qFormat/>
    <w:uiPriority w:val="0"/>
    <w:rPr>
      <w:rFonts w:hint="eastAsia"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3F39DA-BB28-4752-A7CB-656F2CF4CE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42</Pages>
  <Words>18766</Words>
  <Characters>19725</Characters>
  <Lines>79</Lines>
  <Paragraphs>22</Paragraphs>
  <TotalTime>50</TotalTime>
  <ScaleCrop>false</ScaleCrop>
  <LinksUpToDate>false</LinksUpToDate>
  <CharactersWithSpaces>19980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2019-11-07T05:25:00Z</dcterms:created>
  <dc:creator>jc</dc:creator>
  <cp:lastModifiedBy>Lenovo</cp:lastModifiedBy>
  <cp:lastPrinted>2023-10-30T09:30:00Z</cp:lastPrinted>
  <dcterms:modified xsi:type="dcterms:W3CDTF">2023-11-04T05:44:41Z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100E6F6D6CFF4CCCAF4B16D3337E57AD</vt:lpwstr>
  </property>
</Properties>
</file>