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ind w:firstLine="640" w:firstLineChars="200"/>
        <w:jc w:val="center"/>
        <w:rPr>
          <w:rFonts w:ascii="Times New Roman" w:hAnsi="Times New Roman" w:eastAsia="仿宋_GB2312" w:cs="宋体"/>
          <w:color w:val="auto"/>
          <w:kern w:val="0"/>
          <w:sz w:val="32"/>
          <w:szCs w:val="32"/>
        </w:rPr>
      </w:pPr>
    </w:p>
    <w:p>
      <w:pPr>
        <w:jc w:val="center"/>
        <w:rPr>
          <w:rFonts w:hint="eastAsia" w:ascii="仿宋_GB2312" w:hAnsi="黑体" w:eastAsia="仿宋_GB2312" w:cs="宋体"/>
          <w:b/>
          <w:bCs/>
          <w:kern w:val="0"/>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疏附县2022年度新能源公交</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购置补助资金项目</w:t>
      </w: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jc w:val="center"/>
        <w:rPr>
          <w:rFonts w:hint="eastAsia" w:ascii="仿宋_GB2312" w:hAnsi="黑体" w:eastAsia="仿宋_GB2312" w:cs="宋体"/>
          <w:b/>
          <w:bCs/>
          <w:kern w:val="0"/>
          <w:sz w:val="72"/>
          <w:szCs w:val="72"/>
        </w:rPr>
      </w:pPr>
      <w:r>
        <w:rPr>
          <w:rFonts w:hint="eastAsia" w:ascii="仿宋_GB2312" w:hAnsi="黑体" w:eastAsia="仿宋_GB2312" w:cs="宋体"/>
          <w:b/>
          <w:bCs/>
          <w:kern w:val="0"/>
          <w:sz w:val="72"/>
          <w:szCs w:val="72"/>
        </w:rPr>
        <w:t>绩效评价报告</w:t>
      </w: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ageBreakBefore w:val="0"/>
        <w:kinsoku/>
        <w:wordWrap/>
        <w:overflowPunct/>
        <w:topLinePunct w:val="0"/>
        <w:autoSpaceDE/>
        <w:autoSpaceDN/>
        <w:bidi w:val="0"/>
        <w:ind w:firstLine="480" w:firstLineChars="200"/>
        <w:rPr>
          <w:rFonts w:ascii="Times New Roman" w:hAnsi="Times New Roman" w:eastAsia="仿宋_GB2312" w:cs="宋体"/>
          <w:color w:val="auto"/>
          <w:kern w:val="0"/>
          <w:sz w:val="24"/>
        </w:rPr>
      </w:pPr>
    </w:p>
    <w:p>
      <w:pPr>
        <w:pStyle w:val="4"/>
        <w:pageBreakBefore w:val="0"/>
        <w:numPr>
          <w:ilvl w:val="-1"/>
          <w:numId w:val="0"/>
        </w:numPr>
        <w:kinsoku/>
        <w:wordWrap/>
        <w:overflowPunct/>
        <w:topLinePunct w:val="0"/>
        <w:autoSpaceDE/>
        <w:autoSpaceDN/>
        <w:bidi w:val="0"/>
        <w:ind w:left="0" w:firstLine="640" w:firstLineChars="200"/>
        <w:outlineLvl w:val="9"/>
        <w:rPr>
          <w:rFonts w:ascii="Times New Roman" w:hAnsi="Times New Roman" w:eastAsia="仿宋_GB2312"/>
          <w:color w:val="auto"/>
        </w:rPr>
      </w:pPr>
    </w:p>
    <w:p>
      <w:pPr>
        <w:spacing w:line="400" w:lineRule="exact"/>
        <w:ind w:firstLine="2040" w:firstLineChars="850"/>
        <w:jc w:val="left"/>
        <w:rPr>
          <w:rFonts w:hint="eastAsia" w:ascii="黑体" w:hAnsi="黑体" w:eastAsia="黑体" w:cs="宋体"/>
          <w:kern w:val="0"/>
          <w:sz w:val="24"/>
          <w:lang w:val="en-US" w:eastAsia="zh-CN"/>
        </w:rPr>
      </w:pPr>
    </w:p>
    <w:p>
      <w:pPr>
        <w:spacing w:line="400" w:lineRule="exact"/>
        <w:ind w:firstLine="2040" w:firstLineChars="850"/>
        <w:jc w:val="left"/>
        <w:rPr>
          <w:rFonts w:hint="eastAsia" w:ascii="黑体" w:hAnsi="黑体" w:eastAsia="黑体" w:cs="宋体"/>
          <w:kern w:val="0"/>
          <w:sz w:val="24"/>
          <w:lang w:val="en-US" w:eastAsia="zh-CN"/>
        </w:rPr>
      </w:pPr>
    </w:p>
    <w:p>
      <w:pPr>
        <w:spacing w:line="400" w:lineRule="exact"/>
        <w:ind w:firstLine="2040" w:firstLineChars="850"/>
        <w:jc w:val="left"/>
        <w:rPr>
          <w:rFonts w:hint="eastAsia" w:ascii="黑体" w:hAnsi="黑体" w:eastAsia="黑体" w:cs="宋体"/>
          <w:kern w:val="0"/>
          <w:sz w:val="24"/>
        </w:rPr>
      </w:pPr>
    </w:p>
    <w:p>
      <w:pPr>
        <w:spacing w:line="400" w:lineRule="exact"/>
        <w:ind w:firstLine="2040" w:firstLineChars="850"/>
        <w:jc w:val="left"/>
        <w:rPr>
          <w:rFonts w:hint="eastAsia" w:ascii="黑体" w:hAnsi="黑体" w:eastAsia="黑体" w:cs="宋体"/>
          <w:kern w:val="0"/>
          <w:sz w:val="24"/>
        </w:rPr>
      </w:pPr>
    </w:p>
    <w:p>
      <w:pPr>
        <w:spacing w:line="400" w:lineRule="exact"/>
        <w:ind w:firstLine="2040" w:firstLineChars="850"/>
        <w:jc w:val="left"/>
        <w:rPr>
          <w:rFonts w:hint="eastAsia" w:ascii="黑体" w:hAnsi="黑体" w:eastAsia="黑体" w:cs="宋体"/>
          <w:kern w:val="0"/>
          <w:sz w:val="24"/>
          <w:highlight w:val="yellow"/>
        </w:rPr>
      </w:pPr>
      <w:r>
        <w:rPr>
          <w:rFonts w:hint="eastAsia" w:ascii="黑体" w:hAnsi="黑体" w:eastAsia="黑体" w:cs="宋体"/>
          <w:kern w:val="0"/>
          <w:sz w:val="24"/>
          <w:highlight w:val="none"/>
        </w:rPr>
        <w:t>报告编号：中瑞诚喀绩评字[202</w:t>
      </w:r>
      <w:r>
        <w:rPr>
          <w:rFonts w:hint="eastAsia" w:ascii="黑体" w:hAnsi="黑体" w:eastAsia="黑体" w:cs="宋体"/>
          <w:kern w:val="0"/>
          <w:sz w:val="24"/>
          <w:highlight w:val="none"/>
          <w:lang w:val="en-US" w:eastAsia="zh-CN"/>
        </w:rPr>
        <w:t>3</w:t>
      </w:r>
      <w:r>
        <w:rPr>
          <w:rFonts w:hint="eastAsia" w:ascii="黑体" w:hAnsi="黑体" w:eastAsia="黑体" w:cs="宋体"/>
          <w:kern w:val="0"/>
          <w:sz w:val="24"/>
          <w:highlight w:val="none"/>
        </w:rPr>
        <w:t>]04</w:t>
      </w:r>
      <w:r>
        <w:rPr>
          <w:rFonts w:hint="eastAsia" w:ascii="黑体" w:hAnsi="黑体" w:eastAsia="黑体" w:cs="宋体"/>
          <w:kern w:val="0"/>
          <w:sz w:val="24"/>
          <w:highlight w:val="none"/>
          <w:lang w:val="en-US" w:eastAsia="zh-CN"/>
        </w:rPr>
        <w:t>8</w:t>
      </w:r>
      <w:r>
        <w:rPr>
          <w:rFonts w:hint="eastAsia" w:ascii="黑体" w:hAnsi="黑体" w:eastAsia="黑体" w:cs="宋体"/>
          <w:kern w:val="0"/>
          <w:sz w:val="24"/>
          <w:highlight w:val="none"/>
        </w:rPr>
        <w:t>号</w:t>
      </w:r>
    </w:p>
    <w:p>
      <w:pPr>
        <w:spacing w:line="400" w:lineRule="exact"/>
        <w:ind w:firstLine="2040" w:firstLineChars="850"/>
        <w:jc w:val="left"/>
        <w:rPr>
          <w:rFonts w:hint="eastAsia" w:ascii="黑体" w:hAnsi="黑体" w:eastAsia="黑体" w:cs="宋体"/>
          <w:kern w:val="0"/>
          <w:sz w:val="24"/>
          <w:highlight w:val="none"/>
        </w:rPr>
      </w:pPr>
      <w:r>
        <w:rPr>
          <w:rFonts w:hint="eastAsia" w:ascii="黑体" w:hAnsi="黑体" w:eastAsia="黑体" w:cs="宋体"/>
          <w:kern w:val="0"/>
          <w:sz w:val="24"/>
          <w:highlight w:val="none"/>
        </w:rPr>
        <w:t>委托单位：</w:t>
      </w:r>
      <w:r>
        <w:rPr>
          <w:rFonts w:hint="eastAsia" w:ascii="黑体" w:hAnsi="黑体" w:eastAsia="黑体" w:cs="宋体"/>
          <w:kern w:val="0"/>
          <w:sz w:val="24"/>
          <w:highlight w:val="none"/>
          <w:lang w:eastAsia="zh-CN"/>
        </w:rPr>
        <w:t>疏附县</w:t>
      </w:r>
      <w:r>
        <w:rPr>
          <w:rFonts w:hint="eastAsia" w:ascii="黑体" w:hAnsi="黑体" w:eastAsia="黑体" w:cs="宋体"/>
          <w:kern w:val="0"/>
          <w:sz w:val="24"/>
          <w:highlight w:val="none"/>
        </w:rPr>
        <w:t>财政局</w:t>
      </w:r>
    </w:p>
    <w:p>
      <w:pPr>
        <w:spacing w:line="400" w:lineRule="exact"/>
        <w:ind w:firstLine="2040" w:firstLineChars="850"/>
        <w:jc w:val="left"/>
        <w:rPr>
          <w:rFonts w:hint="eastAsia" w:ascii="黑体" w:hAnsi="黑体" w:eastAsia="黑体" w:cs="宋体"/>
          <w:kern w:val="0"/>
          <w:sz w:val="24"/>
          <w:highlight w:val="none"/>
        </w:rPr>
      </w:pPr>
      <w:r>
        <w:rPr>
          <w:rFonts w:hint="eastAsia" w:ascii="黑体" w:hAnsi="黑体" w:eastAsia="黑体" w:cs="宋体"/>
          <w:kern w:val="0"/>
          <w:sz w:val="24"/>
          <w:highlight w:val="none"/>
        </w:rPr>
        <w:t>评价机构：中瑞诚会计师事务所（特殊普通合伙）喀什分所</w:t>
      </w:r>
    </w:p>
    <w:p>
      <w:pPr>
        <w:spacing w:line="400" w:lineRule="exact"/>
        <w:ind w:firstLine="2040" w:firstLineChars="850"/>
        <w:jc w:val="left"/>
        <w:rPr>
          <w:rFonts w:hint="eastAsia" w:ascii="黑体" w:hAnsi="黑体" w:eastAsia="黑体" w:cs="宋体"/>
          <w:kern w:val="0"/>
          <w:sz w:val="24"/>
          <w:highlight w:val="none"/>
        </w:rPr>
      </w:pPr>
      <w:r>
        <w:rPr>
          <w:rFonts w:hint="eastAsia" w:ascii="黑体" w:hAnsi="黑体" w:eastAsia="黑体" w:cs="宋体"/>
          <w:kern w:val="0"/>
          <w:sz w:val="24"/>
          <w:highlight w:val="none"/>
        </w:rPr>
        <w:t>报告时间：</w:t>
      </w:r>
      <w:r>
        <w:rPr>
          <w:rFonts w:hint="eastAsia" w:ascii="黑体" w:hAnsi="黑体" w:eastAsia="黑体" w:cs="宋体"/>
          <w:kern w:val="0"/>
          <w:sz w:val="24"/>
          <w:highlight w:val="none"/>
          <w:lang w:eastAsia="zh-CN"/>
        </w:rPr>
        <w:t>202</w:t>
      </w:r>
      <w:r>
        <w:rPr>
          <w:rFonts w:hint="eastAsia" w:ascii="黑体" w:hAnsi="黑体" w:eastAsia="黑体" w:cs="宋体"/>
          <w:kern w:val="0"/>
          <w:sz w:val="24"/>
          <w:highlight w:val="none"/>
          <w:lang w:val="en-US" w:eastAsia="zh-CN"/>
        </w:rPr>
        <w:t>3</w:t>
      </w:r>
      <w:r>
        <w:rPr>
          <w:rFonts w:hint="eastAsia" w:ascii="黑体" w:hAnsi="黑体" w:eastAsia="黑体" w:cs="宋体"/>
          <w:kern w:val="0"/>
          <w:sz w:val="24"/>
          <w:highlight w:val="none"/>
          <w:lang w:eastAsia="zh-CN"/>
        </w:rPr>
        <w:t>年</w:t>
      </w:r>
      <w:r>
        <w:rPr>
          <w:rFonts w:hint="eastAsia" w:ascii="黑体" w:hAnsi="黑体" w:eastAsia="黑体" w:cs="宋体"/>
          <w:kern w:val="0"/>
          <w:sz w:val="24"/>
          <w:highlight w:val="none"/>
          <w:lang w:val="en-US" w:eastAsia="zh-CN"/>
        </w:rPr>
        <w:t>07</w:t>
      </w:r>
      <w:r>
        <w:rPr>
          <w:rFonts w:hint="eastAsia" w:ascii="黑体" w:hAnsi="黑体" w:eastAsia="黑体" w:cs="宋体"/>
          <w:kern w:val="0"/>
          <w:sz w:val="24"/>
          <w:highlight w:val="none"/>
          <w:lang w:eastAsia="zh-CN"/>
        </w:rPr>
        <w:t>月</w:t>
      </w:r>
      <w:r>
        <w:rPr>
          <w:rFonts w:hint="eastAsia" w:ascii="黑体" w:hAnsi="黑体" w:eastAsia="黑体" w:cs="宋体"/>
          <w:kern w:val="0"/>
          <w:sz w:val="24"/>
          <w:highlight w:val="none"/>
          <w:lang w:val="en-US" w:eastAsia="zh-CN"/>
        </w:rPr>
        <w:t>11</w:t>
      </w:r>
      <w:r>
        <w:rPr>
          <w:rFonts w:hint="eastAsia" w:ascii="黑体" w:hAnsi="黑体" w:eastAsia="黑体" w:cs="宋体"/>
          <w:kern w:val="0"/>
          <w:sz w:val="24"/>
          <w:highlight w:val="none"/>
          <w:lang w:eastAsia="zh-CN"/>
        </w:rPr>
        <w:t>日</w:t>
      </w: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92"/>
        <w:gridCol w:w="634"/>
        <w:gridCol w:w="500"/>
        <w:gridCol w:w="851"/>
        <w:gridCol w:w="2126"/>
        <w:gridCol w:w="1337"/>
        <w:gridCol w:w="1252"/>
      </w:tblGrid>
      <w:tr>
        <w:tblPrEx>
          <w:tblLayout w:type="fixed"/>
          <w:tblCellMar>
            <w:top w:w="15" w:type="dxa"/>
            <w:left w:w="15" w:type="dxa"/>
            <w:bottom w:w="15" w:type="dxa"/>
            <w:right w:w="15" w:type="dxa"/>
          </w:tblCellMar>
        </w:tblPrEx>
        <w:trPr>
          <w:trHeight w:val="301" w:hRule="atLeast"/>
        </w:trPr>
        <w:tc>
          <w:tcPr>
            <w:tcW w:w="8983" w:type="dxa"/>
            <w:gridSpan w:val="8"/>
            <w:shd w:val="clear" w:color="auto" w:fill="auto"/>
            <w:vAlign w:val="center"/>
          </w:tcPr>
          <w:p>
            <w:pPr>
              <w:widowControl/>
              <w:spacing w:line="240" w:lineRule="exact"/>
              <w:jc w:val="left"/>
              <w:textAlignment w:val="center"/>
              <w:rPr>
                <w:rFonts w:ascii="黑体" w:hAnsi="宋体" w:eastAsia="黑体" w:cs="黑体"/>
                <w:color w:val="000000"/>
                <w:sz w:val="24"/>
                <w:highlight w:val="yellow"/>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96</w:t>
            </w:r>
            <w:r>
              <w:rPr>
                <w:rFonts w:hint="eastAsia" w:ascii="黑体" w:hAnsi="宋体" w:eastAsia="黑体" w:cs="黑体"/>
                <w:color w:val="000000"/>
                <w:kern w:val="0"/>
                <w:sz w:val="24"/>
                <w:highlight w:val="none"/>
              </w:rPr>
              <w:t xml:space="preserve">  评价等级：优</w:t>
            </w:r>
          </w:p>
        </w:tc>
      </w:tr>
      <w:tr>
        <w:tblPrEx>
          <w:tblLayout w:type="fixed"/>
          <w:tblCellMar>
            <w:top w:w="15" w:type="dxa"/>
            <w:left w:w="15" w:type="dxa"/>
            <w:bottom w:w="15" w:type="dxa"/>
            <w:right w:w="15" w:type="dxa"/>
          </w:tblCellMar>
        </w:tblPrEx>
        <w:trPr>
          <w:trHeight w:val="519" w:hRule="atLeast"/>
        </w:trPr>
        <w:tc>
          <w:tcPr>
            <w:tcW w:w="8983" w:type="dxa"/>
            <w:gridSpan w:val="8"/>
            <w:shd w:val="clear" w:color="auto" w:fill="auto"/>
            <w:vAlign w:val="center"/>
          </w:tcPr>
          <w:p>
            <w:pPr>
              <w:widowControl/>
              <w:jc w:val="center"/>
              <w:textAlignment w:val="center"/>
              <w:rPr>
                <w:rFonts w:ascii="黑体" w:hAnsi="宋体" w:eastAsia="黑体" w:cs="黑体"/>
                <w:b/>
                <w:color w:val="000000"/>
                <w:sz w:val="36"/>
                <w:szCs w:val="36"/>
                <w:highlight w:val="yellow"/>
              </w:rPr>
            </w:pPr>
            <w:r>
              <w:rPr>
                <w:rFonts w:hint="eastAsia" w:ascii="黑体" w:hAnsi="宋体" w:eastAsia="黑体" w:cs="黑体"/>
                <w:b/>
                <w:color w:val="000000"/>
                <w:kern w:val="0"/>
                <w:sz w:val="36"/>
                <w:szCs w:val="36"/>
                <w:highlight w:val="none"/>
              </w:rPr>
              <w:t>概   要</w:t>
            </w:r>
          </w:p>
        </w:tc>
      </w:tr>
      <w:tr>
        <w:tblPrEx>
          <w:tblLayout w:type="fixed"/>
          <w:tblCellMar>
            <w:top w:w="15" w:type="dxa"/>
            <w:left w:w="15" w:type="dxa"/>
            <w:bottom w:w="15" w:type="dxa"/>
            <w:right w:w="15" w:type="dxa"/>
          </w:tblCellMar>
        </w:tblPrEx>
        <w:trPr>
          <w:trHeight w:val="330" w:hRule="atLeast"/>
        </w:trPr>
        <w:tc>
          <w:tcPr>
            <w:tcW w:w="8983" w:type="dxa"/>
            <w:gridSpan w:val="8"/>
            <w:shd w:val="clear" w:color="auto" w:fill="auto"/>
            <w:vAlign w:val="center"/>
          </w:tcPr>
          <w:p>
            <w:pPr>
              <w:widowControl/>
              <w:spacing w:line="240" w:lineRule="exact"/>
              <w:jc w:val="left"/>
              <w:textAlignment w:val="center"/>
              <w:rPr>
                <w:rFonts w:ascii="黑体" w:hAnsi="黑体" w:eastAsia="黑体" w:cs="仿宋_GB2312"/>
                <w:color w:val="000000"/>
                <w:sz w:val="22"/>
                <w:highlight w:val="yellow"/>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eastAsia="zh-CN"/>
              </w:rPr>
              <w:t>中瑞诚会计师事务所（特殊普通合伙）喀什分所</w:t>
            </w:r>
            <w:r>
              <w:rPr>
                <w:rFonts w:hint="eastAsia" w:ascii="黑体" w:hAnsi="黑体" w:eastAsia="黑体" w:cs="仿宋_GB2312"/>
                <w:color w:val="000000"/>
                <w:kern w:val="0"/>
                <w:sz w:val="22"/>
                <w:highlight w:val="none"/>
              </w:rPr>
              <w:t>单位：万元、类、个</w:t>
            </w:r>
            <w:r>
              <w:rPr>
                <w:rFonts w:hint="eastAsia" w:ascii="黑体" w:hAnsi="黑体" w:eastAsia="黑体" w:cs="仿宋_GB2312"/>
                <w:color w:val="000000"/>
                <w:kern w:val="0"/>
                <w:sz w:val="22"/>
                <w:highlight w:val="yellow"/>
              </w:rPr>
              <w:t xml:space="preserve">                     </w:t>
            </w:r>
          </w:p>
        </w:tc>
      </w:tr>
      <w:tr>
        <w:tblPrEx>
          <w:tblLayout w:type="fixed"/>
          <w:tblCellMar>
            <w:top w:w="15" w:type="dxa"/>
            <w:left w:w="15" w:type="dxa"/>
            <w:bottom w:w="15" w:type="dxa"/>
            <w:right w:w="15" w:type="dxa"/>
          </w:tblCellMar>
        </w:tblPrEx>
        <w:trPr>
          <w:trHeight w:val="43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51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宋体"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疏附县2022年度新能源公交购置补助资金项目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2022年</w:t>
            </w:r>
          </w:p>
        </w:tc>
      </w:tr>
      <w:tr>
        <w:tblPrEx>
          <w:tblLayout w:type="fixed"/>
          <w:tblCellMar>
            <w:top w:w="15" w:type="dxa"/>
            <w:left w:w="15" w:type="dxa"/>
            <w:bottom w:w="15" w:type="dxa"/>
            <w:right w:w="15" w:type="dxa"/>
          </w:tblCellMar>
        </w:tblPrEx>
        <w:trPr>
          <w:trHeight w:val="46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财政主管处室</w:t>
            </w:r>
          </w:p>
        </w:tc>
        <w:tc>
          <w:tcPr>
            <w:tcW w:w="29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绩效股</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林俊15509978655</w:t>
            </w:r>
          </w:p>
        </w:tc>
      </w:tr>
      <w:tr>
        <w:tblPrEx>
          <w:tblLayout w:type="fixed"/>
          <w:tblCellMar>
            <w:top w:w="15" w:type="dxa"/>
            <w:left w:w="15" w:type="dxa"/>
            <w:bottom w:w="15" w:type="dxa"/>
            <w:right w:w="15" w:type="dxa"/>
          </w:tblCellMar>
        </w:tblPrEx>
        <w:trPr>
          <w:trHeight w:val="40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9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eastAsia="zh-CN"/>
              </w:rPr>
              <w:t>疏附县交通运输局</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yellow"/>
              </w:rPr>
            </w:pPr>
            <w:r>
              <w:rPr>
                <w:rFonts w:hint="eastAsia" w:ascii="黑体" w:hAnsi="宋体" w:eastAsia="黑体" w:cs="黑体"/>
                <w:color w:val="000000"/>
                <w:kern w:val="0"/>
                <w:sz w:val="20"/>
                <w:szCs w:val="20"/>
                <w:highlight w:val="none"/>
              </w:rPr>
              <w:t>联系人及联系方式</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阿力木江18792540740</w:t>
            </w:r>
          </w:p>
        </w:tc>
      </w:tr>
      <w:tr>
        <w:tblPrEx>
          <w:tblLayout w:type="fixed"/>
          <w:tblCellMar>
            <w:top w:w="15" w:type="dxa"/>
            <w:left w:w="15" w:type="dxa"/>
            <w:bottom w:w="15" w:type="dxa"/>
            <w:right w:w="15" w:type="dxa"/>
          </w:tblCellMar>
        </w:tblPrEx>
        <w:trPr>
          <w:trHeight w:val="53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eastAsia="zh-CN"/>
              </w:rPr>
              <w:t>实地调研、文件研读等方式</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yellow"/>
              </w:rPr>
            </w:pPr>
            <w:r>
              <w:rPr>
                <w:rFonts w:hint="eastAsia" w:ascii="黑体" w:hAnsi="宋体" w:eastAsia="黑体" w:cs="黑体"/>
                <w:color w:val="000000"/>
                <w:kern w:val="0"/>
                <w:sz w:val="20"/>
                <w:szCs w:val="20"/>
                <w:highlight w:val="none"/>
              </w:rPr>
              <w:t>自评分值</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各级预算资金</w:t>
            </w:r>
          </w:p>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投入数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102.00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抽查资金总数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102.00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lang w:eastAsia="zh-CN"/>
              </w:rPr>
              <w:t>%</w:t>
            </w:r>
          </w:p>
        </w:tc>
      </w:tr>
      <w:tr>
        <w:tblPrEx>
          <w:tblLayout w:type="fixed"/>
          <w:tblCellMar>
            <w:top w:w="15" w:type="dxa"/>
            <w:left w:w="15" w:type="dxa"/>
            <w:bottom w:w="15" w:type="dxa"/>
            <w:right w:w="15" w:type="dxa"/>
          </w:tblCellMar>
        </w:tblPrEx>
        <w:trPr>
          <w:trHeight w:val="659"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olor w:val="000000"/>
                <w:kern w:val="0"/>
                <w:sz w:val="20"/>
                <w:szCs w:val="20"/>
                <w:highlight w:val="none"/>
              </w:rPr>
            </w:pPr>
            <w:r>
              <w:rPr>
                <w:rFonts w:hint="eastAsia" w:ascii="黑体" w:hAnsi="宋体" w:eastAsia="黑体" w:cs="黑体"/>
                <w:color w:val="000000"/>
                <w:kern w:val="0"/>
                <w:sz w:val="20"/>
                <w:szCs w:val="20"/>
                <w:highlight w:val="none"/>
                <w:lang w:val="en-US" w:eastAsia="zh-CN"/>
              </w:rPr>
              <w:t>其中：</w:t>
            </w:r>
            <w:r>
              <w:rPr>
                <w:rFonts w:hint="eastAsia" w:ascii="黑体" w:hAnsi="宋体" w:eastAsia="黑体" w:cs="黑体"/>
                <w:color w:val="000000"/>
                <w:kern w:val="0"/>
                <w:sz w:val="20"/>
                <w:szCs w:val="20"/>
                <w:highlight w:val="none"/>
              </w:rPr>
              <w:t>中央财政资金拨付数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0.00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lang w:val="en-US" w:eastAsia="zh-CN"/>
              </w:rPr>
              <w:t>其中：中央财政资金抽查数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olor w:val="000000"/>
                <w:kern w:val="0"/>
                <w:sz w:val="20"/>
                <w:szCs w:val="20"/>
                <w:highlight w:val="none"/>
              </w:rPr>
            </w:pPr>
            <w:r>
              <w:rPr>
                <w:rFonts w:hint="eastAsia" w:ascii="黑体" w:hAnsi="宋体" w:eastAsia="黑体" w:cs="黑体"/>
                <w:color w:val="000000"/>
                <w:kern w:val="0"/>
                <w:sz w:val="20"/>
                <w:szCs w:val="20"/>
                <w:highlight w:val="none"/>
                <w:lang w:val="en-US" w:eastAsia="zh-CN"/>
              </w:rPr>
              <w:t>其中：</w:t>
            </w:r>
            <w:r>
              <w:rPr>
                <w:rFonts w:hint="eastAsia" w:ascii="黑体" w:hAnsi="宋体" w:eastAsia="黑体" w:cs="黑体"/>
                <w:color w:val="000000"/>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auto"/>
                <w:sz w:val="20"/>
                <w:szCs w:val="20"/>
                <w:highlight w:val="none"/>
              </w:rPr>
              <w:t>0%</w:t>
            </w:r>
          </w:p>
        </w:tc>
      </w:tr>
      <w:tr>
        <w:tblPrEx>
          <w:tblLayout w:type="fixed"/>
          <w:tblCellMar>
            <w:top w:w="15" w:type="dxa"/>
            <w:left w:w="15" w:type="dxa"/>
            <w:bottom w:w="15" w:type="dxa"/>
            <w:right w:w="15" w:type="dxa"/>
          </w:tblCellMar>
        </w:tblPrEx>
        <w:trPr>
          <w:trHeight w:val="4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bidi="ar-SA"/>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财政资金拨付数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102.00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bidi="ar-SA"/>
              </w:rPr>
            </w:pPr>
            <w:r>
              <w:rPr>
                <w:rFonts w:hint="eastAsia" w:ascii="黑体" w:hAnsi="黑体" w:eastAsia="黑体" w:cs="黑体"/>
                <w:b w:val="0"/>
                <w:bCs w:val="0"/>
                <w:color w:val="auto"/>
                <w:kern w:val="0"/>
                <w:sz w:val="20"/>
                <w:szCs w:val="20"/>
                <w:lang w:val="en-US" w:eastAsia="zh-CN"/>
              </w:rPr>
              <w:t>自治区财政资金抽查数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102.00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bidi="ar-SA"/>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100%</w:t>
            </w:r>
          </w:p>
        </w:tc>
      </w:tr>
      <w:tr>
        <w:tblPrEx>
          <w:tblLayout w:type="fixed"/>
          <w:tblCellMar>
            <w:top w:w="15" w:type="dxa"/>
            <w:left w:w="15" w:type="dxa"/>
            <w:bottom w:w="15" w:type="dxa"/>
            <w:right w:w="15" w:type="dxa"/>
          </w:tblCellMar>
        </w:tblPrEx>
        <w:trPr>
          <w:trHeight w:val="4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黑体" w:eastAsia="黑体" w:cs="黑体"/>
                <w:b w:val="0"/>
                <w:bCs w:val="0"/>
                <w:color w:val="auto"/>
                <w:kern w:val="0"/>
                <w:sz w:val="20"/>
                <w:szCs w:val="20"/>
              </w:rPr>
              <w:t>拨付数</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auto"/>
                <w:sz w:val="20"/>
                <w:szCs w:val="20"/>
                <w:highlight w:val="none"/>
                <w:lang w:val="en-US" w:eastAsia="zh-CN"/>
              </w:rPr>
              <w:t>0.00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黑体" w:eastAsia="黑体" w:cs="黑体"/>
                <w:b w:val="0"/>
                <w:bCs w:val="0"/>
                <w:color w:val="auto"/>
                <w:kern w:val="0"/>
                <w:sz w:val="20"/>
                <w:szCs w:val="20"/>
              </w:rPr>
              <w:t>抽查数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auto"/>
                <w:sz w:val="20"/>
                <w:szCs w:val="20"/>
                <w:highlight w:val="none"/>
                <w:lang w:val="en-US" w:eastAsia="zh-CN"/>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宋体" w:eastAsia="黑体" w:cs="黑体"/>
                <w:color w:val="000000"/>
                <w:kern w:val="0"/>
                <w:sz w:val="20"/>
                <w:szCs w:val="20"/>
                <w:highlight w:val="none"/>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auto"/>
                <w:sz w:val="20"/>
                <w:szCs w:val="20"/>
                <w:highlight w:val="none"/>
                <w:lang w:val="en-US" w:eastAsia="zh-CN"/>
              </w:rPr>
              <w:t>0%</w:t>
            </w:r>
          </w:p>
        </w:tc>
      </w:tr>
      <w:tr>
        <w:tblPrEx>
          <w:tblLayout w:type="fixed"/>
          <w:tblCellMar>
            <w:top w:w="15" w:type="dxa"/>
            <w:left w:w="15" w:type="dxa"/>
            <w:bottom w:w="15" w:type="dxa"/>
            <w:right w:w="15" w:type="dxa"/>
          </w:tblCellMar>
        </w:tblPrEx>
        <w:trPr>
          <w:trHeight w:val="4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项目类别</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补助类</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抽查类别</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补助类</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w:t>
            </w:r>
          </w:p>
        </w:tc>
      </w:tr>
      <w:tr>
        <w:tblPrEx>
          <w:tblLayout w:type="fixed"/>
          <w:tblCellMar>
            <w:top w:w="15" w:type="dxa"/>
            <w:left w:w="15" w:type="dxa"/>
            <w:bottom w:w="15" w:type="dxa"/>
            <w:right w:w="15" w:type="dxa"/>
          </w:tblCellMar>
        </w:tblPrEx>
        <w:trPr>
          <w:trHeight w:val="5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项目数量</w:t>
            </w:r>
          </w:p>
        </w:tc>
        <w:tc>
          <w:tcPr>
            <w:tcW w:w="16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eastAsia="zh-CN"/>
              </w:rPr>
              <w:t>1</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抽查项目数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eastAsia="zh-CN"/>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100%</w:t>
            </w:r>
          </w:p>
        </w:tc>
      </w:tr>
      <w:tr>
        <w:tblPrEx>
          <w:tblLayout w:type="fixed"/>
          <w:tblCellMar>
            <w:top w:w="15" w:type="dxa"/>
            <w:left w:w="15" w:type="dxa"/>
            <w:bottom w:w="15" w:type="dxa"/>
            <w:right w:w="15" w:type="dxa"/>
          </w:tblCellMar>
        </w:tblPrEx>
        <w:trPr>
          <w:trHeight w:val="41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涉及</w:t>
            </w:r>
          </w:p>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项目点</w:t>
            </w:r>
          </w:p>
        </w:tc>
        <w:tc>
          <w:tcPr>
            <w:tcW w:w="99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抽查</w:t>
            </w:r>
            <w:r>
              <w:rPr>
                <w:rFonts w:hint="eastAsia" w:ascii="黑体" w:hAnsi="黑体" w:eastAsia="黑体" w:cs="仿宋_GB2312"/>
                <w:color w:val="000000"/>
                <w:sz w:val="20"/>
                <w:szCs w:val="20"/>
                <w:highlight w:val="none"/>
                <w:lang w:eastAsia="zh-CN"/>
              </w:rPr>
              <w:t>乡镇</w:t>
            </w:r>
            <w:r>
              <w:rPr>
                <w:rFonts w:hint="eastAsia" w:ascii="黑体" w:hAnsi="黑体" w:eastAsia="黑体" w:cs="仿宋_GB2312"/>
                <w:color w:val="000000"/>
                <w:sz w:val="20"/>
                <w:szCs w:val="20"/>
                <w:highlight w:val="none"/>
              </w:rPr>
              <w:t>数</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宋体" w:eastAsia="黑体" w:cs="黑体"/>
                <w:color w:val="000000"/>
                <w:kern w:val="0"/>
                <w:sz w:val="20"/>
                <w:szCs w:val="20"/>
                <w:highlight w:val="none"/>
              </w:rPr>
            </w:pPr>
            <w:r>
              <w:rPr>
                <w:rFonts w:hint="eastAsia" w:ascii="黑体" w:hAnsi="黑体" w:eastAsia="黑体" w:cs="仿宋_GB2312"/>
                <w:color w:val="000000"/>
                <w:sz w:val="20"/>
                <w:szCs w:val="20"/>
                <w:highlight w:val="none"/>
              </w:rPr>
              <w:t>或项目点</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w:t>
            </w:r>
          </w:p>
        </w:tc>
        <w:tc>
          <w:tcPr>
            <w:tcW w:w="212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抽查</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宋体" w:eastAsia="黑体" w:cs="黑体"/>
                <w:color w:val="000000"/>
                <w:kern w:val="0"/>
                <w:sz w:val="20"/>
                <w:szCs w:val="20"/>
                <w:highlight w:val="none"/>
              </w:rPr>
            </w:pPr>
            <w:r>
              <w:rPr>
                <w:rFonts w:hint="eastAsia" w:ascii="黑体" w:hAnsi="黑体" w:eastAsia="黑体" w:cs="仿宋_GB2312"/>
                <w:color w:val="000000"/>
                <w:sz w:val="20"/>
                <w:szCs w:val="20"/>
                <w:highlight w:val="none"/>
              </w:rPr>
              <w:t>区域</w:t>
            </w:r>
          </w:p>
        </w:tc>
        <w:tc>
          <w:tcPr>
            <w:tcW w:w="2589"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疏附县</w:t>
            </w:r>
          </w:p>
        </w:tc>
      </w:tr>
      <w:tr>
        <w:tblPrEx>
          <w:tblLayout w:type="fixed"/>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24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99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有效调查</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黑体" w:eastAsia="黑体" w:cs="仿宋_GB2312"/>
                <w:color w:val="000000"/>
                <w:kern w:val="0"/>
                <w:sz w:val="20"/>
                <w:szCs w:val="20"/>
                <w:highlight w:val="none"/>
              </w:rPr>
            </w:pPr>
            <w:r>
              <w:rPr>
                <w:rFonts w:hint="eastAsia" w:ascii="黑体" w:hAnsi="黑体" w:eastAsia="黑体" w:cs="仿宋_GB2312"/>
                <w:color w:val="000000"/>
                <w:sz w:val="20"/>
                <w:szCs w:val="20"/>
                <w:highlight w:val="none"/>
              </w:rPr>
              <w:t>问卷</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default"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100</w:t>
            </w:r>
          </w:p>
        </w:tc>
        <w:tc>
          <w:tcPr>
            <w:tcW w:w="212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仿宋_GB2312" w:hAnsi="宋体" w:eastAsia="仿宋_GB2312" w:cs="仿宋_GB2312"/>
                <w:color w:val="000000"/>
                <w:kern w:val="0"/>
                <w:sz w:val="20"/>
                <w:szCs w:val="20"/>
                <w:highlight w:val="none"/>
              </w:rPr>
            </w:pPr>
            <w:r>
              <w:rPr>
                <w:rFonts w:hint="eastAsia" w:ascii="黑体" w:hAnsi="黑体" w:eastAsia="黑体" w:cs="仿宋_GB2312"/>
                <w:color w:val="000000"/>
                <w:sz w:val="20"/>
                <w:szCs w:val="20"/>
                <w:highlight w:val="none"/>
              </w:rPr>
              <w:t>情况</w:t>
            </w:r>
          </w:p>
        </w:tc>
        <w:tc>
          <w:tcPr>
            <w:tcW w:w="2589"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95%</w:t>
            </w:r>
          </w:p>
        </w:tc>
      </w:tr>
      <w:tr>
        <w:tblPrEx>
          <w:tblLayout w:type="fixed"/>
          <w:tblCellMar>
            <w:top w:w="15" w:type="dxa"/>
            <w:left w:w="15" w:type="dxa"/>
            <w:bottom w:w="15" w:type="dxa"/>
            <w:right w:w="15" w:type="dxa"/>
          </w:tblCellMar>
        </w:tblPrEx>
        <w:trPr>
          <w:trHeight w:val="72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lang w:val="en-US" w:eastAsia="zh-CN"/>
              </w:rPr>
            </w:pPr>
            <w:r>
              <w:rPr>
                <w:rFonts w:hint="eastAsia" w:ascii="黑体" w:hAnsi="黑体" w:eastAsia="黑体" w:cs="仿宋_GB2312"/>
                <w:color w:val="000000"/>
                <w:sz w:val="20"/>
                <w:szCs w:val="20"/>
                <w:highlight w:val="none"/>
                <w:lang w:val="en-US" w:eastAsia="zh-CN"/>
              </w:rPr>
              <w:t>绩效目标</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宋体" w:eastAsia="黑体" w:cs="黑体"/>
                <w:color w:val="000000"/>
                <w:sz w:val="20"/>
                <w:szCs w:val="20"/>
                <w:highlight w:val="none"/>
              </w:rPr>
            </w:pPr>
            <w:r>
              <w:rPr>
                <w:rFonts w:hint="eastAsia" w:ascii="黑体" w:hAnsi="黑体" w:eastAsia="黑体" w:cs="仿宋_GB2312"/>
                <w:color w:val="000000"/>
                <w:sz w:val="20"/>
                <w:szCs w:val="20"/>
                <w:highlight w:val="none"/>
                <w:lang w:val="en-US" w:eastAsia="zh-CN"/>
              </w:rPr>
              <w:t>实现情况</w:t>
            </w:r>
          </w:p>
        </w:tc>
        <w:tc>
          <w:tcPr>
            <w:tcW w:w="769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lang w:val="en-US" w:eastAsia="zh-CN"/>
              </w:rPr>
              <w:t>截止绩效自评日，已对1家城乡公交有限公司发放油价补贴，按照6万元/辆的标准补贴公交车辆17辆，项目的实施推动了新能源公交车规模化推广应用，促进公交行业减排，为大气污染防治做出贡献，有效减轻了企业运行负担，推动了运输服务高质量发展，城乡公交公司满意度达到了95%。</w:t>
            </w:r>
          </w:p>
        </w:tc>
      </w:tr>
      <w:tr>
        <w:tblPrEx>
          <w:tblLayout w:type="fixed"/>
          <w:tblCellMar>
            <w:top w:w="15" w:type="dxa"/>
            <w:left w:w="15" w:type="dxa"/>
            <w:bottom w:w="15" w:type="dxa"/>
            <w:right w:w="15" w:type="dxa"/>
          </w:tblCellMar>
        </w:tblPrEx>
        <w:trPr>
          <w:trHeight w:val="620"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评价问题</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黑体" w:hAnsi="宋体" w:eastAsia="黑体" w:cs="黑体"/>
                <w:color w:val="000000"/>
                <w:kern w:val="0"/>
                <w:sz w:val="20"/>
                <w:szCs w:val="20"/>
                <w:highlight w:val="none"/>
              </w:rPr>
            </w:pPr>
            <w:r>
              <w:rPr>
                <w:rFonts w:hint="eastAsia" w:ascii="黑体" w:hAnsi="黑体" w:eastAsia="黑体" w:cs="仿宋_GB2312"/>
                <w:color w:val="000000"/>
                <w:sz w:val="20"/>
                <w:szCs w:val="20"/>
                <w:highlight w:val="none"/>
              </w:rPr>
              <w:t>简要情况</w:t>
            </w:r>
          </w:p>
        </w:tc>
        <w:tc>
          <w:tcPr>
            <w:tcW w:w="7692"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color w:val="000000"/>
                <w:sz w:val="20"/>
                <w:szCs w:val="20"/>
                <w:lang w:val="en-US" w:eastAsia="zh-CN"/>
              </w:rPr>
            </w:pPr>
            <w:r>
              <w:rPr>
                <w:rFonts w:hint="eastAsia" w:ascii="仿宋_GB2312" w:hAnsi="宋体" w:eastAsia="仿宋_GB2312" w:cs="仿宋_GB2312"/>
                <w:color w:val="000000"/>
                <w:sz w:val="20"/>
                <w:szCs w:val="20"/>
                <w:lang w:val="en-US" w:eastAsia="zh-CN"/>
              </w:rPr>
              <w:t>1.对项目后期监督不到位，该单位补助资金发放完毕之后，未对项目进行后期管理。</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lang w:val="en-US" w:eastAsia="zh-CN"/>
              </w:rPr>
            </w:pPr>
            <w:r>
              <w:rPr>
                <w:rFonts w:hint="eastAsia" w:ascii="仿宋_GB2312" w:hAnsi="宋体" w:eastAsia="仿宋_GB2312" w:cs="仿宋_GB2312"/>
                <w:color w:val="000000"/>
                <w:sz w:val="20"/>
                <w:szCs w:val="20"/>
                <w:lang w:val="en-US" w:eastAsia="zh-CN"/>
              </w:rPr>
              <w:t>2.相关项目负责人未对项目资料进行归档。</w:t>
            </w:r>
          </w:p>
        </w:tc>
      </w:tr>
      <w:tr>
        <w:tblPrEx>
          <w:tblLayout w:type="fixed"/>
          <w:tblCellMar>
            <w:top w:w="15" w:type="dxa"/>
            <w:left w:w="15" w:type="dxa"/>
            <w:bottom w:w="15" w:type="dxa"/>
            <w:right w:w="15" w:type="dxa"/>
          </w:tblCellMar>
        </w:tblPrEx>
        <w:trPr>
          <w:trHeight w:val="832"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黑体" w:hAnsi="黑体" w:eastAsia="黑体" w:cs="仿宋_GB2312"/>
                <w:color w:val="000000"/>
                <w:sz w:val="20"/>
                <w:szCs w:val="20"/>
                <w:highlight w:val="none"/>
                <w:lang w:val="en-US" w:eastAsia="zh-CN"/>
              </w:rPr>
            </w:pPr>
            <w:r>
              <w:rPr>
                <w:rFonts w:hint="eastAsia" w:ascii="黑体" w:hAnsi="黑体" w:eastAsia="黑体" w:cs="仿宋_GB2312"/>
                <w:color w:val="000000"/>
                <w:sz w:val="20"/>
                <w:szCs w:val="20"/>
                <w:highlight w:val="none"/>
                <w:lang w:val="en-US" w:eastAsia="zh-CN"/>
              </w:rPr>
              <w:t>评价问题</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黑体" w:hAnsi="宋体" w:eastAsia="黑体" w:cs="黑体"/>
                <w:color w:val="000000"/>
                <w:sz w:val="20"/>
                <w:szCs w:val="20"/>
                <w:highlight w:val="none"/>
              </w:rPr>
            </w:pPr>
            <w:r>
              <w:rPr>
                <w:rFonts w:hint="eastAsia" w:ascii="黑体" w:hAnsi="黑体" w:eastAsia="黑体" w:cs="仿宋_GB2312"/>
                <w:color w:val="000000"/>
                <w:sz w:val="20"/>
                <w:szCs w:val="20"/>
                <w:highlight w:val="none"/>
                <w:lang w:val="en-US" w:eastAsia="zh-CN"/>
              </w:rPr>
              <w:t>简要建议</w:t>
            </w:r>
          </w:p>
        </w:tc>
        <w:tc>
          <w:tcPr>
            <w:tcW w:w="7692" w:type="dxa"/>
            <w:gridSpan w:val="7"/>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color w:val="000000"/>
                <w:sz w:val="20"/>
                <w:szCs w:val="20"/>
                <w:lang w:val="en-US" w:eastAsia="zh-CN"/>
              </w:rPr>
            </w:pPr>
            <w:r>
              <w:rPr>
                <w:rFonts w:hint="eastAsia" w:ascii="仿宋_GB2312" w:hAnsi="宋体" w:eastAsia="仿宋_GB2312" w:cs="仿宋_GB2312"/>
                <w:color w:val="000000"/>
                <w:sz w:val="20"/>
                <w:szCs w:val="20"/>
                <w:lang w:val="en-US" w:eastAsia="zh-CN"/>
              </w:rPr>
              <w:t>1.指定专门负责人，长期狠抓制度执行，时刻监督项目效益产生情况。</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lang w:val="en-US" w:eastAsia="zh-CN"/>
              </w:rPr>
            </w:pPr>
            <w:r>
              <w:rPr>
                <w:rFonts w:hint="eastAsia" w:ascii="仿宋_GB2312" w:hAnsi="宋体" w:eastAsia="仿宋_GB2312" w:cs="仿宋_GB2312"/>
                <w:color w:val="000000"/>
                <w:sz w:val="20"/>
                <w:szCs w:val="20"/>
                <w:lang w:val="en-US" w:eastAsia="zh-CN"/>
              </w:rPr>
              <w:t>2.在项目每个实施节点让相关公交公司上交项目材料，按项目做好资料归档工作，并为后期项目资料的翻阅提供便利条件。</w:t>
            </w:r>
          </w:p>
        </w:tc>
      </w:tr>
      <w:tr>
        <w:tblPrEx>
          <w:tblLayout w:type="fixed"/>
          <w:tblCellMar>
            <w:top w:w="15" w:type="dxa"/>
            <w:left w:w="15" w:type="dxa"/>
            <w:bottom w:w="15" w:type="dxa"/>
            <w:right w:w="15" w:type="dxa"/>
          </w:tblCellMar>
        </w:tblPrEx>
        <w:trPr>
          <w:trHeight w:val="508"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hint="eastAsia"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评价结果</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应用建议</w:t>
            </w:r>
          </w:p>
        </w:tc>
        <w:tc>
          <w:tcPr>
            <w:tcW w:w="7692" w:type="dxa"/>
            <w:gridSpan w:val="7"/>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outlineLvl w:val="9"/>
              <w:rPr>
                <w:rFonts w:hint="eastAsia" w:ascii="仿宋_GB2312" w:hAnsi="宋体" w:eastAsia="仿宋_GB2312" w:cs="仿宋_GB2312"/>
                <w:color w:val="000000"/>
                <w:sz w:val="20"/>
                <w:szCs w:val="20"/>
                <w:lang w:eastAsia="zh-CN"/>
              </w:rPr>
            </w:pPr>
            <w:r>
              <w:rPr>
                <w:rFonts w:hint="eastAsia" w:ascii="仿宋_GB2312" w:hAnsi="宋体" w:eastAsia="仿宋_GB2312" w:cs="仿宋_GB2312"/>
                <w:color w:val="000000"/>
                <w:sz w:val="20"/>
                <w:szCs w:val="20"/>
                <w:lang w:eastAsia="zh-CN"/>
              </w:rPr>
              <w:t>1.建议将此次绩效评价过程中发现的问题进行及时整改；</w:t>
            </w:r>
          </w:p>
          <w:p>
            <w:pPr>
              <w:widowControl/>
              <w:jc w:val="left"/>
              <w:textAlignment w:val="center"/>
              <w:outlineLvl w:val="9"/>
              <w:rPr>
                <w:rFonts w:hint="eastAsia" w:ascii="仿宋_GB2312" w:hAnsi="宋体" w:eastAsia="仿宋_GB2312" w:cs="仿宋_GB2312"/>
                <w:color w:val="000000"/>
                <w:sz w:val="20"/>
                <w:szCs w:val="20"/>
                <w:lang w:eastAsia="zh-CN"/>
              </w:rPr>
            </w:pPr>
            <w:r>
              <w:rPr>
                <w:rFonts w:hint="eastAsia" w:ascii="仿宋_GB2312" w:hAnsi="宋体" w:eastAsia="仿宋_GB2312" w:cs="仿宋_GB2312"/>
                <w:color w:val="000000"/>
                <w:sz w:val="20"/>
                <w:szCs w:val="20"/>
                <w:lang w:eastAsia="zh-CN"/>
              </w:rPr>
              <w:t>2.建议加大对绩效评价结果的应用，此次绩效评价结果，可作为202</w:t>
            </w:r>
            <w:r>
              <w:rPr>
                <w:rFonts w:hint="eastAsia" w:ascii="仿宋_GB2312" w:hAnsi="宋体" w:eastAsia="仿宋_GB2312" w:cs="仿宋_GB2312"/>
                <w:color w:val="000000"/>
                <w:sz w:val="20"/>
                <w:szCs w:val="20"/>
                <w:lang w:val="en-US" w:eastAsia="zh-CN"/>
              </w:rPr>
              <w:t>3</w:t>
            </w:r>
            <w:r>
              <w:rPr>
                <w:rFonts w:hint="eastAsia" w:ascii="仿宋_GB2312" w:hAnsi="宋体" w:eastAsia="仿宋_GB2312" w:cs="仿宋_GB2312"/>
                <w:color w:val="000000"/>
                <w:sz w:val="20"/>
                <w:szCs w:val="20"/>
                <w:lang w:eastAsia="zh-CN"/>
              </w:rPr>
              <w:t>年各部门（单位）改进管理、调整财政支出方向、预算编制和安排财政资金的重要依据；</w:t>
            </w:r>
          </w:p>
          <w:p>
            <w:pPr>
              <w:widowControl/>
              <w:jc w:val="left"/>
              <w:textAlignment w:val="center"/>
              <w:outlineLvl w:val="9"/>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lang w:eastAsia="zh-CN"/>
              </w:rPr>
              <w:t>3.建议建立绩效评价结果应用制度，将20</w:t>
            </w:r>
            <w:r>
              <w:rPr>
                <w:rFonts w:hint="eastAsia" w:ascii="仿宋_GB2312" w:hAnsi="宋体" w:eastAsia="仿宋_GB2312" w:cs="仿宋_GB2312"/>
                <w:color w:val="000000"/>
                <w:sz w:val="20"/>
                <w:szCs w:val="20"/>
                <w:lang w:val="en-US" w:eastAsia="zh-CN"/>
              </w:rPr>
              <w:t>22</w:t>
            </w:r>
            <w:r>
              <w:rPr>
                <w:rFonts w:hint="eastAsia" w:ascii="仿宋_GB2312" w:hAnsi="宋体" w:eastAsia="仿宋_GB2312" w:cs="仿宋_GB2312"/>
                <w:color w:val="000000"/>
                <w:sz w:val="20"/>
                <w:szCs w:val="20"/>
                <w:lang w:eastAsia="zh-CN"/>
              </w:rPr>
              <w:t>年绩效评价结果进行</w:t>
            </w:r>
            <w:r>
              <w:rPr>
                <w:rFonts w:hint="eastAsia" w:ascii="仿宋_GB2312" w:hAnsi="宋体" w:eastAsia="仿宋_GB2312" w:cs="仿宋_GB2312"/>
                <w:color w:val="000000"/>
                <w:sz w:val="20"/>
                <w:szCs w:val="20"/>
                <w:lang w:val="en-US" w:eastAsia="zh-CN"/>
              </w:rPr>
              <w:t>公示</w:t>
            </w:r>
            <w:r>
              <w:rPr>
                <w:rFonts w:hint="eastAsia" w:ascii="仿宋_GB2312" w:hAnsi="宋体" w:eastAsia="仿宋_GB2312" w:cs="仿宋_GB2312"/>
                <w:color w:val="000000"/>
                <w:sz w:val="20"/>
                <w:szCs w:val="20"/>
                <w:lang w:eastAsia="zh-CN"/>
              </w:rPr>
              <w:t>、公开。</w:t>
            </w:r>
          </w:p>
        </w:tc>
      </w:tr>
    </w:tbl>
    <w:tbl>
      <w:tblPr>
        <w:tblStyle w:val="17"/>
        <w:tblpPr w:leftFromText="180" w:rightFromText="180" w:vertAnchor="text" w:horzAnchor="page" w:tblpX="1823" w:tblpY="1303"/>
        <w:tblOverlap w:val="never"/>
        <w:tblW w:w="9000" w:type="dxa"/>
        <w:tblInd w:w="-60" w:type="dxa"/>
        <w:tblLayout w:type="fixed"/>
        <w:tblCellMar>
          <w:top w:w="15" w:type="dxa"/>
          <w:left w:w="15" w:type="dxa"/>
          <w:bottom w:w="15" w:type="dxa"/>
          <w:right w:w="15" w:type="dxa"/>
        </w:tblCellMar>
      </w:tblPr>
      <w:tblGrid>
        <w:gridCol w:w="2528"/>
        <w:gridCol w:w="2632"/>
        <w:gridCol w:w="1858"/>
        <w:gridCol w:w="1982"/>
      </w:tblGrid>
      <w:tr>
        <w:tblPrEx>
          <w:tblLayout w:type="fixed"/>
          <w:tblCellMar>
            <w:top w:w="15" w:type="dxa"/>
            <w:left w:w="15" w:type="dxa"/>
            <w:bottom w:w="15" w:type="dxa"/>
            <w:right w:w="15" w:type="dxa"/>
          </w:tblCellMar>
        </w:tblPrEx>
        <w:trPr>
          <w:trHeight w:val="650" w:hRule="atLeast"/>
        </w:trPr>
        <w:tc>
          <w:tcPr>
            <w:tcW w:w="25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仿宋_GB2312"/>
                <w:color w:val="000000"/>
                <w:sz w:val="20"/>
                <w:szCs w:val="20"/>
                <w:lang w:val="en-US" w:eastAsia="zh-CN"/>
              </w:rPr>
            </w:pPr>
            <w:r>
              <w:rPr>
                <w:rFonts w:hint="eastAsia" w:ascii="黑体" w:hAnsi="宋体" w:eastAsia="黑体" w:cs="黑体"/>
                <w:color w:val="000000"/>
                <w:kern w:val="0"/>
                <w:sz w:val="20"/>
                <w:szCs w:val="20"/>
                <w:highlight w:val="none"/>
              </w:rPr>
              <w:t>评价时间</w:t>
            </w:r>
          </w:p>
        </w:tc>
        <w:tc>
          <w:tcPr>
            <w:tcW w:w="263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仿宋_GB2312"/>
                <w:color w:val="000000"/>
                <w:sz w:val="20"/>
                <w:szCs w:val="20"/>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06</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1日至202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11日</w:t>
            </w:r>
          </w:p>
        </w:tc>
        <w:tc>
          <w:tcPr>
            <w:tcW w:w="185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宋体" w:eastAsia="仿宋_GB2312" w:cs="仿宋_GB2312"/>
                <w:color w:val="000000"/>
                <w:sz w:val="20"/>
                <w:szCs w:val="20"/>
                <w:highlight w:val="none"/>
                <w:lang w:val="en-US" w:eastAsia="zh-CN"/>
              </w:rPr>
            </w:pPr>
            <w:r>
              <w:rPr>
                <w:rFonts w:hint="eastAsia" w:ascii="黑体" w:hAnsi="宋体" w:eastAsia="黑体" w:cs="黑体"/>
                <w:color w:val="000000"/>
                <w:kern w:val="0"/>
                <w:sz w:val="20"/>
                <w:szCs w:val="20"/>
                <w:highlight w:val="none"/>
              </w:rPr>
              <w:t>评价机构报告编号</w:t>
            </w:r>
          </w:p>
        </w:tc>
        <w:tc>
          <w:tcPr>
            <w:tcW w:w="198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rPr>
              <w:t>]</w:t>
            </w:r>
            <w:r>
              <w:rPr>
                <w:rFonts w:hint="eastAsia" w:ascii="仿宋_GB2312" w:hAnsi="仿宋_GB2312" w:eastAsia="仿宋_GB2312" w:cs="仿宋_GB2312"/>
                <w:color w:val="auto"/>
                <w:sz w:val="20"/>
                <w:szCs w:val="20"/>
                <w:highlight w:val="none"/>
                <w:lang w:val="en-US" w:eastAsia="zh-CN"/>
              </w:rPr>
              <w:t>048</w:t>
            </w:r>
            <w:r>
              <w:rPr>
                <w:rFonts w:hint="eastAsia" w:ascii="仿宋_GB2312" w:hAnsi="仿宋_GB2312" w:eastAsia="仿宋_GB2312" w:cs="仿宋_GB2312"/>
                <w:color w:val="auto"/>
                <w:sz w:val="20"/>
                <w:szCs w:val="20"/>
                <w:highlight w:val="none"/>
              </w:rPr>
              <w:t>号</w:t>
            </w:r>
          </w:p>
        </w:tc>
      </w:tr>
      <w:tr>
        <w:tblPrEx>
          <w:tblLayout w:type="fixed"/>
          <w:tblCellMar>
            <w:top w:w="15" w:type="dxa"/>
            <w:left w:w="15" w:type="dxa"/>
            <w:bottom w:w="15" w:type="dxa"/>
            <w:right w:w="15" w:type="dxa"/>
          </w:tblCellMar>
        </w:tblPrEx>
        <w:trPr>
          <w:trHeight w:val="882" w:hRule="atLeast"/>
        </w:trPr>
        <w:tc>
          <w:tcPr>
            <w:tcW w:w="516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outlineLvl w:val="9"/>
              <w:rPr>
                <w:rFonts w:hint="default" w:ascii="仿宋_GB2312" w:hAnsi="宋体" w:eastAsia="仿宋_GB2312" w:cs="仿宋_GB2312"/>
                <w:color w:val="000000"/>
                <w:sz w:val="20"/>
                <w:szCs w:val="20"/>
                <w:lang w:val="en-US" w:eastAsia="zh-CN"/>
              </w:rPr>
            </w:pPr>
            <w:r>
              <w:rPr>
                <w:rFonts w:hint="eastAsia" w:ascii="黑体" w:hAnsi="黑体" w:eastAsia="黑体" w:cs="仿宋_GB2312"/>
                <w:color w:val="000000"/>
                <w:sz w:val="20"/>
                <w:szCs w:val="20"/>
                <w:lang w:val="en-US" w:eastAsia="zh-CN"/>
              </w:rPr>
              <w:t>主评人及联系方式</w:t>
            </w:r>
          </w:p>
        </w:tc>
        <w:tc>
          <w:tcPr>
            <w:tcW w:w="38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outlineLvl w:val="9"/>
              <w:rPr>
                <w:rFonts w:hint="eastAsia" w:ascii="仿宋_GB2312" w:hAnsi="宋体" w:eastAsia="仿宋_GB2312" w:cs="仿宋_GB2312"/>
                <w:color w:val="000000"/>
                <w:sz w:val="20"/>
                <w:szCs w:val="20"/>
                <w:lang w:val="en-US" w:eastAsia="zh-CN"/>
              </w:rPr>
            </w:pPr>
            <w:r>
              <w:rPr>
                <w:rFonts w:hint="eastAsia" w:ascii="仿宋_GB2312" w:hAnsi="仿宋_GB2312" w:eastAsia="仿宋_GB2312" w:cs="仿宋_GB2312"/>
                <w:color w:val="000000"/>
                <w:sz w:val="20"/>
                <w:szCs w:val="20"/>
                <w:highlight w:val="none"/>
                <w:lang w:val="en-US" w:eastAsia="zh-CN"/>
              </w:rPr>
              <w:t>叶金玲13899129971</w:t>
            </w:r>
          </w:p>
        </w:tc>
      </w:tr>
    </w:tbl>
    <w:p>
      <w:pPr>
        <w:jc w:val="center"/>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rPr>
        <w:t>摘   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0" w:name="_Toc5990"/>
      <w:bookmarkStart w:id="1" w:name="_Toc27504"/>
      <w:bookmarkStart w:id="2" w:name="_Toc4335"/>
      <w:bookmarkStart w:id="3" w:name="_Toc1784"/>
      <w:bookmarkStart w:id="4" w:name="_Toc3788"/>
      <w:bookmarkStart w:id="5" w:name="_Toc27396"/>
      <w:bookmarkStart w:id="6" w:name="_Toc20887"/>
      <w:bookmarkStart w:id="7" w:name="_Toc22689"/>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2023年06月01日至2023年07月11对疏附县交通运输局管理负责实施的疏附县2022年度新能源公交购置补助资金项目（以下简称“该项目”）开展了绩效评价，评价情况如下：</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8" w:name="_Toc27715"/>
      <w:bookmarkStart w:id="9" w:name="_Toc9424"/>
      <w:bookmarkStart w:id="10" w:name="_Toc24550"/>
      <w:r>
        <w:rPr>
          <w:rFonts w:hint="eastAsia" w:ascii="方正黑体_GBK" w:hAnsi="方正黑体_GBK" w:eastAsia="方正黑体_GBK" w:cs="方正黑体_GBK"/>
          <w:color w:val="auto"/>
          <w:sz w:val="32"/>
          <w:szCs w:val="32"/>
          <w:highlight w:val="none"/>
        </w:rPr>
        <w:t>一、项目概述</w:t>
      </w:r>
      <w:bookmarkEnd w:id="3"/>
      <w:bookmarkEnd w:id="4"/>
      <w:bookmarkEnd w:id="5"/>
      <w:bookmarkEnd w:id="6"/>
      <w:bookmarkEnd w:id="7"/>
      <w:bookmarkEnd w:id="8"/>
      <w:bookmarkEnd w:id="9"/>
      <w:bookmarkEnd w:id="1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11" w:name="_Toc13872"/>
      <w:bookmarkStart w:id="12" w:name="_Toc7085"/>
      <w:bookmarkStart w:id="13" w:name="_Toc31780"/>
      <w:bookmarkStart w:id="14" w:name="_Toc6005"/>
      <w:bookmarkStart w:id="15" w:name="_Toc16776"/>
      <w:bookmarkStart w:id="16" w:name="_Toc23831"/>
      <w:bookmarkStart w:id="17" w:name="_Toc26078"/>
      <w:bookmarkStart w:id="18" w:name="_Toc4382"/>
      <w:r>
        <w:rPr>
          <w:rFonts w:hint="eastAsia" w:ascii="仿宋_GB2312" w:hAnsi="仿宋_GB2312" w:eastAsia="仿宋_GB2312" w:cs="仿宋_GB2312"/>
          <w:color w:val="auto"/>
          <w:sz w:val="32"/>
          <w:szCs w:val="32"/>
          <w:highlight w:val="none"/>
          <w:lang w:val="en-US" w:eastAsia="zh-CN"/>
        </w:rPr>
        <w:t>疏附县交通运输局主要负责实施疏附县2022年度新能源公交购置补助资金项目，该项目主要支持符合要求的节能与新能源公交车运营使用，计划对1家城乡公交有限公司发放油价补贴，补贴公交车辆17辆，符合营运补助要求的公交年度补助标准为6万元/辆，项目的实施推动新能源公交车规模化推广应用，促进公交行业减排，为大气污染防治做出贡献，有效减轻企业运行负担，推动运输服务高质量发展。该项目预算资金为102.00万元，其中：自治区专项资金102.00万元。</w:t>
      </w:r>
      <w:bookmarkEnd w:id="11"/>
      <w:bookmarkEnd w:id="12"/>
      <w:bookmarkEnd w:id="13"/>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rPr>
      </w:pPr>
      <w:bookmarkStart w:id="19" w:name="_Toc4983"/>
      <w:bookmarkStart w:id="20" w:name="_Toc18724"/>
      <w:bookmarkStart w:id="21" w:name="_Toc22576"/>
      <w:r>
        <w:rPr>
          <w:rFonts w:hint="eastAsia" w:ascii="方正黑体_GBK" w:hAnsi="方正黑体_GBK" w:eastAsia="方正黑体_GBK" w:cs="方正黑体_GBK"/>
          <w:color w:val="auto"/>
          <w:sz w:val="32"/>
          <w:szCs w:val="32"/>
        </w:rPr>
        <w:t>二、评价工作简述</w:t>
      </w:r>
      <w:bookmarkEnd w:id="14"/>
      <w:bookmarkEnd w:id="15"/>
      <w:bookmarkEnd w:id="16"/>
      <w:bookmarkEnd w:id="17"/>
      <w:bookmarkEnd w:id="18"/>
      <w:bookmarkEnd w:id="19"/>
      <w:bookmarkEnd w:id="20"/>
      <w:bookmarkEnd w:id="2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bookmarkStart w:id="22" w:name="_Toc13087"/>
      <w:bookmarkStart w:id="23" w:name="_Toc12920"/>
      <w:bookmarkStart w:id="24" w:name="_Toc12317"/>
      <w:bookmarkStart w:id="25" w:name="_Toc9060"/>
      <w:r>
        <w:rPr>
          <w:rFonts w:hint="eastAsia" w:ascii="仿宋_GB2312" w:hAnsi="仿宋_GB2312" w:eastAsia="仿宋_GB2312" w:cs="仿宋_GB2312"/>
          <w:color w:val="auto"/>
          <w:sz w:val="32"/>
          <w:szCs w:val="32"/>
          <w:highlight w:val="none"/>
          <w:lang w:val="en-US" w:eastAsia="zh-CN"/>
        </w:rPr>
        <w:t xml:space="preserve"> 评价组自承接该项目后，立足于该项目特点，本次评价关注重点：一是针对预算编制、资金执行的相关情况评价项目预算编制是否完成、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工作组通过前期调研，从项目决策、项目过程、项目产出和项目效益四个维度制定了工作方案，明确了评价的目的、方法、原则、指标、标准、社会调查方案等，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bookmarkStart w:id="26" w:name="_Toc7710"/>
      <w:bookmarkStart w:id="27" w:name="_Toc1040"/>
      <w:bookmarkStart w:id="28" w:name="_Toc2423"/>
      <w:bookmarkStart w:id="29" w:name="_Toc4391"/>
      <w:r>
        <w:rPr>
          <w:rFonts w:hint="eastAsia" w:ascii="方正黑体_GBK" w:hAnsi="方正黑体_GBK" w:eastAsia="方正黑体_GBK" w:cs="方正黑体_GBK"/>
          <w:color w:val="auto"/>
          <w:sz w:val="32"/>
          <w:szCs w:val="32"/>
          <w:highlight w:val="none"/>
        </w:rPr>
        <w:t>三、绩效评价分析</w:t>
      </w:r>
      <w:bookmarkEnd w:id="22"/>
      <w:bookmarkEnd w:id="23"/>
      <w:bookmarkEnd w:id="24"/>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30" w:name="_Toc2405"/>
      <w:bookmarkStart w:id="31" w:name="_Toc21150"/>
      <w:bookmarkStart w:id="32" w:name="_Toc32071"/>
      <w:bookmarkStart w:id="33" w:name="_Toc23958"/>
      <w:bookmarkStart w:id="34" w:name="_Toc18303"/>
      <w:bookmarkStart w:id="35" w:name="_Toc1336"/>
      <w:bookmarkStart w:id="36" w:name="_Toc4082"/>
      <w:bookmarkStart w:id="37" w:name="_Toc9075"/>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bookmarkEnd w:id="30"/>
      <w:bookmarkEnd w:id="31"/>
      <w:bookmarkEnd w:id="32"/>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rPr>
      </w:pPr>
      <w:bookmarkStart w:id="38" w:name="_Toc14558"/>
      <w:bookmarkStart w:id="39" w:name="_Toc5884"/>
      <w:bookmarkStart w:id="40" w:name="_Toc17391"/>
      <w:r>
        <w:rPr>
          <w:rFonts w:hint="eastAsia" w:ascii="方正黑体_GBK" w:hAnsi="方正黑体_GBK" w:eastAsia="方正黑体_GBK" w:cs="方正黑体_GBK"/>
          <w:color w:val="auto"/>
          <w:sz w:val="32"/>
          <w:szCs w:val="32"/>
        </w:rPr>
        <w:t>四、评价结论</w:t>
      </w:r>
      <w:bookmarkEnd w:id="33"/>
      <w:bookmarkEnd w:id="34"/>
      <w:bookmarkEnd w:id="35"/>
      <w:bookmarkEnd w:id="36"/>
      <w:bookmarkEnd w:id="37"/>
      <w:bookmarkEnd w:id="38"/>
      <w:bookmarkEnd w:id="39"/>
      <w:bookmarkEnd w:id="4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经综合评价，项目得分为96分，其中：项目决策得分20分、项目过程得分16分；项目产出得分30分、项目效益得分30分，评价等级为优。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41" w:name="_Toc10157"/>
      <w:r>
        <w:rPr>
          <w:rFonts w:hint="eastAsia" w:ascii="仿宋_GB2312" w:hAnsi="仿宋_GB2312" w:eastAsia="仿宋_GB2312" w:cs="仿宋_GB2312"/>
          <w:color w:val="auto"/>
          <w:sz w:val="32"/>
          <w:szCs w:val="32"/>
          <w:highlight w:val="none"/>
          <w:lang w:val="en-US" w:eastAsia="zh-CN"/>
        </w:rPr>
        <w:t>项目立项较规范，绩效目标合理绩效指标明确，项目管理制度较健全。该项目调整后预算资金为102.00万元，实际支出102.00万元，预算资金执行率100%。通过文件研读、实地调研、数据分析等方式，全面了解该项目的使用效果，项目管理过程较规范；总的来看，</w:t>
      </w:r>
      <w:bookmarkEnd w:id="41"/>
      <w:bookmarkStart w:id="42" w:name="_Toc25703"/>
      <w:r>
        <w:rPr>
          <w:rFonts w:hint="eastAsia" w:ascii="仿宋_GB2312" w:hAnsi="仿宋_GB2312" w:eastAsia="仿宋_GB2312" w:cs="仿宋_GB2312"/>
          <w:color w:val="auto"/>
          <w:sz w:val="32"/>
          <w:szCs w:val="32"/>
          <w:highlight w:val="none"/>
          <w:lang w:val="en-US" w:eastAsia="zh-CN"/>
        </w:rPr>
        <w:t>该项目的实施推动新能源公交车规模化推广应用，促进公交行业减排，为大气污染防治做出贡献，有效减轻企业运行负担，推动运输服务高质量发展。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43" w:name="_Toc24803"/>
      <w:bookmarkStart w:id="44" w:name="_Toc24317"/>
      <w:bookmarkStart w:id="45" w:name="_Toc25401"/>
      <w:bookmarkStart w:id="46" w:name="_Toc21311"/>
      <w:bookmarkStart w:id="47" w:name="_Toc3758"/>
      <w:bookmarkStart w:id="48" w:name="_Toc16974"/>
      <w:bookmarkStart w:id="49" w:name="_Toc11299"/>
      <w:r>
        <w:rPr>
          <w:rFonts w:hint="eastAsia" w:ascii="方正黑体_GBK" w:hAnsi="方正黑体_GBK" w:eastAsia="方正黑体_GBK" w:cs="方正黑体_GBK"/>
          <w:color w:val="auto"/>
          <w:sz w:val="32"/>
          <w:szCs w:val="32"/>
          <w:lang w:val="en-US" w:eastAsia="zh-CN"/>
        </w:rPr>
        <w:t>五、</w:t>
      </w:r>
      <w:r>
        <w:rPr>
          <w:rFonts w:hint="eastAsia" w:ascii="方正黑体_GBK" w:hAnsi="方正黑体_GBK" w:eastAsia="方正黑体_GBK" w:cs="方正黑体_GBK"/>
          <w:color w:val="auto"/>
          <w:sz w:val="32"/>
          <w:szCs w:val="32"/>
        </w:rPr>
        <w:t>问题建议</w:t>
      </w:r>
      <w:bookmarkEnd w:id="42"/>
      <w:bookmarkEnd w:id="43"/>
      <w:bookmarkEnd w:id="44"/>
      <w:bookmarkEnd w:id="45"/>
      <w:bookmarkEnd w:id="46"/>
      <w:bookmarkEnd w:id="47"/>
      <w:bookmarkEnd w:id="48"/>
      <w:bookmarkEnd w:id="49"/>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50" w:name="_Toc11988"/>
      <w:bookmarkStart w:id="51" w:name="_Toc6532"/>
      <w:bookmarkStart w:id="52" w:name="_Toc2146"/>
      <w:bookmarkStart w:id="53" w:name="_Toc2815"/>
      <w:bookmarkStart w:id="54" w:name="_Toc6363"/>
      <w:bookmarkStart w:id="55" w:name="_Toc11908"/>
      <w:bookmarkStart w:id="56" w:name="_Toc26747"/>
      <w:r>
        <w:rPr>
          <w:rFonts w:hint="eastAsia" w:ascii="方正楷体_GBK" w:hAnsi="方正楷体_GBK" w:eastAsia="方正楷体_GBK" w:cs="方正楷体_GBK"/>
          <w:b/>
          <w:bCs/>
          <w:color w:val="auto"/>
          <w:sz w:val="32"/>
          <w:szCs w:val="32"/>
        </w:rPr>
        <w:t>（一）问题</w:t>
      </w:r>
      <w:bookmarkEnd w:id="50"/>
      <w:bookmarkEnd w:id="51"/>
      <w:bookmarkEnd w:id="52"/>
      <w:bookmarkEnd w:id="53"/>
      <w:bookmarkEnd w:id="54"/>
      <w:bookmarkEnd w:id="55"/>
      <w:bookmarkEnd w:id="5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57" w:name="_Toc9208"/>
      <w:bookmarkStart w:id="58" w:name="_Toc2891"/>
      <w:bookmarkStart w:id="59" w:name="_Toc32169"/>
      <w:bookmarkStart w:id="60" w:name="_Toc27763"/>
      <w:bookmarkStart w:id="61" w:name="_Toc27668"/>
      <w:bookmarkStart w:id="62" w:name="_Toc32394"/>
      <w:bookmarkStart w:id="63" w:name="_Toc4327"/>
      <w:r>
        <w:rPr>
          <w:rFonts w:hint="eastAsia" w:ascii="仿宋_GB2312" w:hAnsi="仿宋_GB2312" w:eastAsia="仿宋_GB2312" w:cs="仿宋_GB2312"/>
          <w:color w:val="auto"/>
          <w:sz w:val="32"/>
          <w:szCs w:val="32"/>
          <w:highlight w:val="none"/>
          <w:lang w:val="en-US" w:eastAsia="zh-CN"/>
        </w:rPr>
        <w:t>1.对项目后期监督不到位，该单位补助资金发放完毕之后，未对项目进行后期管理。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2.相关项目负责人未对项目资料进行归档。</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二</w:t>
      </w:r>
      <w:r>
        <w:rPr>
          <w:rFonts w:hint="eastAsia" w:ascii="方正楷体_GBK" w:hAnsi="方正楷体_GBK" w:eastAsia="方正楷体_GBK" w:cs="方正楷体_GBK"/>
          <w:b/>
          <w:bCs/>
          <w:color w:val="auto"/>
          <w:sz w:val="32"/>
          <w:szCs w:val="32"/>
        </w:rPr>
        <w:t>）意见和建议</w:t>
      </w:r>
      <w:bookmarkEnd w:id="57"/>
      <w:bookmarkEnd w:id="58"/>
      <w:bookmarkEnd w:id="59"/>
      <w:bookmarkEnd w:id="60"/>
      <w:bookmarkEnd w:id="61"/>
      <w:bookmarkEnd w:id="62"/>
      <w:bookmarkEnd w:id="6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1.指定专门负责人，长期狠抓制度执行，时刻监督项目效益产生情况。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2.在项目每个实施节点让相关公交公司上交项目材料，按项目做好资料归档工作，并为后期项目资料的翻阅提供便利条件。</w:t>
      </w:r>
    </w:p>
    <w:p>
      <w:pPr>
        <w:jc w:val="center"/>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jc w:val="center"/>
        <w:rPr>
          <w:rFonts w:ascii="Times New Roman" w:hAnsi="Times New Roman" w:eastAsia="仿宋_GB2312"/>
          <w:b/>
          <w:bCs/>
          <w:color w:val="auto"/>
          <w:sz w:val="32"/>
          <w:szCs w:val="32"/>
        </w:rPr>
      </w:pPr>
      <w:r>
        <w:rPr>
          <w:rFonts w:hint="eastAsia" w:ascii="Times New Roman" w:hAnsi="Times New Roman" w:eastAsia="仿宋_GB2312"/>
          <w:b/>
          <w:bCs/>
          <w:color w:val="auto"/>
          <w:sz w:val="32"/>
          <w:szCs w:val="32"/>
        </w:rPr>
        <w:t>绩效评价工作组成员</w:t>
      </w:r>
    </w:p>
    <w:tbl>
      <w:tblPr>
        <w:tblStyle w:val="18"/>
        <w:tblpPr w:leftFromText="180" w:rightFromText="180" w:vertAnchor="text" w:horzAnchor="page" w:tblpX="1849" w:tblpY="83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332"/>
        <w:gridCol w:w="1739"/>
        <w:gridCol w:w="1722"/>
        <w:gridCol w:w="1489"/>
        <w:gridCol w:w="1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both"/>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eastAsia="仿宋_GB2312" w:cs="宋体"/>
                <w:color w:val="auto"/>
                <w:kern w:val="0"/>
                <w:sz w:val="24"/>
                <w:lang w:val="en-US" w:eastAsia="zh-CN"/>
              </w:rPr>
            </w:pPr>
            <w:r>
              <w:rPr>
                <w:rFonts w:hint="eastAsia" w:eastAsia="仿宋_GB2312" w:cs="宋体"/>
                <w:color w:val="auto"/>
                <w:kern w:val="0"/>
                <w:sz w:val="24"/>
                <w:lang w:val="en-US" w:eastAsia="zh-CN"/>
              </w:rPr>
              <w:t>项目主审</w:t>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rPr>
            </w:pPr>
            <w:r>
              <w:rPr>
                <w:rFonts w:hint="eastAsia"/>
              </w:rPr>
              <w:t>注册会计师</w:t>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eastAsia="仿宋_GB2312"/>
                <w:lang w:val="en-US" w:eastAsia="zh-CN"/>
              </w:rPr>
            </w:pPr>
            <w:r>
              <w:rPr>
                <w:rFonts w:hint="eastAsia"/>
                <w:lang w:val="en-US" w:eastAsia="zh-CN"/>
              </w:rPr>
              <w:t>注册税务师</w:t>
            </w: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资金审查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曹堂哲</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教授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中央财经大学政府管理学院教授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哈丽米拉</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eastAsia="仿宋_GB2312" w:cs="宋体"/>
                <w:kern w:val="0"/>
                <w:sz w:val="24"/>
                <w:lang w:val="en-US" w:eastAsia="zh-CN"/>
              </w:rPr>
              <w:t>阿布都海比尔</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87"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33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739"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eastAsia="仿宋_GB2312" w:cs="宋体"/>
                <w:kern w:val="0"/>
                <w:sz w:val="24"/>
                <w:lang w:val="en-US" w:eastAsia="zh-CN"/>
              </w:rPr>
              <w:t>马木江</w:t>
            </w:r>
          </w:p>
        </w:tc>
        <w:tc>
          <w:tcPr>
            <w:tcW w:w="1722"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c>
          <w:tcPr>
            <w:tcW w:w="148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53" w:type="dxa"/>
            <w:vAlign w:val="center"/>
          </w:tcPr>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00" w:lineRule="exact"/>
              <w:jc w:val="center"/>
              <w:textAlignment w:val="auto"/>
              <w:rPr>
                <w:rFonts w:ascii="Times New Roman" w:hAnsi="Times New Roman" w:eastAsia="仿宋_GB2312" w:cs="宋体"/>
                <w:color w:val="auto"/>
                <w:kern w:val="0"/>
                <w:sz w:val="24"/>
              </w:rPr>
            </w:pPr>
          </w:p>
        </w:tc>
      </w:tr>
    </w:tbl>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2"/>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480" w:lineRule="exact"/>
        <w:ind w:firstLine="880" w:firstLineChars="200"/>
        <w:jc w:val="center"/>
        <w:textAlignment w:val="auto"/>
        <w:rPr>
          <w:rFonts w:hint="eastAsia" w:ascii="方正黑体_GBK" w:hAnsi="方正黑体_GBK" w:eastAsia="方正黑体_GBK" w:cs="方正黑体_GBK"/>
          <w:b w:val="0"/>
          <w:bCs/>
          <w:color w:val="auto"/>
          <w:sz w:val="44"/>
          <w:szCs w:val="44"/>
        </w:rPr>
      </w:pPr>
      <w:r>
        <w:rPr>
          <w:rFonts w:hint="eastAsia" w:ascii="方正黑体_GBK" w:hAnsi="方正黑体_GBK" w:eastAsia="方正黑体_GBK" w:cs="方正黑体_GBK"/>
          <w:b w:val="0"/>
          <w:bCs/>
          <w:color w:val="auto"/>
          <w:sz w:val="44"/>
          <w:szCs w:val="44"/>
        </w:rPr>
        <w:t>目 录</w:t>
      </w:r>
    </w:p>
    <w:sdt>
      <w:sdtPr>
        <w:rPr>
          <w:rFonts w:ascii="Times New Roman" w:hAnsi="Times New Roman" w:eastAsia="仿宋_GB2312" w:cstheme="minorBidi"/>
          <w:kern w:val="2"/>
          <w:sz w:val="21"/>
          <w:szCs w:val="24"/>
          <w:lang w:val="en-US" w:eastAsia="zh-CN" w:bidi="ar-SA"/>
        </w:rPr>
        <w:id w:val="147471803"/>
        <w15:color w:val="DBDBDB"/>
        <w:docPartObj>
          <w:docPartGallery w:val="Table of Contents"/>
          <w:docPartUnique/>
        </w:docPartObj>
      </w:sdtPr>
      <w:sdtEndPr>
        <w:rPr>
          <w:rFonts w:ascii="Times New Roman" w:hAnsi="Times New Roman" w:eastAsia="仿宋_GB2312" w:cs="宋体"/>
          <w:b/>
          <w:color w:val="auto"/>
          <w:kern w:val="2"/>
          <w:sz w:val="21"/>
          <w:szCs w:val="32"/>
          <w:lang w:val="en-US" w:eastAsia="zh-CN" w:bidi="ar-SA"/>
        </w:rPr>
      </w:sdtEndPr>
      <w:sdtContent>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 w:val="32"/>
              <w:szCs w:val="32"/>
            </w:rPr>
            <w:fldChar w:fldCharType="begin"/>
          </w:r>
          <w:r>
            <w:rPr>
              <w:rFonts w:ascii="Times New Roman" w:hAnsi="Times New Roman" w:eastAsia="仿宋_GB2312" w:cs="宋体"/>
              <w:color w:val="auto"/>
              <w:sz w:val="32"/>
              <w:szCs w:val="32"/>
            </w:rPr>
            <w:instrText xml:space="preserve">TOC \o "1-2" \h \u </w:instrText>
          </w:r>
          <w:r>
            <w:rPr>
              <w:rFonts w:ascii="Times New Roman" w:hAnsi="Times New Roman" w:eastAsia="仿宋_GB2312" w:cs="宋体"/>
              <w:color w:val="auto"/>
              <w:sz w:val="32"/>
              <w:szCs w:val="32"/>
            </w:rPr>
            <w:fldChar w:fldCharType="separate"/>
          </w: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_Toc19132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rPr>
            <w:t>一、项目概述</w:t>
          </w:r>
          <w:r>
            <w:tab/>
          </w:r>
          <w:r>
            <w:fldChar w:fldCharType="begin"/>
          </w:r>
          <w:r>
            <w:instrText xml:space="preserve"> PAGEREF _Toc19132 \h </w:instrText>
          </w:r>
          <w:r>
            <w:fldChar w:fldCharType="separate"/>
          </w:r>
          <w:r>
            <w:t>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_Toc14064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（一）项目基本情况</w:t>
          </w:r>
          <w:r>
            <w:tab/>
          </w:r>
          <w:r>
            <w:fldChar w:fldCharType="begin"/>
          </w:r>
          <w:r>
            <w:instrText xml:space="preserve"> PAGEREF _Toc14064 \h </w:instrText>
          </w:r>
          <w:r>
            <w:fldChar w:fldCharType="separate"/>
          </w:r>
          <w:r>
            <w:t>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_Toc17517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_Toc17517 \h </w:instrText>
          </w:r>
          <w:r>
            <w:fldChar w:fldCharType="separate"/>
          </w:r>
          <w:r>
            <w:t>4</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_Toc20832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_Toc20832 \h </w:instrText>
          </w:r>
          <w:r>
            <w:fldChar w:fldCharType="separate"/>
          </w:r>
          <w:r>
            <w:t>4</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_Toc18230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_Toc18230 \h </w:instrText>
          </w:r>
          <w:r>
            <w:fldChar w:fldCharType="separate"/>
          </w:r>
          <w:r>
            <w:t>6</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_Toc6354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（一）评价目的</w:t>
          </w:r>
          <w:r>
            <w:tab/>
          </w:r>
          <w:r>
            <w:fldChar w:fldCharType="begin"/>
          </w:r>
          <w:r>
            <w:instrText xml:space="preserve"> PAGEREF _Toc6354 \h </w:instrText>
          </w:r>
          <w:r>
            <w:fldChar w:fldCharType="separate"/>
          </w:r>
          <w:r>
            <w:t>6</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_Toc1362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_Toc1362 \h </w:instrText>
          </w:r>
          <w:r>
            <w:fldChar w:fldCharType="separate"/>
          </w:r>
          <w:r>
            <w:t>7</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_Toc7165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（三）评价原则</w:t>
          </w:r>
          <w:r>
            <w:tab/>
          </w:r>
          <w:r>
            <w:fldChar w:fldCharType="begin"/>
          </w:r>
          <w:r>
            <w:instrText xml:space="preserve"> PAGEREF _Toc7165 \h </w:instrText>
          </w:r>
          <w:r>
            <w:fldChar w:fldCharType="separate"/>
          </w:r>
          <w:r>
            <w:t>7</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_Toc30554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四</w:t>
          </w:r>
          <w:r>
            <w:rPr>
              <w:rFonts w:hint="eastAsia" w:ascii="Times New Roman" w:hAnsi="Times New Roman" w:eastAsia="仿宋_GB2312" w:cs="宋体"/>
              <w:bCs/>
              <w:szCs w:val="32"/>
            </w:rPr>
            <w:t>）评价方法</w:t>
          </w:r>
          <w:r>
            <w:tab/>
          </w:r>
          <w:r>
            <w:fldChar w:fldCharType="begin"/>
          </w:r>
          <w:r>
            <w:instrText xml:space="preserve"> PAGEREF _Toc30554 \h </w:instrText>
          </w:r>
          <w:r>
            <w:fldChar w:fldCharType="separate"/>
          </w:r>
          <w:r>
            <w:t>8</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_Toc12502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lang w:eastAsia="zh-CN"/>
            </w:rPr>
            <w:t>（</w:t>
          </w:r>
          <w:r>
            <w:rPr>
              <w:rFonts w:hint="eastAsia" w:ascii="Times New Roman" w:hAnsi="Times New Roman" w:eastAsia="仿宋_GB2312" w:cs="宋体"/>
              <w:bCs/>
              <w:szCs w:val="32"/>
              <w:lang w:val="en-US" w:eastAsia="zh-CN"/>
            </w:rPr>
            <w:t>五</w:t>
          </w:r>
          <w:r>
            <w:rPr>
              <w:rFonts w:hint="eastAsia" w:ascii="Times New Roman" w:hAnsi="Times New Roman" w:eastAsia="仿宋_GB2312" w:cs="宋体"/>
              <w:bCs/>
              <w:szCs w:val="32"/>
              <w:lang w:eastAsia="zh-CN"/>
            </w:rPr>
            <w:t>）</w:t>
          </w:r>
          <w:r>
            <w:rPr>
              <w:rFonts w:hint="eastAsia" w:ascii="Times New Roman" w:hAnsi="Times New Roman" w:eastAsia="仿宋_GB2312" w:cs="宋体"/>
              <w:bCs/>
              <w:szCs w:val="32"/>
            </w:rPr>
            <w:t>指标体系</w:t>
          </w:r>
          <w:r>
            <w:tab/>
          </w:r>
          <w:r>
            <w:fldChar w:fldCharType="begin"/>
          </w:r>
          <w:r>
            <w:instrText xml:space="preserve"> PAGEREF _Toc12502 \h </w:instrText>
          </w:r>
          <w:r>
            <w:fldChar w:fldCharType="separate"/>
          </w:r>
          <w:r>
            <w:t>9</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_Toc25991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六</w:t>
          </w:r>
          <w:r>
            <w:rPr>
              <w:rFonts w:hint="eastAsia" w:ascii="Times New Roman" w:hAnsi="Times New Roman" w:eastAsia="仿宋_GB2312" w:cs="宋体"/>
              <w:bCs/>
              <w:szCs w:val="32"/>
            </w:rPr>
            <w:t>）评价等级划分</w:t>
          </w:r>
          <w:r>
            <w:tab/>
          </w:r>
          <w:r>
            <w:fldChar w:fldCharType="begin"/>
          </w:r>
          <w:r>
            <w:instrText xml:space="preserve"> PAGEREF _Toc25991 \h </w:instrText>
          </w:r>
          <w:r>
            <w:fldChar w:fldCharType="separate"/>
          </w:r>
          <w:r>
            <w:t>9</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_Toc29005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七</w:t>
          </w:r>
          <w:r>
            <w:rPr>
              <w:rFonts w:hint="eastAsia" w:ascii="Times New Roman" w:hAnsi="Times New Roman" w:eastAsia="仿宋_GB2312" w:cs="宋体"/>
              <w:bCs/>
              <w:szCs w:val="32"/>
              <w:highlight w:val="none"/>
            </w:rPr>
            <w:t>）评价工作实施情况</w:t>
          </w:r>
          <w:r>
            <w:tab/>
          </w:r>
          <w:r>
            <w:fldChar w:fldCharType="begin"/>
          </w:r>
          <w:r>
            <w:instrText xml:space="preserve"> PAGEREF _Toc29005 \h </w:instrText>
          </w:r>
          <w:r>
            <w:fldChar w:fldCharType="separate"/>
          </w:r>
          <w:r>
            <w:t>10</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_Toc28676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_Toc28676 \h </w:instrText>
          </w:r>
          <w:r>
            <w:fldChar w:fldCharType="separate"/>
          </w:r>
          <w:r>
            <w:t>12</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_Toc25693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_Toc25693 \h </w:instrText>
          </w:r>
          <w:r>
            <w:fldChar w:fldCharType="separate"/>
          </w:r>
          <w:r>
            <w:t>12</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_Toc7048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_Toc7048 \h </w:instrText>
          </w:r>
          <w:r>
            <w:fldChar w:fldCharType="separate"/>
          </w:r>
          <w:r>
            <w:t>15</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_Toc10347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三</w:t>
          </w:r>
          <w:r>
            <w:rPr>
              <w:rFonts w:hint="eastAsia" w:ascii="Times New Roman" w:hAnsi="Times New Roman" w:eastAsia="仿宋_GB2312" w:cs="宋体"/>
              <w:bCs/>
              <w:szCs w:val="32"/>
              <w:highlight w:val="none"/>
            </w:rPr>
            <w:t>）项目</w:t>
          </w:r>
          <w:r>
            <w:rPr>
              <w:rFonts w:hint="eastAsia" w:ascii="Times New Roman" w:hAnsi="Times New Roman" w:eastAsia="仿宋_GB2312" w:cs="宋体"/>
              <w:bCs/>
              <w:szCs w:val="32"/>
              <w:highlight w:val="none"/>
              <w:lang w:val="en-US" w:eastAsia="zh-CN"/>
            </w:rPr>
            <w:t>产出</w:t>
          </w:r>
          <w:r>
            <w:rPr>
              <w:rFonts w:hint="eastAsia" w:ascii="Times New Roman" w:hAnsi="Times New Roman" w:eastAsia="仿宋_GB2312" w:cs="宋体"/>
              <w:bCs/>
              <w:szCs w:val="32"/>
              <w:highlight w:val="none"/>
            </w:rPr>
            <w:t>情况分析</w:t>
          </w:r>
          <w:r>
            <w:tab/>
          </w:r>
          <w:r>
            <w:fldChar w:fldCharType="begin"/>
          </w:r>
          <w:r>
            <w:instrText xml:space="preserve"> PAGEREF _Toc10347 \h </w:instrText>
          </w:r>
          <w:r>
            <w:fldChar w:fldCharType="separate"/>
          </w:r>
          <w:r>
            <w:t>19</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_Toc1834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_Toc1834 \h </w:instrText>
          </w:r>
          <w:r>
            <w:fldChar w:fldCharType="separate"/>
          </w:r>
          <w:r>
            <w:t>20</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_Toc5925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_Toc5925 \h </w:instrText>
          </w:r>
          <w:r>
            <w:fldChar w:fldCharType="separate"/>
          </w:r>
          <w:r>
            <w:t>21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_Toc13597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_Toc13597 \h </w:instrText>
          </w:r>
          <w:r>
            <w:fldChar w:fldCharType="separate"/>
          </w:r>
          <w:r>
            <w:t>21</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_Toc14313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（二）项目总体评价结论</w:t>
          </w:r>
          <w:r>
            <w:tab/>
          </w:r>
          <w:r>
            <w:fldChar w:fldCharType="begin"/>
          </w:r>
          <w:r>
            <w:instrText xml:space="preserve"> PAGEREF _Toc14313 \h </w:instrText>
          </w:r>
          <w:r>
            <w:fldChar w:fldCharType="separate"/>
          </w:r>
          <w:r>
            <w:rPr>
              <w:b/>
            </w:rPr>
            <w:t>错误！未定义书签。</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_Toc25630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五、</w:t>
          </w:r>
          <w:r>
            <w:rPr>
              <w:rFonts w:hint="eastAsia" w:ascii="方正黑体_GBK" w:hAnsi="方正黑体_GBK" w:eastAsia="方正黑体_GBK" w:cs="方正黑体_GBK"/>
              <w:szCs w:val="32"/>
              <w:highlight w:val="none"/>
              <w:lang w:val="en-US" w:eastAsia="zh-CN"/>
            </w:rPr>
            <w:t>问题及建议</w:t>
          </w:r>
          <w:r>
            <w:tab/>
          </w:r>
          <w:r>
            <w:fldChar w:fldCharType="begin"/>
          </w:r>
          <w:r>
            <w:instrText xml:space="preserve"> PAGEREF _Toc25630 \h </w:instrText>
          </w:r>
          <w:r>
            <w:fldChar w:fldCharType="separate"/>
          </w:r>
          <w:r>
            <w:t>22</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_Toc8617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_Toc8617 \h </w:instrText>
          </w:r>
          <w:r>
            <w:fldChar w:fldCharType="separate"/>
          </w:r>
          <w:r>
            <w:t>22</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_Toc12774 </w:instrText>
          </w:r>
          <w:r>
            <w:rPr>
              <w:rFonts w:ascii="Times New Roman" w:hAnsi="Times New Roman" w:eastAsia="仿宋_GB2312" w:cs="宋体"/>
              <w:szCs w:val="32"/>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_Toc12774 \h </w:instrText>
          </w:r>
          <w:r>
            <w:fldChar w:fldCharType="separate"/>
          </w:r>
          <w:r>
            <w:t>22</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_Toc21221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_Toc21221 \h </w:instrText>
          </w:r>
          <w:r>
            <w:fldChar w:fldCharType="separate"/>
          </w:r>
          <w:r>
            <w:t>22</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_Toc9446 </w:instrText>
          </w:r>
          <w:r>
            <w:rPr>
              <w:rFonts w:ascii="Times New Roman" w:hAnsi="Times New Roman" w:eastAsia="仿宋_GB2312" w:cs="宋体"/>
              <w:szCs w:val="32"/>
            </w:rPr>
            <w:fldChar w:fldCharType="separate"/>
          </w:r>
          <w:r>
            <w:rPr>
              <w:rFonts w:hint="eastAsia" w:ascii="Times New Roman" w:hAnsi="Times New Roman" w:eastAsia="仿宋_GB2312" w:cs="仿宋_GB2312"/>
              <w:bCs/>
              <w:spacing w:val="0"/>
              <w:kern w:val="2"/>
              <w:szCs w:val="32"/>
              <w:highlight w:val="none"/>
              <w:lang w:val="en-US" w:eastAsia="zh-CN" w:bidi="ar-SA"/>
            </w:rPr>
            <w:t>（一）项目实施过程有效</w:t>
          </w:r>
          <w:r>
            <w:rPr>
              <w:rFonts w:hint="eastAsia" w:eastAsia="仿宋_GB2312" w:cs="仿宋_GB2312"/>
              <w:bCs/>
              <w:spacing w:val="0"/>
              <w:kern w:val="2"/>
              <w:szCs w:val="32"/>
              <w:highlight w:val="none"/>
              <w:lang w:val="en-US" w:eastAsia="zh-CN" w:bidi="ar-SA"/>
            </w:rPr>
            <w:t>监督</w:t>
          </w:r>
          <w:r>
            <w:tab/>
          </w:r>
          <w:r>
            <w:fldChar w:fldCharType="begin"/>
          </w:r>
          <w:r>
            <w:instrText xml:space="preserve"> PAGEREF _Toc9446 \h </w:instrText>
          </w:r>
          <w:r>
            <w:fldChar w:fldCharType="separate"/>
          </w:r>
          <w:r>
            <w:t>22</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_Toc31804 </w:instrText>
          </w:r>
          <w:r>
            <w:rPr>
              <w:rFonts w:ascii="Times New Roman" w:hAnsi="Times New Roman" w:eastAsia="仿宋_GB2312" w:cs="宋体"/>
              <w:szCs w:val="32"/>
            </w:rPr>
            <w:fldChar w:fldCharType="separate"/>
          </w:r>
          <w:r>
            <w:rPr>
              <w:rFonts w:hint="eastAsia" w:ascii="Times New Roman" w:hAnsi="Times New Roman" w:eastAsia="仿宋_GB2312" w:cs="仿宋_GB2312"/>
              <w:bCs/>
              <w:spacing w:val="0"/>
              <w:kern w:val="2"/>
              <w:szCs w:val="32"/>
              <w:highlight w:val="none"/>
              <w:lang w:val="en-US" w:eastAsia="zh-CN" w:bidi="ar-SA"/>
            </w:rPr>
            <w:t>（二）强化领导，明确职责，合理安排使用资金</w:t>
          </w:r>
          <w:r>
            <w:tab/>
          </w:r>
          <w:r>
            <w:fldChar w:fldCharType="begin"/>
          </w:r>
          <w:r>
            <w:instrText xml:space="preserve"> PAGEREF _Toc31804 \h </w:instrText>
          </w:r>
          <w:r>
            <w:fldChar w:fldCharType="separate"/>
          </w:r>
          <w:r>
            <w:t>22</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_Toc110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bCs w:val="0"/>
              <w:szCs w:val="32"/>
              <w:highlight w:val="none"/>
            </w:rPr>
            <w:t>七、评价结果应用建议</w:t>
          </w:r>
          <w:r>
            <w:tab/>
          </w:r>
          <w:r>
            <w:fldChar w:fldCharType="begin"/>
          </w:r>
          <w:r>
            <w:instrText xml:space="preserve"> PAGEREF _Toc110 \h </w:instrText>
          </w:r>
          <w:r>
            <w:fldChar w:fldCharType="separate"/>
          </w:r>
          <w:r>
            <w:t>23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_Toc10895 </w:instrText>
          </w:r>
          <w:r>
            <w:rPr>
              <w:rFonts w:ascii="Times New Roman" w:hAnsi="Times New Roman" w:eastAsia="仿宋_GB2312" w:cs="宋体"/>
              <w:szCs w:val="32"/>
            </w:rPr>
            <w:fldChar w:fldCharType="separate"/>
          </w:r>
          <w:r>
            <w:rPr>
              <w:rFonts w:hint="eastAsia" w:ascii="Times New Roman" w:hAnsi="Times New Roman" w:eastAsia="仿宋_GB2312" w:cs="Times New Roman"/>
              <w:bCs/>
              <w:szCs w:val="32"/>
              <w:highlight w:val="none"/>
            </w:rPr>
            <w:t>（一）及时对发现的问题进行整改</w:t>
          </w:r>
          <w:r>
            <w:tab/>
          </w:r>
          <w:r>
            <w:fldChar w:fldCharType="begin"/>
          </w:r>
          <w:r>
            <w:instrText xml:space="preserve"> PAGEREF _Toc10895 \h </w:instrText>
          </w:r>
          <w:r>
            <w:fldChar w:fldCharType="separate"/>
          </w:r>
          <w:r>
            <w:t>23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_Toc32288 </w:instrText>
          </w:r>
          <w:r>
            <w:rPr>
              <w:rFonts w:ascii="Times New Roman" w:hAnsi="Times New Roman" w:eastAsia="仿宋_GB2312" w:cs="宋体"/>
              <w:szCs w:val="32"/>
            </w:rPr>
            <w:fldChar w:fldCharType="separate"/>
          </w:r>
          <w:r>
            <w:rPr>
              <w:rFonts w:hint="eastAsia" w:ascii="Times New Roman" w:hAnsi="Times New Roman" w:eastAsia="仿宋_GB2312" w:cs="Times New Roman"/>
              <w:bCs/>
              <w:szCs w:val="32"/>
            </w:rPr>
            <w:t xml:space="preserve">（二） </w:t>
          </w:r>
          <w:r>
            <w:rPr>
              <w:rFonts w:hint="eastAsia" w:ascii="Times New Roman" w:hAnsi="Times New Roman" w:eastAsia="仿宋_GB2312" w:cs="Times New Roman"/>
              <w:bCs/>
              <w:szCs w:val="32"/>
              <w:highlight w:val="none"/>
            </w:rPr>
            <w:t>建立绩效评价结果应用制度</w:t>
          </w:r>
          <w:r>
            <w:tab/>
          </w:r>
          <w:r>
            <w:fldChar w:fldCharType="begin"/>
          </w:r>
          <w:r>
            <w:instrText xml:space="preserve"> PAGEREF _Toc32288 \h </w:instrText>
          </w:r>
          <w:r>
            <w:fldChar w:fldCharType="separate"/>
          </w:r>
          <w:r>
            <w:t>23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_Toc11905 </w:instrText>
          </w:r>
          <w:r>
            <w:rPr>
              <w:rFonts w:ascii="Times New Roman" w:hAnsi="Times New Roman" w:eastAsia="仿宋_GB2312" w:cs="宋体"/>
              <w:szCs w:val="32"/>
            </w:rPr>
            <w:fldChar w:fldCharType="separate"/>
          </w:r>
          <w:r>
            <w:rPr>
              <w:rFonts w:hint="eastAsia" w:ascii="Times New Roman" w:hAnsi="Times New Roman" w:eastAsia="仿宋_GB2312" w:cs="Times New Roman"/>
              <w:bCs/>
              <w:szCs w:val="32"/>
              <w:highlight w:val="none"/>
            </w:rPr>
            <w:t>（三）</w:t>
          </w:r>
          <w:r>
            <w:rPr>
              <w:rFonts w:hint="eastAsia" w:ascii="Times New Roman" w:hAnsi="Times New Roman" w:eastAsia="仿宋_GB2312" w:cs="Times New Roman"/>
              <w:bCs/>
              <w:szCs w:val="32"/>
              <w:highlight w:val="none"/>
              <w:lang w:val="en-US" w:eastAsia="zh-CN"/>
            </w:rPr>
            <w:t>强化</w:t>
          </w:r>
          <w:r>
            <w:rPr>
              <w:rFonts w:hint="eastAsia" w:ascii="Times New Roman" w:hAnsi="Times New Roman" w:eastAsia="仿宋_GB2312" w:cs="Times New Roman"/>
              <w:bCs/>
              <w:szCs w:val="32"/>
              <w:highlight w:val="none"/>
            </w:rPr>
            <w:t>绩效评价结果应用</w:t>
          </w:r>
          <w:r>
            <w:tab/>
          </w:r>
          <w:r>
            <w:fldChar w:fldCharType="begin"/>
          </w:r>
          <w:r>
            <w:instrText xml:space="preserve"> PAGEREF _Toc11905 \h </w:instrText>
          </w:r>
          <w:r>
            <w:fldChar w:fldCharType="separate"/>
          </w:r>
          <w:r>
            <w:t>23</w:t>
          </w:r>
          <w:r>
            <w:fldChar w:fldCharType="end"/>
          </w:r>
          <w:r>
            <w:rPr>
              <w:rFonts w:ascii="Times New Roman" w:hAnsi="Times New Roman" w:eastAsia="仿宋_GB2312" w:cs="宋体"/>
              <w:color w:val="auto"/>
              <w:szCs w:val="32"/>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_Toc31056 </w:instrText>
          </w:r>
          <w:r>
            <w:rPr>
              <w:rFonts w:ascii="Times New Roman" w:hAnsi="Times New Roman" w:eastAsia="仿宋_GB2312" w:cs="宋体"/>
              <w:szCs w:val="32"/>
            </w:rPr>
            <w:fldChar w:fldCharType="separate"/>
          </w:r>
          <w:r>
            <w:rPr>
              <w:rFonts w:hint="eastAsia" w:ascii="Times New Roman" w:hAnsi="Times New Roman" w:eastAsia="仿宋_GB2312" w:cs="仿宋_GB2312"/>
              <w:szCs w:val="32"/>
              <w:lang w:val="en-US" w:eastAsia="zh-CN" w:bidi="ar"/>
            </w:rPr>
            <w:t>（四）评价结果公开</w:t>
          </w:r>
          <w:r>
            <w:tab/>
          </w:r>
          <w:r>
            <w:fldChar w:fldCharType="begin"/>
          </w:r>
          <w:r>
            <w:instrText xml:space="preserve"> PAGEREF _Toc31056 \h </w:instrText>
          </w:r>
          <w:r>
            <w:fldChar w:fldCharType="separate"/>
          </w:r>
          <w:r>
            <w:t>24</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_Toc11652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lang w:val="en-US" w:eastAsia="zh-CN"/>
            </w:rPr>
            <w:t>八、</w:t>
          </w:r>
          <w:r>
            <w:rPr>
              <w:rFonts w:hint="eastAsia" w:ascii="方正黑体_GBK" w:hAnsi="方正黑体_GBK" w:eastAsia="方正黑体_GBK" w:cs="方正黑体_GBK"/>
              <w:szCs w:val="32"/>
              <w:highlight w:val="none"/>
            </w:rPr>
            <w:t>其他需说明的问题</w:t>
          </w:r>
          <w:r>
            <w:tab/>
          </w:r>
          <w:r>
            <w:fldChar w:fldCharType="begin"/>
          </w:r>
          <w:r>
            <w:instrText xml:space="preserve"> PAGEREF _Toc11652 \h </w:instrText>
          </w:r>
          <w:r>
            <w:fldChar w:fldCharType="separate"/>
          </w:r>
          <w:r>
            <w:t>24</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pPr>
          <w:r>
            <w:rPr>
              <w:rFonts w:ascii="Times New Roman" w:hAnsi="Times New Roman" w:eastAsia="仿宋_GB2312" w:cs="宋体"/>
              <w:color w:val="auto"/>
              <w:szCs w:val="32"/>
            </w:rPr>
            <w:fldChar w:fldCharType="begin"/>
          </w:r>
          <w:r>
            <w:rPr>
              <w:rFonts w:ascii="Times New Roman" w:hAnsi="Times New Roman" w:eastAsia="仿宋_GB2312" w:cs="宋体"/>
              <w:szCs w:val="32"/>
            </w:rPr>
            <w:instrText xml:space="preserve"> HYPERLINK \l _Toc6576 </w:instrText>
          </w:r>
          <w:r>
            <w:rPr>
              <w:rFonts w:ascii="Times New Roman" w:hAnsi="Times New Roman" w:eastAsia="仿宋_GB2312" w:cs="宋体"/>
              <w:szCs w:val="32"/>
            </w:rPr>
            <w:fldChar w:fldCharType="separate"/>
          </w:r>
          <w:r>
            <w:rPr>
              <w:rFonts w:hint="eastAsia" w:ascii="方正黑体_GBK" w:hAnsi="方正黑体_GBK" w:eastAsia="方正黑体_GBK" w:cs="方正黑体_GBK"/>
              <w:szCs w:val="32"/>
              <w:highlight w:val="none"/>
            </w:rPr>
            <w:t>九、附件</w:t>
          </w:r>
          <w:r>
            <w:tab/>
          </w:r>
          <w:r>
            <w:fldChar w:fldCharType="begin"/>
          </w:r>
          <w:r>
            <w:instrText xml:space="preserve"> PAGEREF _Toc6576 \h </w:instrText>
          </w:r>
          <w:r>
            <w:fldChar w:fldCharType="separate"/>
          </w:r>
          <w:r>
            <w:t>25</w:t>
          </w:r>
          <w:r>
            <w:fldChar w:fldCharType="end"/>
          </w:r>
          <w:r>
            <w:rPr>
              <w:rFonts w:ascii="Times New Roman" w:hAnsi="Times New Roman" w:eastAsia="仿宋_GB2312" w:cs="宋体"/>
              <w:color w:val="auto"/>
              <w:szCs w:val="32"/>
            </w:rPr>
            <w:fldChar w:fldCharType="end"/>
          </w: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360" w:lineRule="exact"/>
            <w:ind w:firstLine="420" w:firstLineChars="200"/>
            <w:textAlignment w:val="auto"/>
            <w:rPr>
              <w:rFonts w:ascii="Times New Roman" w:hAnsi="Times New Roman" w:eastAsia="仿宋_GB2312" w:cs="宋体"/>
              <w:color w:val="auto"/>
              <w:sz w:val="32"/>
              <w:szCs w:val="32"/>
            </w:rPr>
          </w:pPr>
          <w:r>
            <w:rPr>
              <w:rFonts w:ascii="Times New Roman" w:hAnsi="Times New Roman" w:eastAsia="仿宋_GB2312" w:cs="宋体"/>
              <w:color w:val="auto"/>
              <w:szCs w:val="32"/>
            </w:rPr>
            <w:fldChar w:fldCharType="end"/>
          </w:r>
        </w:p>
      </w:sdtContent>
    </w:sdt>
    <w:p>
      <w:pPr>
        <w:pageBreakBefore w:val="0"/>
        <w:kinsoku/>
        <w:wordWrap/>
        <w:overflowPunct/>
        <w:topLinePunct w:val="0"/>
        <w:autoSpaceDE/>
        <w:autoSpaceDN/>
        <w:bidi w:val="0"/>
        <w:spacing w:line="600" w:lineRule="exact"/>
        <w:ind w:firstLine="880" w:firstLineChars="200"/>
        <w:jc w:val="center"/>
        <w:outlineLvl w:val="0"/>
        <w:rPr>
          <w:rFonts w:hint="eastAsia" w:ascii="方正黑体_GBK" w:hAnsi="方正黑体_GBK" w:eastAsia="方正黑体_GBK" w:cs="方正黑体_GBK"/>
          <w:color w:val="auto"/>
          <w:sz w:val="44"/>
          <w:szCs w:val="44"/>
        </w:rPr>
      </w:pPr>
      <w:bookmarkStart w:id="64" w:name="_Toc16603"/>
      <w:bookmarkStart w:id="65" w:name="_Toc18687"/>
      <w:r>
        <w:rPr>
          <w:rFonts w:hint="eastAsia" w:ascii="方正黑体_GBK" w:hAnsi="方正黑体_GBK" w:eastAsia="方正黑体_GBK" w:cs="方正黑体_GBK"/>
          <w:b w:val="0"/>
          <w:bCs w:val="0"/>
          <w:color w:val="auto"/>
          <w:sz w:val="44"/>
          <w:szCs w:val="44"/>
          <w:lang w:eastAsia="zh-CN"/>
        </w:rPr>
        <w:t>疏附县2022年度新能源公交购置补助资金项目</w:t>
      </w:r>
      <w:bookmarkStart w:id="66" w:name="_Toc29294"/>
      <w:bookmarkStart w:id="67" w:name="_Toc14725"/>
      <w:bookmarkStart w:id="68" w:name="_Toc26253"/>
      <w:bookmarkStart w:id="69" w:name="_Toc24347"/>
      <w:bookmarkStart w:id="70" w:name="_Toc22495"/>
      <w:bookmarkStart w:id="71" w:name="_Toc28273"/>
      <w:bookmarkStart w:id="72" w:name="_Toc4062"/>
      <w:bookmarkStart w:id="73" w:name="_Toc29218"/>
      <w:bookmarkStart w:id="74" w:name="_Toc31819"/>
      <w:bookmarkStart w:id="75" w:name="_Toc4465"/>
      <w:bookmarkStart w:id="76" w:name="_Toc19311"/>
      <w:bookmarkStart w:id="77" w:name="_Toc1397"/>
      <w:bookmarkStart w:id="78" w:name="_Toc18296"/>
      <w:bookmarkStart w:id="79" w:name="_Toc7636"/>
      <w:bookmarkStart w:id="80" w:name="_Toc12923"/>
      <w:bookmarkStart w:id="81" w:name="_Toc8051"/>
      <w:r>
        <w:rPr>
          <w:rFonts w:hint="eastAsia" w:ascii="方正黑体_GBK" w:hAnsi="方正黑体_GBK" w:eastAsia="方正黑体_GBK" w:cs="方正黑体_GBK"/>
          <w:color w:val="auto"/>
          <w:sz w:val="44"/>
          <w:szCs w:val="44"/>
        </w:rPr>
        <w:t>绩效评价报告</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rPr>
      </w:pPr>
      <w:bookmarkStart w:id="82" w:name="_Toc19132"/>
      <w:bookmarkStart w:id="83" w:name="_Toc9049"/>
      <w:bookmarkStart w:id="84" w:name="_Toc11297"/>
      <w:bookmarkStart w:id="85" w:name="_Toc27464"/>
      <w:bookmarkStart w:id="86" w:name="_Toc1359"/>
      <w:r>
        <w:rPr>
          <w:rFonts w:hint="eastAsia" w:ascii="方正黑体_GBK" w:hAnsi="方正黑体_GBK" w:eastAsia="方正黑体_GBK" w:cs="方正黑体_GBK"/>
          <w:color w:val="auto"/>
          <w:sz w:val="32"/>
          <w:szCs w:val="32"/>
        </w:rPr>
        <w:t>一、项目概述</w:t>
      </w:r>
      <w:bookmarkEnd w:id="82"/>
      <w:bookmarkEnd w:id="83"/>
      <w:bookmarkEnd w:id="84"/>
      <w:bookmarkEnd w:id="85"/>
      <w:bookmarkEnd w:id="86"/>
    </w:p>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rPr>
      </w:pPr>
      <w:bookmarkStart w:id="87" w:name="_Hlk24028365"/>
      <w:r>
        <w:rPr>
          <w:rFonts w:hint="eastAsia" w:ascii="Times New Roman" w:hAnsi="Times New Roman" w:eastAsia="仿宋_GB2312" w:cs="宋体"/>
          <w:b/>
          <w:bCs/>
          <w:vanish/>
          <w:color w:val="auto"/>
          <w:sz w:val="32"/>
          <w:szCs w:val="32"/>
        </w:rPr>
        <w:t>项目概述</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88" w:name="_Toc1274"/>
      <w:bookmarkStart w:id="89" w:name="_Toc5639"/>
      <w:bookmarkStart w:id="90" w:name="_Toc14064"/>
      <w:bookmarkStart w:id="91" w:name="_Toc10362"/>
      <w:r>
        <w:rPr>
          <w:rFonts w:hint="eastAsia" w:ascii="方正楷体_GBK" w:hAnsi="方正楷体_GBK" w:eastAsia="方正楷体_GBK" w:cs="方正楷体_GBK"/>
          <w:b/>
          <w:bCs/>
          <w:color w:val="auto"/>
          <w:sz w:val="32"/>
          <w:szCs w:val="32"/>
        </w:rPr>
        <w:t>（一）项目基本情况</w:t>
      </w:r>
      <w:bookmarkEnd w:id="88"/>
      <w:bookmarkEnd w:id="89"/>
      <w:bookmarkEnd w:id="90"/>
      <w:bookmarkEnd w:id="91"/>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1.项目背景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汽车是工业文明的代表作之一，也是一个国家的支柱产业，一百多年以来，汽车的进化时刻提高着人民的生活水平。但是随之带来的环境问题、资源问题已经为人类社会带来了危机。对于不可再生能源的过度消费导致的能源危机，传统燃油汽车尾气的过度排放，使得人们不得不研发新能源汽车新能源汽车并非个新概念，国外汽车公司早在上世纪中期就已经研发了新能源汽车，作为汽车大国的中国面临的环境问题更是日益严重，发展新能源汽车已经变得势在必行，因此，为了推动新能源公交车规模化推广应用，促进公交行业减排，为大气污染防治做出贡献，2022年安排疏附县2022年度新能源公交购置补助资金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该项目实施后，推动新能源公交车规模化推广应用，促进公交行业减排，为大气污染防治做出贡献，有效减轻企业运行负担，推动运输服务高质量发展，城乡公交公司满意度预计能达到95%。</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2.项目实施主体</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eastAsia="zh-CN"/>
        </w:rPr>
        <w:t>疏附县2022年度新能源公交购置补助资金项目</w:t>
      </w:r>
      <w:r>
        <w:rPr>
          <w:rFonts w:hint="eastAsia" w:ascii="仿宋_GB2312" w:hAnsi="仿宋_GB2312" w:eastAsia="仿宋_GB2312" w:cs="仿宋_GB2312"/>
          <w:color w:val="auto"/>
          <w:sz w:val="32"/>
          <w:lang w:val="en-US" w:eastAsia="zh-CN"/>
        </w:rPr>
        <w:t>由疏附县交通运输局主要负责实施。单位主要职能：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（1）贯彻执行国家、自治区和地区有关公路交通运输、涉外道路运输的方针、政策、法规、规定并组织实施和监督检查；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（2）拟订编制全县公路交通运输建设发展规划，制定公路交通运输战略规划以及科技、中长期计划和年度计划并组织实施；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负责县、乡公路（农村公路）以及专用公路的建设、管理和养护；负责农村公路路政综合管理，依法保护公路路产、路权；负责农村公路安保工作和车辆超限超载治理工作；指导、检查、考核管辖范围内县道、乡道的建设、管理和养护工作；协调有关部门做好公路环保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（4）负责指导交通运输市场和交通基础设施建设市场，建立完善信息、服务体系，引导交通运输优化结构，协调发展；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承担全县道路运输市场监管职责。负责公路运输经济及技术管理；指导车辆维修、营运车辆综合性能检测、机动车驾驶员培训等工作行业管理；指导城乡客运及有关设施规划管理工作；指导出租汽车行业管理；指导交通运输行业安全生产和应急管理工作；指导国际道路运输管理与对外交流工作；按规定组织协调全县重点物资和紧急客货运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指导全县交通运输行业体制改革，引导交通运输行业优化结构、协调发展；会同有关部门培育和管理交通运输市场和交通基础设施建设市场、维护全县交通运输行业的平等竞争秩序；负责对交通运输行业单位国有资产的管理和保值增值的监督；指导全县交通运输行业环境保护和节能减排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（7）承担全县农村公路建设市场监管职能；组织协调公路交通重点工程建设和工程质量、安全生产监督管理；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（8）指导公路交通运输行业财务、审计、统计工作；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（9）指导交通运输行业精神文明建设及交通运输文化建设，组织指导交通行业从业人员的培训、教育等工作，会同有关部门管理全县公路交通运输安全生产及治安保卫、法制宣传和交通行政复议工作；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（10）负责全县交通战备工作；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（11）承办县委、县政府交办的其他事项。</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3.项目内容</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（1）项目主要内容</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92" w:name="_Toc14960"/>
      <w:r>
        <w:rPr>
          <w:rFonts w:hint="eastAsia" w:ascii="仿宋_GB2312" w:hAnsi="仿宋_GB2312" w:eastAsia="仿宋_GB2312" w:cs="仿宋_GB2312"/>
          <w:color w:val="auto"/>
          <w:sz w:val="32"/>
          <w:lang w:val="en-US" w:eastAsia="zh-CN"/>
        </w:rPr>
        <w:t>本项目主要支持符合要求的节能与新能源公交车运营使用，计划对1家城乡公交有限公司发放油价补贴，补贴公交车辆17辆，符合营运补助要求的公交年度补助标准为6万元/辆，项目的实施推动新能源公交车规模化推广应用，促进公交行业减排，为大气污染防治做出贡献，有效减轻企业运行负担，推动运输服务高质量发展。</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（2）项目实施情况</w:t>
      </w:r>
      <w:bookmarkEnd w:id="92"/>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截止绩效自评日，已对1家城乡公交有限公司发放油价补贴，按照6万元/辆的标准补贴公交车辆17辆，项目的实施推动了新能源公交车规模化推广应用，促进公交行业减排，为大气污染防治做出贡献，有效减轻了企业运行负担，推动了运输服务高质量发展，城乡公交公司满意度达到了95%。</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4.</w:t>
      </w:r>
      <w:r>
        <w:rPr>
          <w:rFonts w:hint="eastAsia" w:ascii="仿宋_GB2312" w:hAnsi="仿宋_GB2312" w:eastAsia="仿宋_GB2312" w:cs="仿宋_GB2312"/>
          <w:b/>
          <w:bCs w:val="0"/>
          <w:color w:val="auto"/>
          <w:sz w:val="32"/>
          <w:szCs w:val="32"/>
        </w:rPr>
        <w:t>立项依据</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lang w:val="en-US" w:eastAsia="zh-CN"/>
        </w:rPr>
        <w:t>该项目依据《关于提前下达农村客运等行业成品油价改革财政补贴资金的通知》，关于印发《喀什地区2021年农村客运等行业成品油价格改革财政补贴资金分配方案》安排疏附县交通运输局实施2022年度新能源公交购置补助资金项目，资金投入共计102.00万元，资金来源为自治区专项资金</w:t>
      </w:r>
      <w:r>
        <w:rPr>
          <w:rFonts w:hint="eastAsia" w:ascii="仿宋_GB2312" w:hAnsi="仿宋_GB2312" w:eastAsia="仿宋_GB2312" w:cs="仿宋_GB2312"/>
          <w:color w:val="auto"/>
          <w:sz w:val="32"/>
          <w:lang w:eastAsia="zh-CN"/>
        </w:rPr>
        <w:t>。</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方正楷体_GBK" w:hAnsi="方正楷体_GBK" w:eastAsia="方正楷体_GBK" w:cs="方正楷体_GBK"/>
          <w:b/>
          <w:bCs/>
          <w:color w:val="auto"/>
          <w:sz w:val="32"/>
          <w:szCs w:val="32"/>
        </w:rPr>
      </w:pPr>
      <w:bookmarkStart w:id="93" w:name="_Toc17517"/>
      <w:bookmarkStart w:id="94" w:name="_Toc32422"/>
      <w:bookmarkStart w:id="95" w:name="_Toc31525"/>
      <w:bookmarkStart w:id="96" w:name="_Toc31516"/>
      <w:r>
        <w:rPr>
          <w:rFonts w:hint="eastAsia" w:ascii="方正楷体_GBK" w:hAnsi="方正楷体_GBK" w:eastAsia="方正楷体_GBK" w:cs="方正楷体_GBK"/>
          <w:b/>
          <w:bCs/>
          <w:color w:val="auto"/>
          <w:sz w:val="32"/>
          <w:szCs w:val="32"/>
        </w:rPr>
        <w:t>（二）项目资金情况</w:t>
      </w:r>
      <w:bookmarkEnd w:id="93"/>
      <w:bookmarkEnd w:id="94"/>
      <w:bookmarkEnd w:id="95"/>
      <w:bookmarkEnd w:id="96"/>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1.项目资金预算及来源</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该</w:t>
      </w:r>
      <w:r>
        <w:rPr>
          <w:rFonts w:hint="eastAsia" w:ascii="仿宋_GB2312" w:hAnsi="仿宋_GB2312" w:eastAsia="仿宋_GB2312" w:cs="仿宋_GB2312"/>
          <w:color w:val="auto"/>
          <w:sz w:val="32"/>
        </w:rPr>
        <w:t>项目</w:t>
      </w:r>
      <w:r>
        <w:rPr>
          <w:rFonts w:hint="eastAsia" w:ascii="仿宋_GB2312" w:hAnsi="仿宋_GB2312" w:eastAsia="仿宋_GB2312" w:cs="仿宋_GB2312"/>
          <w:color w:val="auto"/>
          <w:sz w:val="32"/>
          <w:lang w:val="en-US" w:eastAsia="zh-CN"/>
        </w:rPr>
        <w:t>调整后预算资金为102.00</w:t>
      </w:r>
      <w:r>
        <w:rPr>
          <w:rFonts w:hint="eastAsia" w:ascii="仿宋_GB2312" w:hAnsi="仿宋_GB2312" w:eastAsia="仿宋_GB2312" w:cs="仿宋_GB2312"/>
          <w:color w:val="auto"/>
          <w:sz w:val="32"/>
        </w:rPr>
        <w:t>万元，资金来源为：</w:t>
      </w:r>
      <w:r>
        <w:rPr>
          <w:rFonts w:hint="eastAsia" w:ascii="仿宋_GB2312" w:hAnsi="仿宋_GB2312" w:eastAsia="仿宋_GB2312" w:cs="仿宋_GB2312"/>
          <w:color w:val="auto"/>
          <w:sz w:val="32"/>
          <w:lang w:val="en-US" w:eastAsia="zh-CN"/>
        </w:rPr>
        <w:t>自治区专项资金。</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2.预算执行及结果</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lang w:val="en-US" w:eastAsia="zh-CN"/>
        </w:rPr>
        <w:t>该项目预算资金102.00万元，</w:t>
      </w:r>
      <w:r>
        <w:rPr>
          <w:rFonts w:hint="eastAsia" w:ascii="仿宋_GB2312" w:hAnsi="仿宋_GB2312" w:eastAsia="仿宋_GB2312" w:cs="仿宋_GB2312"/>
          <w:color w:val="auto"/>
          <w:sz w:val="32"/>
        </w:rPr>
        <w:t>实际支付资金</w:t>
      </w:r>
      <w:r>
        <w:rPr>
          <w:rFonts w:hint="eastAsia" w:ascii="仿宋_GB2312" w:hAnsi="仿宋_GB2312" w:eastAsia="仿宋_GB2312" w:cs="仿宋_GB2312"/>
          <w:color w:val="auto"/>
          <w:sz w:val="32"/>
          <w:lang w:val="en-US" w:eastAsia="zh-CN"/>
        </w:rPr>
        <w:t>为102.00</w:t>
      </w:r>
      <w:r>
        <w:rPr>
          <w:rFonts w:hint="eastAsia" w:ascii="仿宋_GB2312" w:hAnsi="仿宋_GB2312" w:eastAsia="仿宋_GB2312" w:cs="仿宋_GB2312"/>
          <w:color w:val="auto"/>
          <w:sz w:val="32"/>
        </w:rPr>
        <w:t>万元，预算执行率</w:t>
      </w:r>
      <w:r>
        <w:rPr>
          <w:rFonts w:hint="eastAsia" w:ascii="仿宋_GB2312" w:hAnsi="仿宋_GB2312" w:eastAsia="仿宋_GB2312" w:cs="仿宋_GB2312"/>
          <w:color w:val="auto"/>
          <w:sz w:val="32"/>
          <w:lang w:val="en-US" w:eastAsia="zh-CN"/>
        </w:rPr>
        <w:t>100%</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该</w:t>
      </w:r>
      <w:r>
        <w:rPr>
          <w:rFonts w:hint="eastAsia" w:ascii="仿宋_GB2312" w:hAnsi="仿宋_GB2312" w:eastAsia="仿宋_GB2312" w:cs="仿宋_GB2312"/>
          <w:color w:val="auto"/>
          <w:sz w:val="32"/>
        </w:rPr>
        <w:t>项目资金主要用于</w:t>
      </w:r>
      <w:bookmarkStart w:id="97" w:name="_Toc21271"/>
      <w:bookmarkStart w:id="98" w:name="_Toc3876"/>
      <w:bookmarkStart w:id="99" w:name="_Toc25645"/>
      <w:r>
        <w:rPr>
          <w:rFonts w:hint="eastAsia" w:ascii="仿宋_GB2312" w:hAnsi="仿宋_GB2312" w:eastAsia="仿宋_GB2312" w:cs="仿宋_GB2312"/>
          <w:color w:val="auto"/>
          <w:sz w:val="32"/>
        </w:rPr>
        <w:t>对1家城乡公交有限公司发放油价补贴，补贴公交车辆17辆，符合营运补助要求的公交年度补助标准为6万元/辆</w:t>
      </w:r>
      <w:r>
        <w:rPr>
          <w:rFonts w:hint="eastAsia" w:ascii="仿宋_GB2312" w:hAnsi="仿宋_GB2312" w:eastAsia="仿宋_GB2312" w:cs="仿宋_GB2312"/>
          <w:color w:val="auto"/>
          <w:sz w:val="32"/>
          <w:lang w:eastAsia="zh-CN"/>
        </w:rPr>
        <w:t>。</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Times New Roman" w:hAnsi="Times New Roman" w:eastAsia="仿宋_GB2312" w:cs="宋体"/>
          <w:b/>
          <w:bCs/>
          <w:color w:val="auto"/>
          <w:sz w:val="32"/>
          <w:szCs w:val="32"/>
          <w:highlight w:val="none"/>
          <w:lang w:eastAsia="zh-CN"/>
        </w:rPr>
      </w:pPr>
      <w:bookmarkStart w:id="100" w:name="_Toc20832"/>
      <w:r>
        <w:rPr>
          <w:rFonts w:hint="eastAsia" w:ascii="Times New Roman" w:hAnsi="Times New Roman" w:eastAsia="仿宋_GB2312" w:cs="宋体"/>
          <w:b/>
          <w:bCs/>
          <w:color w:val="auto"/>
          <w:sz w:val="32"/>
          <w:szCs w:val="32"/>
          <w:highlight w:val="none"/>
        </w:rPr>
        <w:t>（三）绩效目标设置情况</w:t>
      </w:r>
      <w:bookmarkEnd w:id="97"/>
      <w:bookmarkEnd w:id="98"/>
      <w:bookmarkEnd w:id="99"/>
      <w:bookmarkEnd w:id="100"/>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bookmarkStart w:id="101" w:name="_Toc8400"/>
      <w:bookmarkStart w:id="102" w:name="_Toc1757"/>
      <w:bookmarkStart w:id="103" w:name="_Toc26467"/>
      <w:r>
        <w:rPr>
          <w:rFonts w:hint="eastAsia" w:ascii="仿宋_GB2312" w:hAnsi="仿宋_GB2312" w:eastAsia="仿宋_GB2312" w:cs="仿宋_GB2312"/>
          <w:color w:val="auto"/>
          <w:sz w:val="32"/>
          <w:lang w:val="en-US" w:eastAsia="zh-CN"/>
        </w:rPr>
        <w:t>该项目共设立一级指标3个，二级指标7个，三级指标10个，</w:t>
      </w:r>
      <w:r>
        <w:rPr>
          <w:rFonts w:hint="eastAsia" w:ascii="仿宋_GB2312" w:hAnsi="仿宋_GB2312" w:eastAsia="仿宋_GB2312" w:cs="仿宋_GB2312"/>
          <w:color w:val="auto"/>
          <w:sz w:val="32"/>
        </w:rPr>
        <w:t>指标量化率</w:t>
      </w:r>
      <w:r>
        <w:rPr>
          <w:rFonts w:hint="eastAsia" w:ascii="仿宋_GB2312" w:hAnsi="仿宋_GB2312" w:eastAsia="仿宋_GB2312" w:cs="仿宋_GB2312"/>
          <w:color w:val="auto"/>
          <w:sz w:val="32"/>
          <w:lang w:val="en-US" w:eastAsia="zh-CN"/>
        </w:rPr>
        <w:t>70</w:t>
      </w:r>
      <w:r>
        <w:rPr>
          <w:rFonts w:hint="eastAsia" w:ascii="仿宋_GB2312" w:hAnsi="仿宋_GB2312" w:eastAsia="仿宋_GB2312" w:cs="仿宋_GB2312"/>
          <w:color w:val="auto"/>
          <w:sz w:val="32"/>
        </w:rPr>
        <w:t>%。绩效目标明确了项目产出数量和预期达到的效果，绩效目标指标制定明确、细化、量化。整体来看，目标设立合理清晰</w:t>
      </w:r>
      <w:r>
        <w:rPr>
          <w:rFonts w:hint="eastAsia" w:ascii="仿宋_GB2312" w:hAnsi="仿宋_GB2312" w:eastAsia="仿宋_GB2312" w:cs="仿宋_GB2312"/>
          <w:color w:val="auto"/>
          <w:sz w:val="32"/>
          <w:lang w:eastAsia="zh-CN"/>
        </w:rPr>
        <w:t>：</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1.年度总目标</w:t>
      </w:r>
    </w:p>
    <w:p>
      <w:pPr>
        <w:pStyle w:val="8"/>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24"/>
          <w:lang w:val="en-US" w:eastAsia="zh-CN" w:bidi="ar-SA"/>
        </w:rPr>
        <w:t>本项目主要支持符合要求的节能与新能源公交车运营使用，计划对1家城乡公交有限公司发放油价补贴，补贴公交车辆17辆，符合营运补助要求的公交年度补助标准为6万元/辆，项目的实施推动新能源公交车规模化推广应用，促进公交行业减排，为大气污染防治做出贡献，有效减轻企业运行负担，推动运输服务高质量发展，城乡公交公司满意度预计能达到95%。</w:t>
      </w:r>
      <w:r>
        <w:rPr>
          <w:rFonts w:hint="eastAsia" w:ascii="Times New Roman" w:hAnsi="Times New Roman" w:eastAsia="仿宋_GB2312" w:cs="仿宋_GB2312"/>
          <w:color w:val="auto"/>
          <w:kern w:val="2"/>
          <w:sz w:val="32"/>
          <w:szCs w:val="32"/>
          <w:highlight w:val="none"/>
          <w:lang w:val="en-US" w:eastAsia="zh-CN" w:bidi="ar-SA"/>
        </w:rPr>
        <w:t xml:space="preserve">        </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2.阶段性绩效目标。</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该项目依据财政部印发《项目支出绩效评价管理办法》文件要求，为了规范和加强疏附县2022年度新能源公交购置补助资金项目资金的管理，提高资金使用效益；制定了《疏附县交通运输局疏附县2022年度新能源公交购置补助资金项目实施方案》，结合该项目实际情况，设置的阶段性目标如下：</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（1）产出指标：</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default"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该项目计划对1家城乡公交有限公司发放油价补贴，补贴公交车辆17辆，申请运营补助车辆的合规比例，城乡公交补贴覆盖率，补贴资金发放及时率均为100%，项目完成时间为2022年5月31日，符合营运补助要求的公交年度补助标准为6万元/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（2）效益指标：</w:t>
      </w:r>
    </w:p>
    <w:p>
      <w:pPr>
        <w:pStyle w:val="31"/>
        <w:pageBreakBefore w:val="0"/>
        <w:tabs>
          <w:tab w:val="left" w:pos="1559"/>
        </w:tabs>
        <w:kinsoku/>
        <w:wordWrap/>
        <w:overflowPunct/>
        <w:topLinePunct w:val="0"/>
        <w:autoSpaceDE/>
        <w:autoSpaceDN/>
        <w:bidi w:val="0"/>
        <w:adjustRightInd w:val="0"/>
        <w:snapToGrid w:val="0"/>
        <w:spacing w:line="560" w:lineRule="exact"/>
        <w:ind w:firstLine="640" w:firstLineChars="200"/>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项目的实施推动新能源公交车规模化推广应用，促进公交行业减排，为大气污染防治做出贡献，有效减轻企业运行负担，推动运输服务高质量发展。</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（3）满意度指标：</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lang w:val="en-US" w:eastAsia="zh-CN"/>
        </w:rPr>
        <w:t>城乡公交公司满意度大于等于95%。</w:t>
      </w:r>
    </w:p>
    <w:bookmarkEnd w:id="101"/>
    <w:bookmarkEnd w:id="102"/>
    <w:bookmarkEnd w:id="103"/>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rPr>
      </w:pPr>
      <w:bookmarkStart w:id="104" w:name="_Toc12234"/>
      <w:bookmarkStart w:id="105" w:name="_Toc14767"/>
      <w:bookmarkStart w:id="106" w:name="_Toc18230"/>
      <w:bookmarkStart w:id="107" w:name="_Toc7530"/>
      <w:r>
        <w:rPr>
          <w:rFonts w:hint="eastAsia" w:ascii="方正黑体_GBK" w:hAnsi="方正黑体_GBK" w:eastAsia="方正黑体_GBK" w:cs="方正黑体_GBK"/>
          <w:color w:val="auto"/>
          <w:sz w:val="32"/>
          <w:szCs w:val="32"/>
        </w:rPr>
        <w:t>二、评价工作简述</w:t>
      </w:r>
      <w:bookmarkEnd w:id="104"/>
      <w:bookmarkEnd w:id="105"/>
      <w:bookmarkEnd w:id="106"/>
      <w:bookmarkEnd w:id="107"/>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08" w:name="_Toc3416"/>
      <w:bookmarkStart w:id="109" w:name="_Toc7630"/>
      <w:bookmarkStart w:id="110" w:name="_Toc19614"/>
      <w:r>
        <w:rPr>
          <w:rFonts w:hint="eastAsia" w:ascii="仿宋_GB2312" w:hAnsi="仿宋_GB2312" w:eastAsia="仿宋_GB2312" w:cs="仿宋_GB2312"/>
          <w:color w:val="auto"/>
          <w:sz w:val="32"/>
          <w:lang w:val="en-US" w:eastAsia="zh-CN"/>
        </w:rPr>
        <w:t>受疏附县财政局委托，中瑞诚会计师事务所（特殊普通合伙）喀什分所（以下简称“评价机构”）承担疏附县2022年度新能源公交购置补助资金项目绩效评价工作。为更好地保障绩效评价工作的顺利实施，根据财政部颁发的《项目支出绩效评价管理办法》、新疆维吾尔自治区财政厅颁发的《自治区财政支出绩效评价管理暂行办法》等文件规定，评价机构成立绩效评价工作组（以下简称“评价工作组”）对资金投入、使用和效益等方面进行了绩效评价。</w:t>
      </w:r>
      <w:bookmarkEnd w:id="108"/>
      <w:bookmarkEnd w:id="109"/>
      <w:bookmarkEnd w:id="110"/>
    </w:p>
    <w:p>
      <w:pPr>
        <w:pStyle w:val="31"/>
        <w:keepNext w:val="0"/>
        <w:keepLines w:val="0"/>
        <w:pageBreakBefore w:val="0"/>
        <w:numPr>
          <w:ilvl w:val="0"/>
          <w:numId w:val="3"/>
        </w:numPr>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1" w:name="_Toc20453"/>
      <w:bookmarkStart w:id="112" w:name="_Toc998"/>
      <w:bookmarkStart w:id="113" w:name="_Toc24504"/>
      <w:bookmarkStart w:id="114" w:name="_Toc6354"/>
      <w:r>
        <w:rPr>
          <w:rFonts w:hint="eastAsia" w:ascii="方正楷体_GBK" w:hAnsi="方正楷体_GBK" w:eastAsia="方正楷体_GBK" w:cs="方正楷体_GBK"/>
          <w:b/>
          <w:bCs/>
          <w:color w:val="auto"/>
          <w:sz w:val="32"/>
          <w:szCs w:val="32"/>
        </w:rPr>
        <w:t>（一）评价目的</w:t>
      </w:r>
      <w:bookmarkEnd w:id="111"/>
      <w:bookmarkEnd w:id="112"/>
      <w:bookmarkEnd w:id="113"/>
      <w:bookmarkEnd w:id="114"/>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rPr>
      </w:pPr>
      <w:bookmarkStart w:id="115" w:name="_Toc25637"/>
      <w:bookmarkStart w:id="116" w:name="_Toc12051"/>
      <w:bookmarkStart w:id="117" w:name="_Toc25261"/>
      <w:bookmarkStart w:id="118" w:name="_Toc18186"/>
      <w:bookmarkStart w:id="119" w:name="_Toc12255"/>
      <w:bookmarkStart w:id="120" w:name="_Toc8215"/>
      <w:bookmarkStart w:id="121" w:name="_Toc11346"/>
      <w:r>
        <w:rPr>
          <w:rFonts w:hint="eastAsia" w:ascii="仿宋_GB2312" w:hAnsi="仿宋_GB2312" w:eastAsia="仿宋_GB2312" w:cs="仿宋_GB2312"/>
          <w:color w:val="auto"/>
          <w:sz w:val="32"/>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w:t>
      </w:r>
      <w:r>
        <w:rPr>
          <w:rFonts w:hint="eastAsia" w:ascii="仿宋_GB2312" w:hAnsi="仿宋_GB2312" w:eastAsia="仿宋_GB2312" w:cs="仿宋_GB2312"/>
          <w:color w:val="auto"/>
          <w:sz w:val="32"/>
          <w:lang w:eastAsia="zh-CN"/>
        </w:rPr>
        <w:t>财政资金</w:t>
      </w:r>
      <w:r>
        <w:rPr>
          <w:rFonts w:hint="eastAsia" w:ascii="仿宋_GB2312" w:hAnsi="仿宋_GB2312" w:eastAsia="仿宋_GB2312" w:cs="仿宋_GB2312"/>
          <w:color w:val="auto"/>
          <w:sz w:val="32"/>
        </w:rPr>
        <w:t>项目绩效管理，提高</w:t>
      </w:r>
      <w:r>
        <w:rPr>
          <w:rFonts w:hint="eastAsia" w:ascii="仿宋_GB2312" w:hAnsi="仿宋_GB2312" w:eastAsia="仿宋_GB2312" w:cs="仿宋_GB2312"/>
          <w:color w:val="auto"/>
          <w:sz w:val="32"/>
          <w:lang w:eastAsia="zh-CN"/>
        </w:rPr>
        <w:t>财政资金</w:t>
      </w:r>
      <w:r>
        <w:rPr>
          <w:rFonts w:hint="eastAsia" w:ascii="仿宋_GB2312" w:hAnsi="仿宋_GB2312" w:eastAsia="仿宋_GB2312" w:cs="仿宋_GB2312"/>
          <w:color w:val="auto"/>
          <w:sz w:val="32"/>
        </w:rPr>
        <w:t>使用效益。</w:t>
      </w:r>
      <w:bookmarkEnd w:id="115"/>
      <w:bookmarkEnd w:id="116"/>
      <w:bookmarkEnd w:id="117"/>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rPr>
      </w:pPr>
      <w:bookmarkStart w:id="122" w:name="_Toc22459"/>
      <w:bookmarkStart w:id="123" w:name="_Toc7618"/>
      <w:bookmarkStart w:id="124" w:name="_Toc24812"/>
      <w:r>
        <w:rPr>
          <w:rFonts w:hint="eastAsia" w:ascii="仿宋_GB2312" w:hAnsi="仿宋_GB2312" w:eastAsia="仿宋_GB2312" w:cs="仿宋_GB2312"/>
          <w:color w:val="auto"/>
          <w:sz w:val="32"/>
        </w:rPr>
        <w:t>绩效评价旨在通过评价改善预算部门的财政支出管理，优化资源配置及提高公共服务水平。为全面了解该项目资金安排的科学性、预算编制合理性、资金使用合规性、规范性和使用效益、项目目标的实现情况、服务对象的满意度等。通过本次部门绩效评价来了解和掌握</w:t>
      </w:r>
      <w:r>
        <w:rPr>
          <w:rFonts w:hint="eastAsia" w:ascii="仿宋_GB2312" w:hAnsi="仿宋_GB2312" w:eastAsia="仿宋_GB2312" w:cs="仿宋_GB2312"/>
          <w:color w:val="auto"/>
          <w:sz w:val="32"/>
          <w:lang w:eastAsia="zh-CN"/>
        </w:rPr>
        <w:t>疏附县2022年度新能源公交购置补助资金项目</w:t>
      </w:r>
      <w:r>
        <w:rPr>
          <w:rFonts w:hint="eastAsia" w:ascii="仿宋_GB2312" w:hAnsi="仿宋_GB2312" w:eastAsia="仿宋_GB2312" w:cs="仿宋_GB2312"/>
          <w:color w:val="auto"/>
          <w:sz w:val="32"/>
        </w:rPr>
        <w:t>实施的具体情况，总结项目管理经验，促进项目成果转化和应用、完善项目管理办法、提高项目管理水平和资金使用效益。</w:t>
      </w:r>
      <w:r>
        <w:rPr>
          <w:rFonts w:hint="eastAsia" w:ascii="仿宋_GB2312" w:hAnsi="仿宋_GB2312" w:eastAsia="仿宋_GB2312" w:cs="仿宋_GB2312"/>
          <w:color w:val="auto"/>
          <w:sz w:val="32"/>
          <w:lang w:val="en-US" w:eastAsia="zh-CN"/>
        </w:rPr>
        <w:t>疏附县交通运输局</w:t>
      </w:r>
      <w:r>
        <w:rPr>
          <w:rFonts w:hint="eastAsia" w:ascii="仿宋_GB2312" w:hAnsi="仿宋_GB2312" w:eastAsia="仿宋_GB2312" w:cs="仿宋_GB2312"/>
          <w:color w:val="auto"/>
          <w:sz w:val="32"/>
        </w:rPr>
        <w:t>可根据绩效评价中发现的问题，调整工作计划，完善绩效目标，加强项目管理，提高管理水平，同时为项目后续资金投入、分配和管理提供决策依据。为今后类似项目的绩效管理，提供可行性参考建议。</w:t>
      </w:r>
      <w:bookmarkEnd w:id="122"/>
      <w:bookmarkEnd w:id="123"/>
      <w:bookmarkEnd w:id="124"/>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25" w:name="_Toc1362"/>
      <w:r>
        <w:rPr>
          <w:rFonts w:hint="eastAsia" w:ascii="方正楷体_GBK" w:hAnsi="方正楷体_GBK" w:eastAsia="方正楷体_GBK" w:cs="方正楷体_GBK"/>
          <w:b/>
          <w:bCs/>
          <w:color w:val="auto"/>
          <w:sz w:val="32"/>
          <w:szCs w:val="32"/>
        </w:rPr>
        <w:t>（二）绩效评价工作</w:t>
      </w:r>
      <w:r>
        <w:rPr>
          <w:rFonts w:hint="eastAsia" w:ascii="方正楷体_GBK" w:hAnsi="方正楷体_GBK" w:eastAsia="方正楷体_GBK" w:cs="方正楷体_GBK"/>
          <w:b/>
          <w:bCs/>
          <w:color w:val="auto"/>
          <w:sz w:val="32"/>
          <w:szCs w:val="32"/>
          <w:lang w:val="en-US" w:eastAsia="zh-CN"/>
        </w:rPr>
        <w:t>的基本</w:t>
      </w:r>
      <w:r>
        <w:rPr>
          <w:rFonts w:hint="eastAsia" w:ascii="方正楷体_GBK" w:hAnsi="方正楷体_GBK" w:eastAsia="方正楷体_GBK" w:cs="方正楷体_GBK"/>
          <w:b/>
          <w:bCs/>
          <w:color w:val="auto"/>
          <w:sz w:val="32"/>
          <w:szCs w:val="32"/>
        </w:rPr>
        <w:t>思路</w:t>
      </w:r>
      <w:bookmarkEnd w:id="118"/>
      <w:bookmarkEnd w:id="119"/>
      <w:bookmarkEnd w:id="120"/>
      <w:bookmarkEnd w:id="121"/>
      <w:bookmarkEnd w:id="125"/>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26" w:name="_Toc27493321"/>
      <w:bookmarkStart w:id="127" w:name="_Toc27648031"/>
      <w:bookmarkStart w:id="128" w:name="_Toc27651416"/>
      <w:bookmarkStart w:id="129" w:name="_Toc7209"/>
      <w:bookmarkStart w:id="130" w:name="_Toc14072"/>
      <w:r>
        <w:rPr>
          <w:rFonts w:hint="eastAsia" w:ascii="仿宋_GB2312" w:hAnsi="仿宋_GB2312" w:eastAsia="仿宋_GB2312" w:cs="仿宋_GB2312"/>
          <w:color w:val="auto"/>
          <w:sz w:val="32"/>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为疏附县2022年度新能源公交购置补助资金项目（102.00万元），评价核心为该项目资金的支出情况和效果。</w:t>
      </w:r>
      <w:bookmarkEnd w:id="126"/>
      <w:bookmarkEnd w:id="127"/>
      <w:bookmarkEnd w:id="128"/>
      <w:bookmarkEnd w:id="129"/>
      <w:bookmarkEnd w:id="130"/>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131" w:name="_Toc7165"/>
      <w:bookmarkStart w:id="132" w:name="_Toc20513"/>
      <w:bookmarkStart w:id="133" w:name="_Toc4586"/>
      <w:bookmarkStart w:id="134" w:name="_Toc18843"/>
      <w:r>
        <w:rPr>
          <w:rFonts w:hint="eastAsia" w:ascii="方正楷体_GBK" w:hAnsi="方正楷体_GBK" w:eastAsia="方正楷体_GBK" w:cs="方正楷体_GBK"/>
          <w:b/>
          <w:bCs/>
          <w:color w:val="auto"/>
          <w:sz w:val="32"/>
          <w:szCs w:val="32"/>
        </w:rPr>
        <w:t>（三）评价原则</w:t>
      </w:r>
      <w:bookmarkEnd w:id="131"/>
      <w:bookmarkEnd w:id="132"/>
      <w:bookmarkEnd w:id="133"/>
      <w:bookmarkEnd w:id="134"/>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35" w:name="_Toc11008"/>
      <w:bookmarkStart w:id="136" w:name="_Toc31085"/>
      <w:bookmarkStart w:id="137" w:name="_Toc15197"/>
      <w:r>
        <w:rPr>
          <w:rFonts w:hint="eastAsia" w:ascii="仿宋_GB2312" w:hAnsi="仿宋_GB2312" w:eastAsia="仿宋_GB2312" w:cs="仿宋_GB2312"/>
          <w:color w:val="auto"/>
          <w:sz w:val="32"/>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（1）科学公正、科学规范原则。绩效评价应当运用科学合理的方法，按照规范的程序，对项目绩效进行客观、公正的反映，按照科学可行的要求，采用定量与定性分析相结合的方法。</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（2）分级分类原则。我单位根据“谁支出、谁自评”的原则，根据评价对象的特点分类组织实施绩效评价工作，与相关单位职责明确，各有侧重，相互衔接。</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（3）绩效相关原则。我单位绩效评价针对具体投入及其产出绩效进行，评价结果清晰反映了支出和产出绩效之间的紧密对应关系。</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（4）公正公开、透明原则。绩效评价结果应当符合真实、客观、公正的要求，依法依规公开，并自觉接受社会监督。</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根据以上原则，绩效评价应遵循如下要求：</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（1）在数据采集时，采取客观数据，主管部门审查、社会中介组织复查，与问卷调查相结合的形式，以保证各项指标的真实性。</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（2）保证评价结果的真实性、公正性，提高评价报告的公信力。</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（3）绩效评价报告应当简明扼要，除了对绩效评价的过程、结果描述外，还应总结经验，指出问题，并就共性问题提出可操作性改进建议。</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38" w:name="_Toc30554"/>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四</w:t>
      </w:r>
      <w:r>
        <w:rPr>
          <w:rFonts w:hint="eastAsia" w:ascii="方正楷体_GBK" w:hAnsi="方正楷体_GBK" w:eastAsia="方正楷体_GBK" w:cs="方正楷体_GBK"/>
          <w:b/>
          <w:bCs/>
          <w:color w:val="auto"/>
          <w:sz w:val="32"/>
          <w:szCs w:val="32"/>
        </w:rPr>
        <w:t>）评价方法</w:t>
      </w:r>
      <w:bookmarkEnd w:id="135"/>
      <w:bookmarkEnd w:id="136"/>
      <w:bookmarkEnd w:id="137"/>
      <w:bookmarkEnd w:id="138"/>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39" w:name="_Toc12256"/>
      <w:bookmarkStart w:id="140" w:name="_Toc7006"/>
      <w:bookmarkStart w:id="141" w:name="_Toc21360"/>
      <w:r>
        <w:rPr>
          <w:rFonts w:hint="eastAsia" w:ascii="仿宋_GB2312" w:hAnsi="仿宋_GB2312" w:eastAsia="仿宋_GB2312" w:cs="仿宋_GB2312"/>
          <w:color w:val="auto"/>
          <w:sz w:val="32"/>
          <w:lang w:val="en-US" w:eastAsia="zh-CN"/>
        </w:rPr>
        <w:t>根据评价对象的具体情况，本项目使用了成本效益分析法（是指将投入与产出、效益进行关联性分析的方法）、比较法（是指将实施情况与绩效目标、历史情况、不同部门和地区同类支出情况进行比较的方法）、最低成本法（是指在绩效目标明确的前提下，成本最小为优的方法）、公众评判法（是指通过专家评估、公众问卷及抽样调查等方式进行评判的方法）等。</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42" w:name="_Toc12502"/>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lang w:val="en-US" w:eastAsia="zh-CN"/>
        </w:rPr>
        <w:t>五</w:t>
      </w:r>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rPr>
        <w:t>指标体系</w:t>
      </w:r>
      <w:bookmarkEnd w:id="139"/>
      <w:bookmarkEnd w:id="140"/>
      <w:bookmarkEnd w:id="141"/>
      <w:bookmarkEnd w:id="142"/>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43" w:name="_Toc25751"/>
      <w:bookmarkStart w:id="144" w:name="_Toc2822"/>
      <w:bookmarkStart w:id="145" w:name="_Toc25425"/>
      <w:bookmarkStart w:id="146" w:name="_Toc11000"/>
      <w:bookmarkStart w:id="147" w:name="_Toc15825"/>
      <w:bookmarkStart w:id="148" w:name="_Toc19607"/>
      <w:bookmarkStart w:id="149" w:name="_Toc16367"/>
      <w:r>
        <w:rPr>
          <w:rFonts w:hint="eastAsia" w:ascii="仿宋_GB2312" w:hAnsi="仿宋_GB2312" w:eastAsia="仿宋_GB2312" w:cs="仿宋_GB2312"/>
          <w:color w:val="auto"/>
          <w:sz w:val="32"/>
          <w:lang w:val="en-US" w:eastAsia="zh-CN"/>
        </w:rPr>
        <w:t>绩效评价指标体系根据《关于印发&lt;项目支出绩效评价管理办法&gt;的通知》等文件精神，结合专项特点，在与专家组、项目充分协商的基础上，评价工作组细化了该项目的绩效评价指标体系（详见附表一）：</w:t>
      </w:r>
      <w:bookmarkEnd w:id="143"/>
      <w:bookmarkEnd w:id="144"/>
      <w:bookmarkEnd w:id="145"/>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50" w:name="_Toc8167"/>
      <w:bookmarkStart w:id="151" w:name="_Toc10377"/>
      <w:bookmarkStart w:id="152" w:name="_Toc3778"/>
      <w:r>
        <w:rPr>
          <w:rFonts w:hint="eastAsia" w:ascii="仿宋_GB2312" w:hAnsi="仿宋_GB2312" w:eastAsia="仿宋_GB2312" w:cs="仿宋_GB2312"/>
          <w:color w:val="auto"/>
          <w:sz w:val="32"/>
          <w:lang w:val="en-US" w:eastAsia="zh-CN"/>
        </w:rPr>
        <w:t>一级指标为：决策、过程、产出、效益。</w:t>
      </w:r>
      <w:bookmarkEnd w:id="150"/>
      <w:bookmarkEnd w:id="151"/>
      <w:bookmarkEnd w:id="152"/>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53" w:name="_Toc12914"/>
      <w:bookmarkStart w:id="154" w:name="_Toc27742"/>
      <w:bookmarkStart w:id="155" w:name="_Toc17581"/>
      <w:r>
        <w:rPr>
          <w:rFonts w:hint="eastAsia" w:ascii="仿宋_GB2312" w:hAnsi="仿宋_GB2312" w:eastAsia="仿宋_GB2312" w:cs="仿宋_GB2312"/>
          <w:color w:val="auto"/>
          <w:sz w:val="32"/>
          <w:lang w:val="en-US" w:eastAsia="zh-CN"/>
        </w:rPr>
        <w:t>二级指标为：项目立项、绩效目标、资金投入、资金管理、组织实施、产出数量、产出质量、产出时效、产出成本、项目效益。</w:t>
      </w:r>
      <w:bookmarkEnd w:id="153"/>
      <w:bookmarkEnd w:id="154"/>
      <w:bookmarkEnd w:id="155"/>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56" w:name="_Toc9974"/>
      <w:bookmarkStart w:id="157" w:name="_Toc22598"/>
      <w:bookmarkStart w:id="158" w:name="_Toc28772"/>
      <w:r>
        <w:rPr>
          <w:rFonts w:hint="eastAsia" w:ascii="仿宋_GB2312" w:hAnsi="仿宋_GB2312" w:eastAsia="仿宋_GB2312" w:cs="仿宋_GB2312"/>
          <w:color w:val="auto"/>
          <w:sz w:val="32"/>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w:t>
      </w:r>
      <w:bookmarkEnd w:id="156"/>
      <w:bookmarkEnd w:id="157"/>
      <w:bookmarkEnd w:id="158"/>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59" w:name="_Toc25991"/>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六</w:t>
      </w:r>
      <w:r>
        <w:rPr>
          <w:rFonts w:hint="eastAsia" w:ascii="方正楷体_GBK" w:hAnsi="方正楷体_GBK" w:eastAsia="方正楷体_GBK" w:cs="方正楷体_GBK"/>
          <w:b/>
          <w:bCs/>
          <w:color w:val="auto"/>
          <w:sz w:val="32"/>
          <w:szCs w:val="32"/>
        </w:rPr>
        <w:t>）评价等级划分</w:t>
      </w:r>
      <w:bookmarkEnd w:id="146"/>
      <w:bookmarkEnd w:id="147"/>
      <w:bookmarkEnd w:id="148"/>
      <w:bookmarkEnd w:id="149"/>
      <w:bookmarkEnd w:id="159"/>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60" w:name="_Toc27380"/>
      <w:bookmarkStart w:id="161" w:name="_Toc16156"/>
      <w:bookmarkStart w:id="162" w:name="_Toc11899"/>
      <w:bookmarkStart w:id="163" w:name="_Toc19917"/>
      <w:bookmarkStart w:id="164" w:name="_Toc18582"/>
      <w:bookmarkStart w:id="165" w:name="_Toc2411"/>
      <w:r>
        <w:rPr>
          <w:rFonts w:hint="eastAsia" w:ascii="仿宋_GB2312" w:hAnsi="仿宋_GB2312" w:eastAsia="仿宋_GB2312" w:cs="仿宋_GB2312"/>
          <w:color w:val="auto"/>
          <w:sz w:val="32"/>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bookmarkEnd w:id="160"/>
      <w:bookmarkEnd w:id="161"/>
      <w:bookmarkEnd w:id="162"/>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66" w:name="_Toc24116"/>
      <w:bookmarkStart w:id="167" w:name="_Toc3507"/>
      <w:bookmarkStart w:id="168" w:name="_Toc5083"/>
      <w:r>
        <w:rPr>
          <w:rFonts w:hint="eastAsia" w:ascii="仿宋_GB2312" w:hAnsi="仿宋_GB2312" w:eastAsia="仿宋_GB2312" w:cs="仿宋_GB2312"/>
          <w:color w:val="auto"/>
          <w:sz w:val="32"/>
          <w:lang w:val="en-US" w:eastAsia="zh-CN"/>
        </w:rPr>
        <w:t>优（90分（含）—100分）；</w:t>
      </w:r>
      <w:bookmarkEnd w:id="166"/>
      <w:bookmarkEnd w:id="167"/>
      <w:bookmarkEnd w:id="168"/>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69" w:name="_Toc9640"/>
      <w:bookmarkStart w:id="170" w:name="_Toc12759"/>
      <w:bookmarkStart w:id="171" w:name="_Toc30351"/>
      <w:r>
        <w:rPr>
          <w:rFonts w:hint="eastAsia" w:ascii="仿宋_GB2312" w:hAnsi="仿宋_GB2312" w:eastAsia="仿宋_GB2312" w:cs="仿宋_GB2312"/>
          <w:color w:val="auto"/>
          <w:sz w:val="32"/>
          <w:lang w:val="en-US" w:eastAsia="zh-CN"/>
        </w:rPr>
        <w:t>良（80分（含）—90分）；</w:t>
      </w:r>
      <w:bookmarkEnd w:id="169"/>
      <w:bookmarkEnd w:id="170"/>
      <w:bookmarkEnd w:id="171"/>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72" w:name="_Toc3042"/>
      <w:bookmarkStart w:id="173" w:name="_Toc23402"/>
      <w:bookmarkStart w:id="174" w:name="_Toc31971"/>
      <w:r>
        <w:rPr>
          <w:rFonts w:hint="eastAsia" w:ascii="仿宋_GB2312" w:hAnsi="仿宋_GB2312" w:eastAsia="仿宋_GB2312" w:cs="仿宋_GB2312"/>
          <w:color w:val="auto"/>
          <w:sz w:val="32"/>
          <w:lang w:val="en-US" w:eastAsia="zh-CN"/>
        </w:rPr>
        <w:t>中（70分（含）—80分）；</w:t>
      </w:r>
      <w:bookmarkEnd w:id="172"/>
      <w:bookmarkEnd w:id="173"/>
      <w:bookmarkEnd w:id="174"/>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75" w:name="_Toc22110"/>
      <w:bookmarkStart w:id="176" w:name="_Toc6686"/>
      <w:bookmarkStart w:id="177" w:name="_Toc1992"/>
      <w:r>
        <w:rPr>
          <w:rFonts w:hint="eastAsia" w:ascii="仿宋_GB2312" w:hAnsi="仿宋_GB2312" w:eastAsia="仿宋_GB2312" w:cs="仿宋_GB2312"/>
          <w:color w:val="auto"/>
          <w:sz w:val="32"/>
          <w:lang w:val="en-US" w:eastAsia="zh-CN"/>
        </w:rPr>
        <w:t>差（0分—70分）。</w:t>
      </w:r>
      <w:bookmarkEnd w:id="175"/>
      <w:bookmarkEnd w:id="176"/>
      <w:bookmarkEnd w:id="177"/>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sz w:val="32"/>
          <w:lang w:val="en-US" w:eastAsia="zh-CN"/>
        </w:rPr>
      </w:pPr>
      <w:bookmarkStart w:id="178" w:name="_Toc7603"/>
      <w:bookmarkStart w:id="179" w:name="_Toc14248"/>
      <w:bookmarkStart w:id="180" w:name="_Toc5788"/>
      <w:r>
        <w:rPr>
          <w:rFonts w:hint="eastAsia" w:ascii="仿宋_GB2312" w:hAnsi="仿宋_GB2312" w:eastAsia="仿宋_GB2312" w:cs="仿宋_GB2312"/>
          <w:color w:val="auto"/>
          <w:sz w:val="32"/>
          <w:lang w:val="en-US" w:eastAsia="zh-CN"/>
        </w:rPr>
        <w:t>对在项目进行绩效评价的过程中，如果实施单位有弄虚作假、瞒报谎报情况之行为，绩效评价组将如实上报至疏附县财政局，并予以通报批评；情节严重的，绩效评价结果将直接判定为不合格等级。</w:t>
      </w:r>
      <w:bookmarkEnd w:id="178"/>
      <w:bookmarkEnd w:id="179"/>
      <w:bookmarkEnd w:id="180"/>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81" w:name="_Toc29005"/>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七</w:t>
      </w:r>
      <w:r>
        <w:rPr>
          <w:rFonts w:hint="eastAsia" w:ascii="方正楷体_GBK" w:hAnsi="方正楷体_GBK" w:eastAsia="方正楷体_GBK" w:cs="方正楷体_GBK"/>
          <w:b/>
          <w:bCs/>
          <w:color w:val="auto"/>
          <w:sz w:val="32"/>
          <w:szCs w:val="32"/>
        </w:rPr>
        <w:t>）评价工作实施情况</w:t>
      </w:r>
      <w:bookmarkEnd w:id="163"/>
      <w:bookmarkEnd w:id="164"/>
      <w:bookmarkEnd w:id="165"/>
      <w:bookmarkEnd w:id="181"/>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bookmarkStart w:id="182" w:name="_Toc8898"/>
      <w:bookmarkStart w:id="183" w:name="_Toc12973"/>
      <w:r>
        <w:rPr>
          <w:rFonts w:hint="eastAsia" w:ascii="仿宋_GB2312" w:hAnsi="仿宋_GB2312" w:eastAsia="仿宋_GB2312" w:cs="仿宋_GB2312"/>
          <w:b/>
          <w:bCs w:val="0"/>
          <w:color w:val="auto"/>
          <w:sz w:val="32"/>
          <w:szCs w:val="32"/>
        </w:rPr>
        <w:t>1.评价工作程序和时间安排</w:t>
      </w:r>
      <w:bookmarkEnd w:id="182"/>
      <w:bookmarkEnd w:id="183"/>
    </w:p>
    <w:p>
      <w:pPr>
        <w:pStyle w:val="31"/>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color w:val="auto"/>
          <w:sz w:val="32"/>
          <w:lang w:val="en-US" w:eastAsia="zh-CN"/>
        </w:rPr>
      </w:pPr>
      <w:r>
        <w:rPr>
          <w:rFonts w:hint="eastAsia" w:ascii="仿宋_GB2312" w:hAnsi="仿宋_GB2312" w:eastAsia="仿宋_GB2312" w:cs="仿宋_GB2312"/>
          <w:color w:val="auto"/>
          <w:sz w:val="32"/>
          <w:lang w:val="en-US" w:eastAsia="zh-CN"/>
        </w:rPr>
        <w:t>本次绩效评价各阶段具体工作内容及时间进度安排详见下表：</w:t>
      </w:r>
    </w:p>
    <w:p>
      <w:pPr>
        <w:pStyle w:val="31"/>
        <w:keepNext w:val="0"/>
        <w:keepLines w:val="0"/>
        <w:pageBreakBefore w:val="0"/>
        <w:tabs>
          <w:tab w:val="left" w:pos="1559"/>
        </w:tabs>
        <w:kinsoku/>
        <w:wordWrap/>
        <w:overflowPunct/>
        <w:topLinePunct w:val="0"/>
        <w:autoSpaceDE/>
        <w:autoSpaceDN/>
        <w:bidi w:val="0"/>
        <w:adjustRightInd w:val="0"/>
        <w:snapToGrid w:val="0"/>
        <w:spacing w:line="560" w:lineRule="exact"/>
        <w:textAlignment w:val="auto"/>
        <w:outlineLvl w:val="2"/>
        <w:rPr>
          <w:rFonts w:hint="eastAsia" w:ascii="仿宋_GB2312" w:hAnsi="仿宋_GB2312" w:eastAsia="仿宋_GB2312" w:cs="仿宋_GB2312"/>
          <w:color w:val="auto"/>
          <w:sz w:val="32"/>
          <w:lang w:val="en-US" w:eastAsia="zh-CN"/>
        </w:rPr>
      </w:pPr>
    </w:p>
    <w:p>
      <w:pPr>
        <w:pStyle w:val="31"/>
        <w:spacing w:after="156" w:afterLines="50"/>
        <w:ind w:left="425" w:firstLine="0" w:firstLineChars="0"/>
        <w:jc w:val="center"/>
        <w:rPr>
          <w:rFonts w:hint="eastAsia" w:ascii="黑体" w:hAnsi="黑体" w:eastAsia="黑体" w:cs="黑体"/>
          <w:color w:val="auto"/>
          <w:sz w:val="32"/>
          <w:szCs w:val="32"/>
        </w:rPr>
      </w:pPr>
      <w:bookmarkStart w:id="184" w:name="_Toc427_WPSOffice_Level2"/>
      <w:bookmarkStart w:id="185" w:name="_Toc9542_WPSOffice_Level2"/>
      <w:r>
        <w:rPr>
          <w:rFonts w:hint="eastAsia" w:ascii="黑体" w:hAnsi="黑体" w:eastAsia="黑体" w:cs="黑体"/>
          <w:color w:val="auto"/>
          <w:sz w:val="32"/>
          <w:szCs w:val="32"/>
        </w:rPr>
        <w:t>绩效评价工作程序和时间安排表</w:t>
      </w:r>
      <w:bookmarkEnd w:id="184"/>
      <w:bookmarkEnd w:id="185"/>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5"/>
        <w:gridCol w:w="4149"/>
        <w:gridCol w:w="1957"/>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阶段</w:t>
            </w:r>
          </w:p>
          <w:p>
            <w:pPr>
              <w:adjustRightInd w:val="0"/>
              <w:snapToGrid w:val="0"/>
              <w:jc w:val="distribute"/>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安排</w:t>
            </w:r>
          </w:p>
        </w:tc>
        <w:tc>
          <w:tcPr>
            <w:tcW w:w="4684" w:type="dxa"/>
            <w:gridSpan w:val="2"/>
            <w:shd w:val="clear" w:color="auto" w:fill="C0C0C0"/>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工作内容</w:t>
            </w:r>
          </w:p>
        </w:tc>
        <w:tc>
          <w:tcPr>
            <w:tcW w:w="1957" w:type="dxa"/>
            <w:shd w:val="clear" w:color="auto" w:fill="C0C0C0"/>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进度安排</w:t>
            </w:r>
          </w:p>
        </w:tc>
        <w:tc>
          <w:tcPr>
            <w:tcW w:w="1175" w:type="dxa"/>
            <w:shd w:val="clear" w:color="auto" w:fill="C0C0C0"/>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jc w:val="center"/>
        </w:trPr>
        <w:tc>
          <w:tcPr>
            <w:tcW w:w="688" w:type="dxa"/>
            <w:vMerge w:val="restart"/>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pacing w:val="40"/>
                <w:sz w:val="20"/>
                <w:szCs w:val="20"/>
                <w:highlight w:val="none"/>
              </w:rPr>
              <w:t>评价准备阶段</w:t>
            </w:r>
          </w:p>
        </w:tc>
        <w:tc>
          <w:tcPr>
            <w:tcW w:w="4684" w:type="dxa"/>
            <w:gridSpan w:val="2"/>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rPr>
              <w:t>制定《项目实施工作方案》，收集并研究分析项目政策资料，编制指标评价体系和资料清单，并发送被评价单位准备资料。</w:t>
            </w:r>
          </w:p>
        </w:tc>
        <w:tc>
          <w:tcPr>
            <w:tcW w:w="1957" w:type="dxa"/>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9"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535" w:type="dxa"/>
            <w:vMerge w:val="restart"/>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编写相关文本</w:t>
            </w:r>
          </w:p>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准备资料</w:t>
            </w:r>
          </w:p>
        </w:tc>
        <w:tc>
          <w:tcPr>
            <w:tcW w:w="4149" w:type="dxa"/>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首轮提交文本及资料：</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1.项目单位提交自评绩效报告；</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2.项目单位按照资料清单要求准备相关资料，提交评价工作组。</w:t>
            </w:r>
          </w:p>
        </w:tc>
        <w:tc>
          <w:tcPr>
            <w:tcW w:w="1957"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日</w:t>
            </w:r>
          </w:p>
        </w:tc>
        <w:tc>
          <w:tcPr>
            <w:tcW w:w="1175" w:type="dxa"/>
            <w:vMerge w:val="restart"/>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535" w:type="dxa"/>
            <w:vMerge w:val="continue"/>
            <w:vAlign w:val="center"/>
          </w:tcPr>
          <w:p>
            <w:pPr>
              <w:adjustRightInd w:val="0"/>
              <w:snapToGrid w:val="0"/>
              <w:jc w:val="left"/>
              <w:rPr>
                <w:rFonts w:hint="eastAsia" w:ascii="Times New Roman" w:hAnsi="Times New Roman" w:eastAsia="仿宋_GB2312" w:cs="仿宋"/>
                <w:sz w:val="20"/>
                <w:szCs w:val="20"/>
                <w:highlight w:val="none"/>
              </w:rPr>
            </w:pPr>
          </w:p>
        </w:tc>
        <w:tc>
          <w:tcPr>
            <w:tcW w:w="4149" w:type="dxa"/>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修改文本及补充资料：</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1.评价工作组提出绩效报告修改意见，并反馈项目单位进行修改；</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2.评价工作组对资料进行审核，提出补充修改意见。</w:t>
            </w:r>
          </w:p>
        </w:tc>
        <w:tc>
          <w:tcPr>
            <w:tcW w:w="1957"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09</w:t>
            </w:r>
            <w:r>
              <w:rPr>
                <w:rFonts w:hint="eastAsia" w:ascii="Times New Roman" w:hAnsi="Times New Roman" w:eastAsia="仿宋_GB2312" w:cs="仿宋"/>
                <w:sz w:val="20"/>
                <w:szCs w:val="20"/>
                <w:highlight w:val="none"/>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6"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535" w:type="dxa"/>
            <w:vMerge w:val="continue"/>
            <w:shd w:val="clear" w:color="auto" w:fill="auto"/>
            <w:vAlign w:val="center"/>
          </w:tcPr>
          <w:p>
            <w:pPr>
              <w:adjustRightInd w:val="0"/>
              <w:snapToGrid w:val="0"/>
              <w:spacing w:after="120"/>
              <w:jc w:val="left"/>
              <w:rPr>
                <w:rFonts w:hint="eastAsia" w:ascii="Times New Roman" w:hAnsi="Times New Roman" w:eastAsia="仿宋_GB2312" w:cs="仿宋"/>
                <w:b/>
                <w:bCs/>
                <w:sz w:val="20"/>
                <w:szCs w:val="20"/>
                <w:highlight w:val="none"/>
              </w:rPr>
            </w:pPr>
          </w:p>
        </w:tc>
        <w:tc>
          <w:tcPr>
            <w:tcW w:w="4149" w:type="dxa"/>
            <w:shd w:val="clear" w:color="auto" w:fill="auto"/>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确定终版文本及资料：</w:t>
            </w:r>
          </w:p>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1.评价工作组再次审核绩效报告，项目单位参照修改意见进行修改并定稿；</w:t>
            </w:r>
          </w:p>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sz w:val="20"/>
                <w:szCs w:val="20"/>
                <w:highlight w:val="none"/>
              </w:rPr>
              <w:t>2.项目单位按照补充修改意见完善资料，并将终版资料提交评价工作组，并签署资料确认单。</w:t>
            </w:r>
          </w:p>
        </w:tc>
        <w:tc>
          <w:tcPr>
            <w:tcW w:w="1957" w:type="dxa"/>
            <w:shd w:val="clear" w:color="auto" w:fill="auto"/>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15</w:t>
            </w:r>
            <w:r>
              <w:rPr>
                <w:rFonts w:hint="eastAsia" w:ascii="Times New Roman" w:hAnsi="Times New Roman" w:eastAsia="仿宋_GB2312" w:cs="仿宋"/>
                <w:sz w:val="20"/>
                <w:szCs w:val="20"/>
                <w:highlight w:val="none"/>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4" w:hRule="atLeast"/>
          <w:jc w:val="center"/>
        </w:trPr>
        <w:tc>
          <w:tcPr>
            <w:tcW w:w="688" w:type="dxa"/>
            <w:vMerge w:val="continue"/>
            <w:textDirection w:val="tbRlV"/>
            <w:vAlign w:val="center"/>
          </w:tcPr>
          <w:p>
            <w:pPr>
              <w:adjustRightInd w:val="0"/>
              <w:snapToGrid w:val="0"/>
              <w:ind w:firstLine="560" w:firstLineChars="200"/>
              <w:jc w:val="center"/>
              <w:rPr>
                <w:rFonts w:hint="eastAsia" w:ascii="Times New Roman" w:hAnsi="Times New Roman" w:eastAsia="仿宋_GB2312" w:cs="仿宋"/>
                <w:spacing w:val="40"/>
                <w:sz w:val="20"/>
                <w:szCs w:val="20"/>
                <w:highlight w:val="none"/>
              </w:rPr>
            </w:pPr>
          </w:p>
        </w:tc>
        <w:tc>
          <w:tcPr>
            <w:tcW w:w="4684" w:type="dxa"/>
            <w:gridSpan w:val="2"/>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整理、分析资料：</w:t>
            </w:r>
            <w:r>
              <w:rPr>
                <w:rFonts w:hint="eastAsia" w:ascii="Times New Roman" w:hAnsi="Times New Roman" w:eastAsia="仿宋_GB2312" w:cs="仿宋"/>
                <w:sz w:val="20"/>
                <w:szCs w:val="20"/>
                <w:highlight w:val="none"/>
              </w:rPr>
              <w:t>评价工作组对所收集资料进行整理、对资金支出情况进行分析，就有关问题与项目单位核实。</w:t>
            </w:r>
          </w:p>
        </w:tc>
        <w:tc>
          <w:tcPr>
            <w:tcW w:w="1957"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w:t>
            </w:r>
            <w:r>
              <w:rPr>
                <w:rFonts w:hint="default" w:ascii="Times New Roman" w:hAnsi="Times New Roman" w:eastAsia="仿宋_GB2312" w:cs="仿宋"/>
                <w:sz w:val="20"/>
                <w:szCs w:val="20"/>
                <w:highlight w:val="none"/>
                <w:lang w:val="en" w:eastAsia="zh-CN"/>
              </w:rPr>
              <w:t>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8" w:hRule="atLeast"/>
          <w:jc w:val="center"/>
        </w:trPr>
        <w:tc>
          <w:tcPr>
            <w:tcW w:w="688" w:type="dxa"/>
            <w:vMerge w:val="continue"/>
            <w:textDirection w:val="tbRlV"/>
            <w:vAlign w:val="center"/>
          </w:tcPr>
          <w:p>
            <w:pPr>
              <w:adjustRightInd w:val="0"/>
              <w:snapToGrid w:val="0"/>
              <w:ind w:left="113" w:firstLine="560" w:firstLineChars="200"/>
              <w:jc w:val="center"/>
              <w:rPr>
                <w:rFonts w:hint="eastAsia" w:ascii="Times New Roman" w:hAnsi="Times New Roman" w:eastAsia="仿宋_GB2312" w:cs="仿宋"/>
                <w:spacing w:val="40"/>
                <w:sz w:val="20"/>
                <w:szCs w:val="20"/>
                <w:highlight w:val="none"/>
              </w:rPr>
            </w:pP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成立评价工作小组：</w:t>
            </w:r>
            <w:r>
              <w:rPr>
                <w:rFonts w:hint="eastAsia" w:ascii="Times New Roman" w:hAnsi="Times New Roman" w:eastAsia="仿宋_GB2312" w:cs="仿宋"/>
                <w:sz w:val="20"/>
                <w:szCs w:val="20"/>
                <w:highlight w:val="none"/>
              </w:rPr>
              <w:t>遴选相关业务、财务、管理等组成评价工作小组，并对小组成员进行培训。</w:t>
            </w:r>
          </w:p>
        </w:tc>
        <w:tc>
          <w:tcPr>
            <w:tcW w:w="1957"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w:t>
            </w:r>
            <w:r>
              <w:rPr>
                <w:rFonts w:hint="default" w:ascii="Times New Roman" w:hAnsi="Times New Roman" w:eastAsia="仿宋_GB2312" w:cs="仿宋"/>
                <w:sz w:val="20"/>
                <w:szCs w:val="20"/>
                <w:highlight w:val="none"/>
                <w:lang w:val="en" w:eastAsia="zh-CN"/>
              </w:rPr>
              <w:t>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24</w:t>
            </w:r>
            <w:r>
              <w:rPr>
                <w:rFonts w:hint="eastAsia" w:ascii="Times New Roman" w:hAnsi="Times New Roman" w:eastAsia="仿宋_GB2312" w:cs="仿宋"/>
                <w:sz w:val="20"/>
                <w:szCs w:val="20"/>
                <w:highlight w:val="none"/>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688" w:type="dxa"/>
            <w:vMerge w:val="restart"/>
            <w:textDirection w:val="tbRlV"/>
            <w:vAlign w:val="center"/>
          </w:tcPr>
          <w:p>
            <w:pPr>
              <w:adjustRightInd w:val="0"/>
              <w:snapToGrid w:val="0"/>
              <w:ind w:firstLine="281" w:firstLineChars="100"/>
              <w:rPr>
                <w:rFonts w:hint="eastAsia" w:ascii="Times New Roman" w:hAnsi="Times New Roman" w:eastAsia="仿宋_GB2312" w:cs="仿宋"/>
                <w:spacing w:val="40"/>
                <w:sz w:val="20"/>
                <w:szCs w:val="20"/>
                <w:highlight w:val="none"/>
              </w:rPr>
            </w:pPr>
            <w:r>
              <w:rPr>
                <w:rFonts w:hint="eastAsia" w:ascii="Times New Roman" w:hAnsi="Times New Roman" w:eastAsia="仿宋_GB2312" w:cs="仿宋"/>
                <w:b/>
                <w:bCs/>
                <w:spacing w:val="40"/>
                <w:sz w:val="20"/>
                <w:szCs w:val="20"/>
                <w:highlight w:val="none"/>
              </w:rPr>
              <w:t>评价实施阶段</w:t>
            </w: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现场调研：</w:t>
            </w:r>
            <w:r>
              <w:rPr>
                <w:rFonts w:hint="eastAsia" w:ascii="Times New Roman" w:hAnsi="Times New Roman" w:eastAsia="仿宋_GB2312" w:cs="仿宋"/>
                <w:sz w:val="20"/>
                <w:szCs w:val="20"/>
                <w:highlight w:val="none"/>
              </w:rPr>
              <w:t>根据项目情况，评价工作组对项目现场进行调研，核实项目完成情况及效益实现情况。</w:t>
            </w:r>
          </w:p>
        </w:tc>
        <w:tc>
          <w:tcPr>
            <w:tcW w:w="1957"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w:t>
            </w:r>
            <w:r>
              <w:rPr>
                <w:rFonts w:hint="default" w:ascii="Times New Roman" w:hAnsi="Times New Roman" w:eastAsia="仿宋_GB2312" w:cs="仿宋"/>
                <w:sz w:val="20"/>
                <w:szCs w:val="20"/>
                <w:highlight w:val="none"/>
                <w:lang w:val="en" w:eastAsia="zh-CN"/>
              </w:rPr>
              <w:t>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27</w:t>
            </w:r>
            <w:r>
              <w:rPr>
                <w:rFonts w:hint="eastAsia" w:ascii="Times New Roman" w:hAnsi="Times New Roman" w:eastAsia="仿宋_GB2312" w:cs="仿宋"/>
                <w:sz w:val="20"/>
                <w:szCs w:val="20"/>
                <w:highlight w:val="none"/>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2"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shd w:val="clear" w:color="auto" w:fill="auto"/>
            <w:vAlign w:val="center"/>
          </w:tcPr>
          <w:p>
            <w:pPr>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组织针对性培训：</w:t>
            </w:r>
            <w:r>
              <w:rPr>
                <w:rFonts w:hint="eastAsia" w:ascii="Times New Roman" w:hAnsi="Times New Roman" w:eastAsia="仿宋_GB2312" w:cs="仿宋"/>
                <w:sz w:val="20"/>
                <w:szCs w:val="20"/>
                <w:highlight w:val="none"/>
              </w:rPr>
              <w:t>评价工作组根据预算部门（单位）的不同需求，开展有针对性的培训工作。</w:t>
            </w:r>
          </w:p>
        </w:tc>
        <w:tc>
          <w:tcPr>
            <w:tcW w:w="1957" w:type="dxa"/>
            <w:shd w:val="clear" w:color="auto" w:fill="auto"/>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30</w:t>
            </w:r>
            <w:r>
              <w:rPr>
                <w:rFonts w:hint="eastAsia" w:ascii="Times New Roman" w:hAnsi="Times New Roman" w:eastAsia="仿宋_GB2312" w:cs="仿宋"/>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688" w:type="dxa"/>
            <w:vMerge w:val="continue"/>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sz w:val="20"/>
                <w:szCs w:val="20"/>
                <w:highlight w:val="none"/>
              </w:rPr>
              <w:t>现场评价会：</w:t>
            </w:r>
            <w:r>
              <w:rPr>
                <w:rFonts w:hint="eastAsia" w:ascii="Times New Roman" w:hAnsi="Times New Roman" w:eastAsia="仿宋_GB2312" w:cs="仿宋"/>
                <w:sz w:val="20"/>
                <w:szCs w:val="20"/>
                <w:highlight w:val="none"/>
              </w:rPr>
              <w:t>召开现场评价会议，核实项目执行情况，出具评价意见。</w:t>
            </w:r>
          </w:p>
        </w:tc>
        <w:tc>
          <w:tcPr>
            <w:tcW w:w="1957" w:type="dxa"/>
            <w:vAlign w:val="center"/>
          </w:tcPr>
          <w:p>
            <w:pPr>
              <w:adjustRightInd w:val="0"/>
              <w:snapToGrid w:val="0"/>
              <w:spacing w:before="120"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03</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688" w:type="dxa"/>
            <w:vMerge w:val="restart"/>
            <w:textDirection w:val="tbRlV"/>
            <w:vAlign w:val="center"/>
          </w:tcPr>
          <w:p>
            <w:pPr>
              <w:adjustRightInd w:val="0"/>
              <w:snapToGrid w:val="0"/>
              <w:ind w:firstLine="120" w:firstLineChars="50"/>
              <w:rPr>
                <w:rFonts w:hint="eastAsia" w:ascii="Times New Roman" w:hAnsi="Times New Roman" w:eastAsia="仿宋_GB2312" w:cs="仿宋"/>
                <w:spacing w:val="20"/>
                <w:sz w:val="20"/>
                <w:szCs w:val="20"/>
                <w:highlight w:val="none"/>
              </w:rPr>
            </w:pPr>
            <w:r>
              <w:rPr>
                <w:rFonts w:hint="eastAsia" w:ascii="Times New Roman" w:hAnsi="Times New Roman" w:eastAsia="仿宋_GB2312" w:cs="仿宋"/>
                <w:b/>
                <w:bCs/>
                <w:spacing w:val="20"/>
                <w:sz w:val="20"/>
                <w:szCs w:val="20"/>
                <w:highlight w:val="none"/>
              </w:rPr>
              <w:t>形成报告阶段</w:t>
            </w:r>
          </w:p>
        </w:tc>
        <w:tc>
          <w:tcPr>
            <w:tcW w:w="4684" w:type="dxa"/>
            <w:gridSpan w:val="2"/>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撰写报告：</w:t>
            </w:r>
            <w:r>
              <w:rPr>
                <w:rFonts w:hint="eastAsia" w:ascii="Times New Roman" w:hAnsi="Times New Roman" w:eastAsia="仿宋_GB2312" w:cs="仿宋"/>
                <w:sz w:val="20"/>
                <w:szCs w:val="20"/>
                <w:highlight w:val="none"/>
              </w:rPr>
              <w:t>评价工作组撰写项目绩效评价报告。</w:t>
            </w:r>
          </w:p>
        </w:tc>
        <w:tc>
          <w:tcPr>
            <w:tcW w:w="1957"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05</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highlight w:val="none"/>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957"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lang w:eastAsia="zh-CN"/>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06</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报告征求意见：</w:t>
            </w:r>
            <w:r>
              <w:rPr>
                <w:rFonts w:hint="eastAsia" w:ascii="Times New Roman" w:hAnsi="Times New Roman" w:eastAsia="仿宋_GB2312" w:cs="仿宋"/>
                <w:sz w:val="20"/>
                <w:szCs w:val="20"/>
                <w:highlight w:val="none"/>
              </w:rPr>
              <w:t>评价报告经评价机构三级审核后，送交委托方及项目单位征求意见。</w:t>
            </w:r>
          </w:p>
        </w:tc>
        <w:tc>
          <w:tcPr>
            <w:tcW w:w="1957"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08</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Times New Roman" w:hAnsi="Times New Roman" w:eastAsia="仿宋_GB2312" w:cs="仿宋"/>
                <w:sz w:val="20"/>
                <w:szCs w:val="20"/>
                <w:highlight w:val="none"/>
              </w:rPr>
            </w:pPr>
          </w:p>
        </w:tc>
        <w:tc>
          <w:tcPr>
            <w:tcW w:w="4684" w:type="dxa"/>
            <w:gridSpan w:val="2"/>
            <w:shd w:val="clear" w:color="auto" w:fill="auto"/>
            <w:vAlign w:val="center"/>
          </w:tcPr>
          <w:p>
            <w:pPr>
              <w:adjustRightInd w:val="0"/>
              <w:snapToGrid w:val="0"/>
              <w:jc w:val="left"/>
              <w:rPr>
                <w:rFonts w:hint="eastAsia" w:ascii="Times New Roman" w:hAnsi="Times New Roman" w:eastAsia="仿宋_GB2312" w:cs="仿宋"/>
                <w:sz w:val="20"/>
                <w:szCs w:val="20"/>
                <w:highlight w:val="none"/>
              </w:rPr>
            </w:pPr>
            <w:r>
              <w:rPr>
                <w:rFonts w:hint="eastAsia" w:ascii="Times New Roman" w:hAnsi="Times New Roman" w:eastAsia="仿宋_GB2312" w:cs="仿宋"/>
                <w:b/>
                <w:bCs/>
                <w:sz w:val="20"/>
                <w:szCs w:val="20"/>
                <w:highlight w:val="none"/>
              </w:rPr>
              <w:t>报送报告：</w:t>
            </w:r>
            <w:r>
              <w:rPr>
                <w:rFonts w:hint="eastAsia" w:ascii="Times New Roman" w:hAnsi="Times New Roman" w:eastAsia="仿宋_GB2312" w:cs="仿宋"/>
                <w:sz w:val="20"/>
                <w:szCs w:val="20"/>
                <w:highlight w:val="none"/>
              </w:rPr>
              <w:t>根据委托方意见修改报告，在规定时间内正式向委托方报送绩效评价报告。</w:t>
            </w:r>
          </w:p>
        </w:tc>
        <w:tc>
          <w:tcPr>
            <w:tcW w:w="1957" w:type="dxa"/>
            <w:shd w:val="clear" w:color="auto" w:fill="auto"/>
            <w:vAlign w:val="center"/>
          </w:tcPr>
          <w:p>
            <w:pPr>
              <w:adjustRightInd w:val="0"/>
              <w:snapToGrid w:val="0"/>
              <w:spacing w:after="12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11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评价机构</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项目单位</w:t>
            </w:r>
          </w:p>
          <w:p>
            <w:pPr>
              <w:adjustRightInd w:val="0"/>
              <w:snapToGrid w:val="0"/>
              <w:jc w:val="center"/>
              <w:rPr>
                <w:rFonts w:hint="eastAsia" w:ascii="Times New Roman" w:hAnsi="Times New Roman" w:eastAsia="仿宋_GB2312" w:cs="仿宋"/>
                <w:sz w:val="20"/>
                <w:szCs w:val="20"/>
                <w:highlight w:val="none"/>
              </w:rPr>
            </w:pPr>
            <w:r>
              <w:rPr>
                <w:rFonts w:hint="eastAsia" w:ascii="Times New Roman" w:hAnsi="Times New Roman" w:eastAsia="仿宋_GB2312" w:cs="仿宋"/>
                <w:sz w:val="20"/>
                <w:szCs w:val="20"/>
                <w:highlight w:val="none"/>
              </w:rPr>
              <w:t>委托单位</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走访调查：采取现场走访调查，了解项目情况。到项目单位及现场，进行调研和分析，严格按照项目实施方案进行管理，了解前期工作及项目实施情况。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进行了协调监督管理工作，是否制定切实有效的监督管理制度，是否监督落实项目建设质量情况。</w:t>
      </w:r>
    </w:p>
    <w:p>
      <w:pPr>
        <w:pageBreakBefore w:val="0"/>
        <w:kinsoku/>
        <w:wordWrap/>
        <w:overflowPunct/>
        <w:topLinePunct w:val="0"/>
        <w:autoSpaceDE/>
        <w:autoSpaceDN/>
        <w:bidi w:val="0"/>
        <w:adjustRightInd w:val="0"/>
        <w:snapToGrid w:val="0"/>
        <w:spacing w:line="560" w:lineRule="exact"/>
        <w:ind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yellow"/>
        </w:rPr>
      </w:pPr>
      <w:bookmarkStart w:id="186" w:name="_Toc28676"/>
      <w:bookmarkStart w:id="187" w:name="_Toc7847"/>
      <w:bookmarkStart w:id="188" w:name="_Toc21813"/>
      <w:bookmarkStart w:id="189" w:name="_Toc28956"/>
      <w:r>
        <w:rPr>
          <w:rFonts w:hint="eastAsia" w:ascii="方正黑体_GBK" w:hAnsi="方正黑体_GBK" w:eastAsia="方正黑体_GBK" w:cs="方正黑体_GBK"/>
          <w:color w:val="auto"/>
          <w:sz w:val="32"/>
          <w:szCs w:val="32"/>
          <w:highlight w:val="none"/>
        </w:rPr>
        <w:t>三、绩效评价分析</w:t>
      </w:r>
      <w:bookmarkEnd w:id="186"/>
      <w:bookmarkEnd w:id="187"/>
      <w:bookmarkEnd w:id="188"/>
      <w:bookmarkEnd w:id="189"/>
    </w:p>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highlight w:val="yellow"/>
        </w:rPr>
      </w:pPr>
      <w:r>
        <w:rPr>
          <w:rFonts w:hint="eastAsia" w:ascii="Times New Roman" w:hAnsi="Times New Roman" w:eastAsia="仿宋_GB2312" w:cs="宋体"/>
          <w:b/>
          <w:bCs/>
          <w:vanish/>
          <w:color w:val="auto"/>
          <w:sz w:val="32"/>
          <w:szCs w:val="32"/>
          <w:highlight w:val="yellow"/>
        </w:rPr>
        <w:t>绩效评价分析</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90" w:name="_Toc30253"/>
      <w:bookmarkStart w:id="191" w:name="_Toc25693"/>
      <w:bookmarkStart w:id="192" w:name="_Toc63"/>
      <w:bookmarkStart w:id="193" w:name="_Toc32631"/>
      <w:bookmarkStart w:id="194" w:name="_Toc27316"/>
      <w:r>
        <w:rPr>
          <w:rFonts w:hint="eastAsia" w:ascii="方正楷体_GBK" w:hAnsi="方正楷体_GBK" w:eastAsia="方正楷体_GBK" w:cs="方正楷体_GBK"/>
          <w:b/>
          <w:bCs/>
          <w:color w:val="auto"/>
          <w:sz w:val="32"/>
          <w:szCs w:val="32"/>
        </w:rPr>
        <w:t>（一）项目决策分析</w:t>
      </w:r>
      <w:bookmarkEnd w:id="190"/>
      <w:bookmarkEnd w:id="191"/>
    </w:p>
    <w:bookmarkEnd w:id="192"/>
    <w:bookmarkEnd w:id="193"/>
    <w:bookmarkEnd w:id="194"/>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bookmarkStart w:id="195" w:name="_Toc27861"/>
      <w:r>
        <w:rPr>
          <w:rFonts w:hint="eastAsia" w:ascii="仿宋_GB2312" w:hAnsi="仿宋_GB2312" w:eastAsia="仿宋_GB2312" w:cs="仿宋_GB2312"/>
          <w:b/>
          <w:bCs w:val="0"/>
          <w:color w:val="auto"/>
          <w:sz w:val="32"/>
          <w:szCs w:val="32"/>
          <w:lang w:val="en-US" w:eastAsia="zh-CN"/>
        </w:rPr>
        <w:t>（1）立项依据的充分性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立项依据《关于提前下达农村客运等行业成品油价改革财政补贴资金的通知》，关于印发《喀什地区2021年农村客运等行业成品油价格改革财政补贴资金分配方案》，按照要求开始实施该项目，疏附县2022年度新能源公交购置补助资金项目的立项符合国家法律法规、国民经济发展规划和相关政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财政资金使用反馈管理暂行办法》、《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环境保护及能源节约的决策部署。符合自治区、喀什地区以及疏附县环境保护及能源节约工作相关文件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交通运输局“指导全县交通运输行业体制改革，引导交通运输行业优化结构、协调发展；会同有关部门培育和管理交通运输市场和交通基础设施建设市场、维护全县交通运输行业的平等竞争秩序；负责对交通运输行业单位国有资产的管理和保值增值的监督；指导全县交通运输行业环境保护和节能减排工作”的等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④项目属于公共财政支持范围，符合自治区、地方事权支出责任划分原则；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该项目未与相关部门同类项目或部门内部相关项目重复。总之，该项目在资金投入方面，预算编制是按照《喀什地区2021年农村客运等行业成品油价格改革财政补贴资金分配方案》开展的，确保资金额度与2022年的年度绩效目标相适应，项目立项依据充分，相关总体要求，项目申报、批复程序符合相关管理办法并围绕疏附县年度工作和工作计划制定经费预算。</w:t>
      </w:r>
    </w:p>
    <w:p>
      <w:pPr>
        <w:pStyle w:val="2"/>
        <w:ind w:firstLine="640" w:firstLineChars="200"/>
        <w:rPr>
          <w:rFonts w:hint="default"/>
          <w:lang w:val="en-US" w:eastAsia="zh-CN"/>
        </w:rPr>
      </w:pPr>
      <w:r>
        <w:rPr>
          <w:rFonts w:hint="eastAsia" w:ascii="仿宋_GB2312" w:hAnsi="仿宋_GB2312" w:eastAsia="仿宋_GB2312" w:cs="仿宋_GB2312"/>
          <w:color w:val="auto"/>
          <w:sz w:val="32"/>
          <w:szCs w:val="32"/>
          <w:highlight w:val="none"/>
          <w:lang w:val="en-US" w:eastAsia="zh-CN"/>
        </w:rPr>
        <w:t>该项分值为4分，评价得分4分。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（2）立项程序规范性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该项目为补助类项目，项目根据《关于提前下达农村客运等行业成品油价改革财政补贴资金的通知》，关于印发《喀什地区2021年农村客运等行业成品油价格改革财政补贴资金分配方案》等文件要求开始实施，该项目不需要立项。每年通过疏附县交通运输局制定预算，项目符合经济社会发展规划和部门年度工作计划。</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决策程序情况：</w:t>
      </w:r>
      <w:bookmarkStart w:id="196" w:name="_Hlk26031859"/>
      <w:r>
        <w:rPr>
          <w:rFonts w:hint="eastAsia" w:ascii="仿宋_GB2312" w:hAnsi="仿宋_GB2312" w:eastAsia="仿宋_GB2312" w:cs="仿宋_GB2312"/>
          <w:color w:val="auto"/>
          <w:sz w:val="32"/>
          <w:szCs w:val="32"/>
          <w:highlight w:val="none"/>
          <w:lang w:val="en-US" w:eastAsia="zh-CN"/>
        </w:rPr>
        <w:t>该项目为自治区专项资金，通过对项目前期工作进行调研，成立了项目管理领导小组，对项目加强管理。</w:t>
      </w:r>
      <w:bookmarkEnd w:id="196"/>
      <w:r>
        <w:rPr>
          <w:rFonts w:hint="eastAsia" w:ascii="仿宋_GB2312" w:hAnsi="仿宋_GB2312" w:eastAsia="仿宋_GB2312" w:cs="仿宋_GB2312"/>
          <w:color w:val="auto"/>
          <w:sz w:val="32"/>
          <w:szCs w:val="32"/>
          <w:highlight w:val="none"/>
          <w:lang w:val="en-US" w:eastAsia="zh-CN"/>
        </w:rPr>
        <w:t>该项目按照规定的程序申请设立，审批文件、材料符合相关要求，项目决策程序比较规范。</w:t>
      </w:r>
    </w:p>
    <w:p>
      <w:pPr>
        <w:pStyle w:val="2"/>
        <w:ind w:firstLine="640" w:firstLineChars="200"/>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该项分值为4分，评价得分4分。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2.绩效目标设立情况</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（1）绩效目标合理性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目标的内涵明确、具体、可衡量。所设立的绩效目标可以考核并能够指导疏附县交通运输局疏附县2022年度新能源公交购置补助资金项目的业务工作。指标与评价对象密切相关，全面反映项目实施内容及项目预期绩效情况，绩效目标设立符合疏附县交通运输局2022年工作计划，明确了项目产出数量和预期达到的效果。整体来看，绩效目标设立比较明确。</w:t>
      </w:r>
    </w:p>
    <w:p>
      <w:pPr>
        <w:pStyle w:val="2"/>
        <w:ind w:firstLine="640" w:firstLineChars="200"/>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（2）绩效指标明确性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所设置绩效目标是：一级指标3个，二级指标7个，三级指标10个，指标量化率70%，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w:t>
      </w:r>
    </w:p>
    <w:p>
      <w:pPr>
        <w:pStyle w:val="2"/>
        <w:ind w:firstLine="640" w:firstLineChars="200"/>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3.资金投入情况</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102.00万元，项目预算编制经过科学论证、明确标准，资金额度与年度目标相适应，制定了明确详细的项目资金支出计划和进度，体现了该项目预算编制的科学性和合理性。财政部门要对项目主管部门加强资金监管，定期调度和发布资金使用进度，强化区域内资金余缺动态调剂，避免出现资金大量结转。上年结转资金可继续在下年使用，连续两年未用完的，按有关规定处理。</w:t>
      </w:r>
    </w:p>
    <w:p>
      <w:pPr>
        <w:pStyle w:val="2"/>
        <w:ind w:firstLine="640" w:firstLineChars="200"/>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color w:val="auto"/>
          <w:sz w:val="32"/>
          <w:szCs w:val="32"/>
          <w:highlight w:val="none"/>
          <w:lang w:val="en-US" w:eastAsia="zh-CN"/>
        </w:rPr>
        <w:t>该项分值为3分，评价得分3分。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（2）资金分配合理性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该项目预算资金分配额度合理，与工作任务相匹配，充分体现了资金分配的合理性。</w:t>
      </w:r>
    </w:p>
    <w:p>
      <w:pPr>
        <w:pStyle w:val="2"/>
        <w:ind w:firstLine="640" w:firstLineChars="200"/>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该项分值为3分，评价得分3分。</w:t>
      </w:r>
    </w:p>
    <w:bookmarkEnd w:id="195"/>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97" w:name="_Toc7048"/>
      <w:r>
        <w:rPr>
          <w:rFonts w:hint="eastAsia" w:ascii="方正楷体_GBK" w:hAnsi="方正楷体_GBK" w:eastAsia="方正楷体_GBK" w:cs="方正楷体_GBK"/>
          <w:b/>
          <w:bCs/>
          <w:color w:val="auto"/>
          <w:sz w:val="32"/>
          <w:szCs w:val="32"/>
        </w:rPr>
        <w:t>（二）项目管理</w:t>
      </w:r>
      <w:r>
        <w:rPr>
          <w:rFonts w:hint="eastAsia" w:ascii="方正楷体_GBK" w:hAnsi="方正楷体_GBK" w:eastAsia="方正楷体_GBK" w:cs="方正楷体_GBK"/>
          <w:b/>
          <w:bCs/>
          <w:color w:val="auto"/>
          <w:sz w:val="32"/>
          <w:szCs w:val="32"/>
          <w:lang w:val="en-US" w:eastAsia="zh-CN"/>
        </w:rPr>
        <w:t>过程</w:t>
      </w:r>
      <w:r>
        <w:rPr>
          <w:rFonts w:hint="eastAsia" w:ascii="方正楷体_GBK" w:hAnsi="方正楷体_GBK" w:eastAsia="方正楷体_GBK" w:cs="方正楷体_GBK"/>
          <w:b/>
          <w:bCs/>
          <w:color w:val="auto"/>
          <w:sz w:val="32"/>
          <w:szCs w:val="32"/>
        </w:rPr>
        <w:t>情况分析</w:t>
      </w:r>
      <w:bookmarkEnd w:id="197"/>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bookmarkStart w:id="198" w:name="_Toc27510422"/>
      <w:bookmarkStart w:id="199" w:name="_Toc928"/>
      <w:r>
        <w:rPr>
          <w:rFonts w:hint="eastAsia" w:ascii="仿宋_GB2312" w:hAnsi="仿宋_GB2312" w:eastAsia="仿宋_GB2312" w:cs="仿宋_GB2312"/>
          <w:b/>
          <w:bCs w:val="0"/>
          <w:color w:val="auto"/>
          <w:sz w:val="32"/>
          <w:szCs w:val="32"/>
        </w:rPr>
        <w:t>1.项目资金</w:t>
      </w:r>
      <w:bookmarkEnd w:id="198"/>
      <w:bookmarkEnd w:id="199"/>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（1</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rPr>
        <w:t>预算</w:t>
      </w:r>
      <w:r>
        <w:rPr>
          <w:rFonts w:hint="eastAsia" w:ascii="仿宋_GB2312" w:hAnsi="仿宋_GB2312" w:eastAsia="仿宋_GB2312" w:cs="仿宋_GB2312"/>
          <w:b/>
          <w:bCs w:val="0"/>
          <w:color w:val="auto"/>
          <w:sz w:val="32"/>
          <w:szCs w:val="32"/>
          <w:lang w:val="en-US" w:eastAsia="zh-CN"/>
        </w:rPr>
        <w:t>到位</w:t>
      </w:r>
      <w:r>
        <w:rPr>
          <w:rFonts w:hint="eastAsia" w:ascii="仿宋_GB2312" w:hAnsi="仿宋_GB2312" w:eastAsia="仿宋_GB2312" w:cs="仿宋_GB2312"/>
          <w:b/>
          <w:bCs w:val="0"/>
          <w:color w:val="auto"/>
          <w:sz w:val="32"/>
          <w:szCs w:val="32"/>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该项目预算资金102.00万元，资金到位为102.00万元，资金到位率100%。</w:t>
      </w:r>
    </w:p>
    <w:p>
      <w:pPr>
        <w:pStyle w:val="31"/>
        <w:pageBreakBefore w:val="0"/>
        <w:tabs>
          <w:tab w:val="left" w:pos="1559"/>
        </w:tabs>
        <w:kinsoku/>
        <w:wordWrap/>
        <w:overflowPunct/>
        <w:topLinePunct w:val="0"/>
        <w:autoSpaceDE/>
        <w:autoSpaceDN/>
        <w:bidi w:val="0"/>
        <w:adjustRightInd w:val="0"/>
        <w:snapToGrid w:val="0"/>
        <w:spacing w:line="560" w:lineRule="exact"/>
        <w:outlineLvl w:val="2"/>
        <w:rPr>
          <w:rFonts w:hint="eastAsia" w:ascii="仿宋_GB2312" w:hAnsi="仿宋_GB2312" w:eastAsia="仿宋_GB2312" w:cs="仿宋_GB2312"/>
          <w:b/>
          <w:bCs w:val="0"/>
          <w:color w:val="auto"/>
          <w:sz w:val="32"/>
          <w:szCs w:val="32"/>
          <w:lang w:eastAsia="zh-CN"/>
        </w:rPr>
      </w:pPr>
      <w:r>
        <w:rPr>
          <w:rFonts w:hint="eastAsia" w:ascii="仿宋_GB2312" w:hAnsi="仿宋_GB2312" w:eastAsia="仿宋_GB2312" w:cs="仿宋_GB2312"/>
          <w:color w:val="auto"/>
          <w:sz w:val="32"/>
          <w:szCs w:val="32"/>
          <w:highlight w:val="none"/>
          <w:lang w:val="en-US" w:eastAsia="zh-CN"/>
        </w:rPr>
        <w:t>该项分值为3分，评价得分3分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lang w:val="en-US" w:eastAsia="zh-CN"/>
        </w:rPr>
        <w:t>2</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rPr>
        <w:t>资金</w:t>
      </w:r>
      <w:r>
        <w:rPr>
          <w:rFonts w:hint="eastAsia" w:ascii="仿宋_GB2312" w:hAnsi="仿宋_GB2312" w:eastAsia="仿宋_GB2312" w:cs="仿宋_GB2312"/>
          <w:b/>
          <w:bCs w:val="0"/>
          <w:color w:val="auto"/>
          <w:sz w:val="32"/>
          <w:szCs w:val="32"/>
          <w:lang w:val="en-US" w:eastAsia="zh-CN"/>
        </w:rPr>
        <w:t>执行</w:t>
      </w:r>
      <w:r>
        <w:rPr>
          <w:rFonts w:hint="eastAsia" w:ascii="仿宋_GB2312" w:hAnsi="仿宋_GB2312" w:eastAsia="仿宋_GB2312" w:cs="仿宋_GB2312"/>
          <w:b/>
          <w:bCs w:val="0"/>
          <w:color w:val="auto"/>
          <w:sz w:val="32"/>
          <w:szCs w:val="32"/>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该项目预算资金为102.00万元，到位资金为102.00万元，实际支出102.00万元，预算执行率为100%。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该项分值为3分，评价得分3分。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eastAsia="zh-CN"/>
        </w:rPr>
      </w:pPr>
      <w:bookmarkStart w:id="200" w:name="_Toc749"/>
      <w:bookmarkStart w:id="201" w:name="_Toc3881"/>
      <w:bookmarkStart w:id="202" w:name="_Toc27651431"/>
      <w:bookmarkStart w:id="203" w:name="_Toc27648046"/>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bCs w:val="0"/>
          <w:color w:val="auto"/>
          <w:sz w:val="32"/>
          <w:szCs w:val="32"/>
          <w:lang w:val="en-US" w:eastAsia="zh-CN"/>
        </w:rPr>
        <w:t>3</w:t>
      </w:r>
      <w:r>
        <w:rPr>
          <w:rFonts w:hint="eastAsia" w:ascii="仿宋_GB2312" w:hAnsi="仿宋_GB2312" w:eastAsia="仿宋_GB2312" w:cs="仿宋_GB2312"/>
          <w:b/>
          <w:bCs w:val="0"/>
          <w:color w:val="auto"/>
          <w:sz w:val="32"/>
          <w:szCs w:val="32"/>
          <w:lang w:eastAsia="zh-CN"/>
        </w:rPr>
        <w:t>）资金使用合规性</w:t>
      </w:r>
    </w:p>
    <w:bookmarkEnd w:id="200"/>
    <w:bookmarkEnd w:id="201"/>
    <w:bookmarkEnd w:id="202"/>
    <w:bookmarkEnd w:id="203"/>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04" w:name="_Toc20129"/>
      <w:r>
        <w:rPr>
          <w:rFonts w:hint="eastAsia" w:ascii="仿宋_GB2312" w:hAnsi="仿宋_GB2312" w:eastAsia="仿宋_GB2312" w:cs="仿宋_GB2312"/>
          <w:color w:val="auto"/>
          <w:sz w:val="32"/>
          <w:szCs w:val="32"/>
          <w:highlight w:val="none"/>
          <w:lang w:val="en-US" w:eastAsia="zh-CN"/>
        </w:rPr>
        <w:t>该项目预算资金102.00万元，到位资金为102.00万元，补助资金全部支付102.00万元，该项目资金使用严格按照《新疆维吾尔自治区城乡道路客运成品油价格补助专项资金管理办法》，《自治区财政资金使用反馈管理暂行办法》等文件规定，疏附县交通运输局依据项目实施计划和实施进度提出支付申请并提供相关真实、合规的印证材料，制定资金使用计划，经相关部门审核后按照国库集中支付管理制度的规定和程序及时支付资金。项目资金支付后，在审计或检查中发现资金使用存在违法违规问题的，及时追回、收回。对资金使用严格监管，防止资金使用不精准、虚报冒领。资金的支付有完整的审批程序和手续，符合制度要求;项目资金进行单独核算，财务手续基本合理、完整，未发现专项资金有截留、挤占、挪用、虚列开支等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自项目分配方案下发之后，项目严格程序实行“一项目一档案一台账”管理，收集项目各项资料，按要求及时跟公交公司对接、推进进度、资金支付、监督检查等整理归档。该项目资金严格执行国库集中支付，按照财政专项资金有关管理规定收集整理报账资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该项分值为4分，评价得分4分。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eastAsia="zh-CN"/>
        </w:rPr>
      </w:pPr>
      <w:r>
        <w:rPr>
          <w:rFonts w:hint="eastAsia" w:ascii="仿宋_GB2312" w:hAnsi="仿宋_GB2312" w:eastAsia="仿宋_GB2312" w:cs="仿宋_GB2312"/>
          <w:b/>
          <w:bCs w:val="0"/>
          <w:color w:val="auto"/>
          <w:sz w:val="32"/>
          <w:szCs w:val="32"/>
          <w:lang w:val="en-US" w:eastAsia="zh-CN"/>
        </w:rPr>
        <w:t>2.</w:t>
      </w:r>
      <w:bookmarkEnd w:id="204"/>
      <w:r>
        <w:rPr>
          <w:rFonts w:hint="eastAsia" w:ascii="仿宋_GB2312" w:hAnsi="仿宋_GB2312" w:eastAsia="仿宋_GB2312" w:cs="仿宋_GB2312"/>
          <w:b/>
          <w:bCs w:val="0"/>
          <w:color w:val="auto"/>
          <w:sz w:val="32"/>
          <w:szCs w:val="32"/>
          <w:lang w:eastAsia="zh-CN"/>
        </w:rPr>
        <w:t>组织实施情况</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eastAsia="zh-CN"/>
        </w:rPr>
      </w:pPr>
      <w:r>
        <w:rPr>
          <w:rFonts w:hint="eastAsia" w:ascii="仿宋_GB2312" w:hAnsi="仿宋_GB2312" w:eastAsia="仿宋_GB2312" w:cs="仿宋_GB2312"/>
          <w:b/>
          <w:bCs w:val="0"/>
          <w:color w:val="auto"/>
          <w:sz w:val="32"/>
          <w:szCs w:val="32"/>
          <w:lang w:eastAsia="zh-CN"/>
        </w:rPr>
        <w:t>（1）管理制度健全性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根据《中华人民共和国预算法》、《自治区党委自治区人民政府关于全面实施预算绩效管理的实施意见》、《自治区全面实施预算绩效管理的工作方案》、《关于印发〈自治区财政支出绩效评价管理暂行办法〉的通知》、《新疆维吾尔自治区城乡道路客运成品油价格补助专项资金管理帮俺》等相关文件，该项目预算资金安排专人管理。并要建立健全内部财务管理制度、《疏附县交通运输局项目管理制度》及《疏附县交通运输局工作制度》，加强会计日常核算和监督，加强资金的预算、控制、分析和检查工作，做好项目财务管理基础工作；项目实行审计制度，由相关部门对项目采取审计，同时按照《疏附县交通运输局财务管理制度》要求执行，该制度规范了项目资金使用标准，确保项目实施单位的资金预算申请、资金执行、资金调整、监督检查等过程在相关制度和流程的有效监督管控之下，但是对项目后期监督不到位，该单位补助资金发放完毕之后，未对项目进行后期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该项分值为5分，评价得分2.5分。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zh-TW" w:eastAsia="zh-TW"/>
        </w:rPr>
      </w:pPr>
      <w:r>
        <w:rPr>
          <w:rFonts w:hint="eastAsia" w:ascii="仿宋_GB2312" w:hAnsi="仿宋_GB2312" w:eastAsia="仿宋_GB2312" w:cs="仿宋_GB2312"/>
          <w:b/>
          <w:bCs w:val="0"/>
          <w:color w:val="auto"/>
          <w:sz w:val="32"/>
          <w:szCs w:val="32"/>
          <w:lang w:val="zh-TW" w:eastAsia="zh-TW"/>
        </w:rPr>
        <w:t>（2）制度执行有效性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05" w:name="_Toc6823"/>
      <w:bookmarkStart w:id="206" w:name="_Toc12166"/>
      <w:bookmarkStart w:id="207" w:name="_Toc18514"/>
      <w:bookmarkStart w:id="208" w:name="_Toc18194"/>
      <w:bookmarkStart w:id="209" w:name="_Toc29889"/>
      <w:bookmarkStart w:id="210" w:name="_Toc26579"/>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财政部《项目支出绩效评价管理办法》等相关文件，一是采取现场调研的方式，对疏附县2022年度新能源公交购置补助资金项目资金管理工作进行监督检查。对资金执行及项目实施情况进行监督，及时对发现的问题进行反馈，督促指导项目运行管理，确保项目的高效运行；二是为加快推进该项目的实施，该单位根据《项目支出绩效评价管理办法》、关于印发《自治区财政支出绩效评价管理暂行办法》的通知文件精神，成立疏附县2022年度新能源公交购置补助资金项目管理领导小组，负责对项目建设、组织协调、运转服务，研究解决项目实施中的困难和问题，创造良好的项目实施环境。领导小组成员名单如下：</w:t>
      </w:r>
      <w:bookmarkEnd w:id="205"/>
      <w:bookmarkEnd w:id="206"/>
      <w:bookmarkEnd w:id="20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11" w:name="_Toc17757"/>
      <w:bookmarkStart w:id="212" w:name="_Toc9001"/>
      <w:bookmarkStart w:id="213" w:name="_Toc24132"/>
      <w:r>
        <w:rPr>
          <w:rFonts w:hint="eastAsia" w:ascii="仿宋_GB2312" w:hAnsi="仿宋_GB2312" w:eastAsia="仿宋_GB2312" w:cs="仿宋_GB2312"/>
          <w:color w:val="auto"/>
          <w:sz w:val="32"/>
          <w:szCs w:val="32"/>
          <w:highlight w:val="none"/>
          <w:lang w:val="en-US" w:eastAsia="zh-CN"/>
        </w:rPr>
        <w:t>组长：</w:t>
      </w:r>
      <w:bookmarkEnd w:id="211"/>
      <w:bookmarkEnd w:id="212"/>
      <w:bookmarkEnd w:id="213"/>
      <w:r>
        <w:rPr>
          <w:rFonts w:hint="eastAsia" w:ascii="仿宋_GB2312" w:hAnsi="仿宋_GB2312" w:eastAsia="仿宋_GB2312" w:cs="仿宋_GB2312"/>
          <w:color w:val="auto"/>
          <w:sz w:val="32"/>
          <w:szCs w:val="32"/>
          <w:highlight w:val="none"/>
          <w:lang w:val="en-US" w:eastAsia="zh-CN"/>
        </w:rPr>
        <w:t>组长：玉苏普江·图尔贡（疏附县交通运输局党组副书记、局长）负责建立健全工作机制，组织、协调项目实施过程相关管理工作，对项目实施全过程进行管控；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副组长：贾永兵（疏附县交通运输局党组成员、副局长）负责保障项目的有效运行、对项目实施全过程进行有效监督，掌握项目的具体实施进度；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员：胡兴峰（疏附县交通运输局干部）、李芳（疏附县交通运输局会计）负责对制定实施方案，精心制定计划，补助类项目进行管理，具体为对受益方名单进行确认；同时负责资金的拨付、建立真实、完整、规范的档案，参与项目实施结尾工作，该项目组织机构健全，分工明确，责任清晰等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14" w:name="_Toc10997"/>
      <w:bookmarkStart w:id="215" w:name="_Toc11577"/>
      <w:bookmarkStart w:id="216" w:name="_Toc21487"/>
      <w:r>
        <w:rPr>
          <w:rFonts w:hint="eastAsia" w:ascii="仿宋_GB2312" w:hAnsi="仿宋_GB2312" w:eastAsia="仿宋_GB2312" w:cs="仿宋_GB2312"/>
          <w:color w:val="auto"/>
          <w:sz w:val="32"/>
          <w:szCs w:val="32"/>
          <w:highlight w:val="none"/>
          <w:lang w:val="en-US" w:eastAsia="zh-CN"/>
        </w:rPr>
        <w:t>三是加强对项目资金的预算执行及日常监督管理，确保每个项目按照规定的用途实施。资金拨付坚持按项目、预算、进度、指定用途拨款，确保财政专项资金规范使用。项目实施过程中各级单位履行监管职能，各项制度执行有效。同时，该单位严格按照《新疆维吾尔自治区城乡道路客运成品油价格补助专项资金管理办法》，《自治区财政资金使用</w:t>
      </w:r>
      <w:bookmarkStart w:id="319" w:name="_GoBack"/>
      <w:bookmarkEnd w:id="319"/>
      <w:r>
        <w:rPr>
          <w:rFonts w:hint="eastAsia" w:ascii="仿宋_GB2312" w:hAnsi="仿宋_GB2312" w:eastAsia="仿宋_GB2312" w:cs="仿宋_GB2312"/>
          <w:color w:val="auto"/>
          <w:sz w:val="32"/>
          <w:szCs w:val="32"/>
          <w:highlight w:val="none"/>
          <w:lang w:val="en-US" w:eastAsia="zh-CN"/>
        </w:rPr>
        <w:t>反馈管理暂行办法》文件规定，以上管理制度涵盖了财政专项资金项目的设立、质量管理、安全管理、成本控制、项目验收等流程管理制度，并结合《疏附县交通运输局项目管理制度》、《疏附县交通运输局工作制度》等相关制度对项目实施过程进行严格把控，项目管理制度有效执行。</w:t>
      </w:r>
      <w:bookmarkEnd w:id="214"/>
      <w:bookmarkEnd w:id="215"/>
      <w:bookmarkEnd w:id="216"/>
      <w:r>
        <w:rPr>
          <w:rFonts w:hint="eastAsia" w:ascii="仿宋_GB2312" w:hAnsi="仿宋_GB2312" w:eastAsia="仿宋_GB2312" w:cs="仿宋_GB2312"/>
          <w:color w:val="auto"/>
          <w:sz w:val="32"/>
          <w:szCs w:val="32"/>
          <w:highlight w:val="none"/>
          <w:lang w:val="en-US" w:eastAsia="zh-CN"/>
        </w:rPr>
        <w:t>相关项目负责人未对项目资料进行归档。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该项分值为5分，评价得分3.5分。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方正楷体_GBK" w:hAnsi="方正楷体_GBK" w:eastAsia="方正楷体_GBK" w:cs="方正楷体_GBK"/>
          <w:b/>
          <w:bCs/>
          <w:color w:val="auto"/>
          <w:sz w:val="32"/>
          <w:szCs w:val="32"/>
          <w:lang w:val="en-US" w:eastAsia="zh-CN"/>
        </w:rPr>
      </w:pPr>
      <w:bookmarkStart w:id="217" w:name="_Toc10347"/>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三</w:t>
      </w:r>
      <w:r>
        <w:rPr>
          <w:rFonts w:hint="eastAsia" w:ascii="方正楷体_GBK" w:hAnsi="方正楷体_GBK" w:eastAsia="方正楷体_GBK" w:cs="方正楷体_GBK"/>
          <w:b/>
          <w:bCs/>
          <w:color w:val="auto"/>
          <w:sz w:val="32"/>
          <w:szCs w:val="32"/>
        </w:rPr>
        <w:t>）项目</w:t>
      </w:r>
      <w:r>
        <w:rPr>
          <w:rFonts w:hint="eastAsia" w:ascii="方正楷体_GBK" w:hAnsi="方正楷体_GBK" w:eastAsia="方正楷体_GBK" w:cs="方正楷体_GBK"/>
          <w:b/>
          <w:bCs/>
          <w:color w:val="auto"/>
          <w:sz w:val="32"/>
          <w:szCs w:val="32"/>
          <w:lang w:val="en-US" w:eastAsia="zh-CN"/>
        </w:rPr>
        <w:t>产出</w:t>
      </w:r>
      <w:r>
        <w:rPr>
          <w:rFonts w:hint="eastAsia" w:ascii="方正楷体_GBK" w:hAnsi="方正楷体_GBK" w:eastAsia="方正楷体_GBK" w:cs="方正楷体_GBK"/>
          <w:b/>
          <w:bCs/>
          <w:color w:val="auto"/>
          <w:sz w:val="32"/>
          <w:szCs w:val="32"/>
        </w:rPr>
        <w:t>情况分析</w:t>
      </w:r>
      <w:bookmarkEnd w:id="208"/>
      <w:bookmarkEnd w:id="209"/>
      <w:bookmarkEnd w:id="210"/>
      <w:bookmarkEnd w:id="217"/>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1.产出数量情况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截止已对1家城乡公交有限公司发放油价补贴，按照6万元/辆的标准补贴公交车辆17辆。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该项分值为8分，评价得分8分。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2.产出质量情况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该项目申请运营补助车辆的合规比例，城乡公交补贴覆盖率为100%，产出质量指标已完成。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该项分值为8分，评价得分8分。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3.产出时效情况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该项目补贴资金发放及时率为100%，项目结束时间为2022年5月31日，时效指标达到指标预期值。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该项分值为7分，评价得分7分。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4.产出成本情况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该项目预算资金为102.00万元，实际支出为102.00万元，已按照6万元/辆的标准发放了17辆新能源公交车购置补贴，项目支出有效控制在预算范围内。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该项分值为7分，评价得分7分。</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218" w:name="_Toc19951"/>
      <w:bookmarkStart w:id="219" w:name="_Toc1834"/>
      <w:bookmarkStart w:id="220" w:name="_Toc30247"/>
      <w:bookmarkStart w:id="221" w:name="_Toc21878"/>
      <w:r>
        <w:rPr>
          <w:rFonts w:hint="eastAsia" w:ascii="方正楷体_GBK" w:hAnsi="方正楷体_GBK" w:eastAsia="方正楷体_GBK" w:cs="方正楷体_GBK"/>
          <w:b/>
          <w:bCs/>
          <w:color w:val="auto"/>
          <w:sz w:val="32"/>
          <w:szCs w:val="32"/>
          <w:lang w:val="en-US" w:eastAsia="zh-CN"/>
        </w:rPr>
        <w:t>（四）项目效益评价分析</w:t>
      </w:r>
      <w:bookmarkEnd w:id="218"/>
      <w:bookmarkEnd w:id="219"/>
      <w:bookmarkEnd w:id="220"/>
      <w:bookmarkEnd w:id="221"/>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1.经济效益情况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2.社会效益情况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通过给购买新能源汽车的公司发放购置补贴，很大程度上减轻企业运营负担，确保企业正常运转。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该项分值为10分，评价得分10分。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3.生态效益情况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该项目不涉及该指标。</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4.可持续影响情况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项目的实施推动新能源公交车规模化推广应用，促进公交行业减排，为大气污染防治做出贡献，有效减轻企业运行负担，推动运输服务高质量发展。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该项分值为10分，评价得分10分。</w:t>
      </w:r>
    </w:p>
    <w:p>
      <w:pPr>
        <w:pStyle w:val="31"/>
        <w:pageBreakBefore w:val="0"/>
        <w:tabs>
          <w:tab w:val="left" w:pos="1559"/>
        </w:tabs>
        <w:kinsoku/>
        <w:wordWrap/>
        <w:overflowPunct/>
        <w:topLinePunct w:val="0"/>
        <w:autoSpaceDE/>
        <w:autoSpaceDN/>
        <w:bidi w:val="0"/>
        <w:adjustRightInd w:val="0"/>
        <w:snapToGrid w:val="0"/>
        <w:spacing w:line="560" w:lineRule="exact"/>
        <w:ind w:firstLine="643" w:firstLineChars="200"/>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5.服务对象满意度情况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22" w:name="_Toc29894"/>
      <w:bookmarkStart w:id="223" w:name="_Toc7580"/>
      <w:bookmarkStart w:id="224" w:name="_Toc3762"/>
      <w:bookmarkStart w:id="225" w:name="_Toc6037"/>
      <w:bookmarkStart w:id="226" w:name="_Toc14117"/>
      <w:bookmarkStart w:id="227" w:name="_Toc282"/>
      <w:r>
        <w:rPr>
          <w:rFonts w:hint="eastAsia" w:ascii="仿宋_GB2312" w:hAnsi="仿宋_GB2312" w:eastAsia="仿宋_GB2312" w:cs="仿宋_GB2312"/>
          <w:color w:val="auto"/>
          <w:sz w:val="32"/>
          <w:szCs w:val="32"/>
          <w:highlight w:val="none"/>
          <w:lang w:val="en-US" w:eastAsia="zh-CN"/>
        </w:rPr>
        <w:t>通过走访受益对象，城乡公交公司满意度指标预期值大于等于95%，通过发放调查问卷的方式走访受益对象，本次发放问卷100份，收回有效问卷100份，受益对象满意度调查结果为95%。</w:t>
      </w:r>
      <w:bookmarkEnd w:id="222"/>
      <w:bookmarkEnd w:id="223"/>
      <w:bookmarkEnd w:id="22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该项分值为10分，评价得分10分。</w:t>
      </w:r>
    </w:p>
    <w:p>
      <w:pPr>
        <w:pageBreakBefore w:val="0"/>
        <w:numPr>
          <w:ilvl w:val="0"/>
          <w:numId w:val="0"/>
        </w:numPr>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bookmarkStart w:id="228" w:name="_Toc5925"/>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225"/>
      <w:bookmarkEnd w:id="226"/>
      <w:bookmarkEnd w:id="227"/>
      <w:bookmarkEnd w:id="228"/>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29" w:name="_Toc18818"/>
      <w:bookmarkStart w:id="230" w:name="_Toc13597"/>
      <w:bookmarkStart w:id="231" w:name="_Toc30661"/>
      <w:bookmarkStart w:id="232" w:name="_Toc26462"/>
      <w:r>
        <w:rPr>
          <w:rFonts w:hint="eastAsia" w:ascii="方正楷体_GBK" w:hAnsi="方正楷体_GBK" w:eastAsia="方正楷体_GBK" w:cs="方正楷体_GBK"/>
          <w:b/>
          <w:bCs/>
          <w:color w:val="auto"/>
          <w:sz w:val="32"/>
          <w:szCs w:val="32"/>
        </w:rPr>
        <w:t>（一）评分结果</w:t>
      </w:r>
      <w:bookmarkEnd w:id="229"/>
      <w:bookmarkEnd w:id="230"/>
      <w:bookmarkEnd w:id="231"/>
      <w:bookmarkEnd w:id="23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经综合评价，项目得分为96分，评价等级为优，各项得分情况见下表：</w:t>
      </w:r>
    </w:p>
    <w:p>
      <w:pPr>
        <w:pStyle w:val="38"/>
        <w:pageBreakBefore w:val="0"/>
        <w:kinsoku/>
        <w:wordWrap/>
        <w:overflowPunct/>
        <w:topLinePunct w:val="0"/>
        <w:autoSpaceDE/>
        <w:autoSpaceDN/>
        <w:bidi w:val="0"/>
        <w:ind w:firstLine="643"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绩效评价</w:t>
      </w:r>
      <w:r>
        <w:rPr>
          <w:rFonts w:ascii="Times New Roman" w:hAnsi="Times New Roman" w:eastAsia="仿宋_GB2312"/>
          <w:color w:val="auto"/>
          <w:sz w:val="32"/>
          <w:szCs w:val="32"/>
          <w:highlight w:val="none"/>
        </w:rPr>
        <w:t>得分情况表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10" w:hRule="atLeast"/>
          <w:jc w:val="center"/>
        </w:trPr>
        <w:tc>
          <w:tcPr>
            <w:tcW w:w="1517" w:type="dxa"/>
            <w:tcBorders>
              <w:bottom w:val="single" w:color="auto" w:sz="4" w:space="0"/>
            </w:tcBorders>
            <w:shd w:val="clear" w:color="auto" w:fill="A6A6A6"/>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8"/>
              <w:pageBreakBefore w:val="0"/>
              <w:kinsoku/>
              <w:wordWrap/>
              <w:overflowPunct/>
              <w:topLinePunct w:val="0"/>
              <w:autoSpaceDE/>
              <w:autoSpaceDN/>
              <w:bidi w:val="0"/>
              <w:jc w:val="center"/>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8"/>
              <w:pageBreakBefore w:val="0"/>
              <w:kinsoku/>
              <w:wordWrap/>
              <w:overflowPunct/>
              <w:topLinePunct w:val="0"/>
              <w:autoSpaceDE/>
              <w:autoSpaceDN/>
              <w:bidi w:val="0"/>
              <w:jc w:val="both"/>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8"/>
              <w:pageBreakBefore w:val="0"/>
              <w:kinsoku/>
              <w:wordWrap/>
              <w:overflowPunct/>
              <w:topLinePunct w:val="0"/>
              <w:autoSpaceDE/>
              <w:autoSpaceDN/>
              <w:bidi w:val="0"/>
              <w:jc w:val="both"/>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517" w:type="dxa"/>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8"/>
              <w:pageBreakBefore w:val="0"/>
              <w:kinsoku/>
              <w:wordWrap/>
              <w:overflowPunct/>
              <w:topLinePunct w:val="0"/>
              <w:autoSpaceDE/>
              <w:autoSpaceDN/>
              <w:bidi w:val="0"/>
              <w:ind w:firstLine="420" w:firstLineChars="200"/>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1517" w:type="dxa"/>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16</w:t>
            </w:r>
          </w:p>
        </w:tc>
        <w:tc>
          <w:tcPr>
            <w:tcW w:w="1152"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8"/>
              <w:pageBreakBefore w:val="0"/>
              <w:kinsoku/>
              <w:wordWrap/>
              <w:overflowPunct/>
              <w:topLinePunct w:val="0"/>
              <w:autoSpaceDE/>
              <w:autoSpaceDN/>
              <w:bidi w:val="0"/>
              <w:ind w:firstLine="420" w:firstLineChars="200"/>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517" w:type="dxa"/>
            <w:vAlign w:val="center"/>
          </w:tcPr>
          <w:p>
            <w:pPr>
              <w:pStyle w:val="38"/>
              <w:pageBreakBefore w:val="0"/>
              <w:kinsoku/>
              <w:wordWrap/>
              <w:overflowPunct/>
              <w:topLinePunct w:val="0"/>
              <w:autoSpaceDE/>
              <w:autoSpaceDN/>
              <w:bidi w:val="0"/>
              <w:ind w:firstLine="422" w:firstLineChars="200"/>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80</w:t>
            </w:r>
            <w:r>
              <w:rPr>
                <w:rFonts w:hint="eastAsia" w:ascii="Times New Roman" w:hAnsi="Times New Roman" w:eastAsia="仿宋_GB2312" w:cs="仿宋"/>
                <w:b w:val="0"/>
                <w:color w:val="auto"/>
                <w:sz w:val="21"/>
                <w:szCs w:val="21"/>
                <w:highlight w:val="none"/>
              </w:rPr>
              <w:t>%</w:t>
            </w:r>
          </w:p>
        </w:tc>
        <w:tc>
          <w:tcPr>
            <w:tcW w:w="1152" w:type="dxa"/>
            <w:vAlign w:val="center"/>
          </w:tcPr>
          <w:p>
            <w:pPr>
              <w:pStyle w:val="38"/>
              <w:pageBreakBefore w:val="0"/>
              <w:kinsoku/>
              <w:wordWrap/>
              <w:overflowPunct/>
              <w:topLinePunct w:val="0"/>
              <w:autoSpaceDE/>
              <w:autoSpaceDN/>
              <w:bidi w:val="0"/>
              <w:ind w:firstLine="420" w:firstLineChars="200"/>
              <w:rPr>
                <w:rFonts w:hint="eastAsia"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8"/>
              <w:pageBreakBefore w:val="0"/>
              <w:kinsoku/>
              <w:wordWrap/>
              <w:overflowPunct/>
              <w:topLinePunct w:val="0"/>
              <w:autoSpaceDE/>
              <w:autoSpaceDN/>
              <w:bidi w:val="0"/>
              <w:ind w:firstLine="420" w:firstLineChars="200"/>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96</w:t>
            </w:r>
            <w:r>
              <w:rPr>
                <w:rFonts w:hint="eastAsia" w:ascii="Times New Roman" w:hAnsi="Times New Roman" w:eastAsia="仿宋_GB2312" w:cs="仿宋"/>
                <w:b w:val="0"/>
                <w:color w:val="auto"/>
                <w:sz w:val="21"/>
                <w:szCs w:val="21"/>
                <w:highlight w:val="none"/>
              </w:rPr>
              <w:t>%</w:t>
            </w:r>
          </w:p>
        </w:tc>
      </w:tr>
    </w:tbl>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highlight w:val="yellow"/>
        </w:rPr>
      </w:pPr>
      <w:r>
        <w:rPr>
          <w:rFonts w:hint="eastAsia" w:ascii="Times New Roman" w:hAnsi="Times New Roman" w:eastAsia="仿宋_GB2312" w:cs="宋体"/>
          <w:b/>
          <w:bCs/>
          <w:vanish/>
          <w:color w:val="auto"/>
          <w:sz w:val="32"/>
          <w:szCs w:val="32"/>
          <w:highlight w:val="yellow"/>
        </w:rPr>
        <w:t>评价结论</w:t>
      </w:r>
    </w:p>
    <w:p>
      <w:pPr>
        <w:pStyle w:val="31"/>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233"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1"/>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1"/>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23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102.00万元，实际支出102.00万元，预算资金执行率100%。资金使用程序较规范，能够做到专款专用，未发现截留、挤占、挪用、虚列支出等情况。通过实施该项目推动新能源公交车规模化推广应用，促进公交行业减排，为大气污染防治做出贡献，有效减轻企业运行负担，推动运输服务高质量发展。</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lang w:val="en-US" w:eastAsia="zh-CN"/>
        </w:rPr>
      </w:pPr>
      <w:bookmarkStart w:id="234" w:name="_Toc30493"/>
      <w:bookmarkStart w:id="235" w:name="_Toc28749"/>
      <w:bookmarkStart w:id="236" w:name="_Toc25630"/>
      <w:bookmarkStart w:id="237" w:name="_Toc28299"/>
      <w:r>
        <w:rPr>
          <w:rFonts w:hint="eastAsia" w:ascii="方正黑体_GBK" w:hAnsi="方正黑体_GBK" w:eastAsia="方正黑体_GBK" w:cs="方正黑体_GBK"/>
          <w:color w:val="auto"/>
          <w:sz w:val="32"/>
          <w:szCs w:val="32"/>
          <w:highlight w:val="none"/>
        </w:rPr>
        <w:t>五、</w:t>
      </w:r>
      <w:bookmarkEnd w:id="234"/>
      <w:bookmarkEnd w:id="235"/>
      <w:r>
        <w:rPr>
          <w:rFonts w:hint="eastAsia" w:ascii="方正黑体_GBK" w:hAnsi="方正黑体_GBK" w:eastAsia="方正黑体_GBK" w:cs="方正黑体_GBK"/>
          <w:color w:val="auto"/>
          <w:sz w:val="32"/>
          <w:szCs w:val="32"/>
          <w:highlight w:val="none"/>
          <w:lang w:val="en-US" w:eastAsia="zh-CN"/>
        </w:rPr>
        <w:t>问题及建议</w:t>
      </w:r>
      <w:bookmarkEnd w:id="236"/>
      <w:bookmarkEnd w:id="237"/>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38" w:name="_Toc23669"/>
      <w:bookmarkStart w:id="239" w:name="_Toc21221"/>
      <w:bookmarkStart w:id="240" w:name="_Toc6923"/>
      <w:bookmarkStart w:id="241" w:name="_Toc15694"/>
      <w:bookmarkStart w:id="242" w:name="_Toc14039"/>
      <w:r>
        <w:rPr>
          <w:rFonts w:hint="eastAsia" w:ascii="方正楷体_GBK" w:hAnsi="方正楷体_GBK" w:eastAsia="方正楷体_GBK" w:cs="方正楷体_GBK"/>
          <w:b/>
          <w:bCs/>
          <w:color w:val="auto"/>
          <w:sz w:val="32"/>
          <w:szCs w:val="32"/>
        </w:rPr>
        <w:t>（一）问题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1.对项目后期监督不到位，该单位补助资金发放完毕之后，未对项目进行后期管理。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2.相关项目负责人未对项目资料进行归档。</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二</w:t>
      </w:r>
      <w:r>
        <w:rPr>
          <w:rFonts w:hint="eastAsia" w:ascii="方正楷体_GBK" w:hAnsi="方正楷体_GBK" w:eastAsia="方正楷体_GBK" w:cs="方正楷体_GBK"/>
          <w:b/>
          <w:bCs/>
          <w:color w:val="auto"/>
          <w:sz w:val="32"/>
          <w:szCs w:val="32"/>
        </w:rPr>
        <w:t>）意见和建议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1.指定专门负责人，长期狠抓制度执行，时刻监督项目效益产生情况。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2.在项目每个实施节点让相关公交公司上交项目材料，按项目做好资料归档工作，并为后期项目资料的翻阅提供便利条件。</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六、主要经验及做法</w:t>
      </w:r>
      <w:bookmarkEnd w:id="238"/>
      <w:bookmarkEnd w:id="239"/>
      <w:bookmarkEnd w:id="240"/>
      <w:bookmarkEnd w:id="241"/>
      <w:bookmarkEnd w:id="242"/>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default" w:ascii="方正楷体_GBK" w:hAnsi="方正楷体_GBK" w:eastAsia="方正楷体_GBK" w:cs="方正楷体_GBK"/>
          <w:b/>
          <w:bCs/>
          <w:color w:val="auto"/>
          <w:sz w:val="32"/>
          <w:szCs w:val="32"/>
          <w:lang w:val="en-US" w:eastAsia="zh-CN"/>
        </w:rPr>
      </w:pPr>
      <w:bookmarkStart w:id="243" w:name="_Toc9446"/>
      <w:bookmarkStart w:id="244" w:name="_Toc30107"/>
      <w:bookmarkStart w:id="245" w:name="_Toc32767"/>
      <w:bookmarkStart w:id="246" w:name="_Toc14707"/>
      <w:bookmarkStart w:id="247" w:name="_Toc4035"/>
      <w:bookmarkStart w:id="248" w:name="_Toc24288"/>
      <w:bookmarkStart w:id="249" w:name="_Toc7837"/>
      <w:bookmarkStart w:id="250" w:name="_Toc22725"/>
      <w:bookmarkStart w:id="251" w:name="_Toc14723"/>
      <w:r>
        <w:rPr>
          <w:rFonts w:hint="eastAsia" w:ascii="方正楷体_GBK" w:hAnsi="方正楷体_GBK" w:eastAsia="方正楷体_GBK" w:cs="方正楷体_GBK"/>
          <w:b/>
          <w:bCs/>
          <w:color w:val="auto"/>
          <w:sz w:val="32"/>
          <w:szCs w:val="32"/>
          <w:lang w:val="en-US" w:eastAsia="zh-CN"/>
        </w:rPr>
        <w:t>（一）项目实施过程有效</w:t>
      </w:r>
      <w:bookmarkEnd w:id="243"/>
      <w:r>
        <w:rPr>
          <w:rFonts w:hint="eastAsia" w:ascii="方正楷体_GBK" w:hAnsi="方正楷体_GBK" w:eastAsia="方正楷体_GBK" w:cs="方正楷体_GBK"/>
          <w:b/>
          <w:bCs/>
          <w:color w:val="auto"/>
          <w:sz w:val="32"/>
          <w:szCs w:val="32"/>
          <w:lang w:val="en-US" w:eastAsia="zh-CN"/>
        </w:rPr>
        <w:t>监督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52" w:name="_Toc2039"/>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对该项目开展绩效工作，实行项目预算执行率与工作完成进度双监督，并全面把握资金使用效率和项目实施开展进度，督促相关责任人按期保质完成工作。</w:t>
      </w:r>
      <w:bookmarkEnd w:id="252"/>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253" w:name="_Toc31804"/>
      <w:r>
        <w:rPr>
          <w:rFonts w:hint="eastAsia" w:ascii="方正楷体_GBK" w:hAnsi="方正楷体_GBK" w:eastAsia="方正楷体_GBK" w:cs="方正楷体_GBK"/>
          <w:b/>
          <w:bCs/>
          <w:color w:val="auto"/>
          <w:sz w:val="32"/>
          <w:szCs w:val="32"/>
          <w:lang w:val="en-US" w:eastAsia="zh-CN"/>
        </w:rPr>
        <w:t>（二）强化领导，明确职责，合理安排使用资金</w:t>
      </w:r>
      <w:bookmarkEnd w:id="25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54" w:name="_Toc3314"/>
      <w:r>
        <w:rPr>
          <w:rFonts w:hint="eastAsia" w:ascii="仿宋_GB2312" w:hAnsi="仿宋_GB2312" w:eastAsia="仿宋_GB2312" w:cs="仿宋_GB2312"/>
          <w:color w:val="auto"/>
          <w:sz w:val="32"/>
          <w:szCs w:val="32"/>
          <w:highlight w:val="none"/>
          <w:lang w:val="en-US" w:eastAsia="zh-CN"/>
        </w:rPr>
        <w:t>疏附县交通运输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bookmarkEnd w:id="254"/>
    </w:p>
    <w:p>
      <w:pPr>
        <w:pageBreakBefore w:val="0"/>
        <w:tabs>
          <w:tab w:val="left" w:pos="938"/>
        </w:tabs>
        <w:kinsoku/>
        <w:wordWrap/>
        <w:overflowPunct/>
        <w:topLinePunct w:val="0"/>
        <w:autoSpaceDE/>
        <w:autoSpaceDN/>
        <w:bidi w:val="0"/>
        <w:spacing w:line="560" w:lineRule="exact"/>
        <w:ind w:firstLine="640" w:firstLineChars="200"/>
        <w:outlineLvl w:val="0"/>
        <w:rPr>
          <w:rFonts w:hint="eastAsia" w:ascii="方正黑体_GBK" w:hAnsi="方正黑体_GBK" w:eastAsia="方正黑体_GBK" w:cs="方正黑体_GBK"/>
          <w:b w:val="0"/>
          <w:bCs w:val="0"/>
          <w:color w:val="auto"/>
          <w:sz w:val="32"/>
          <w:szCs w:val="32"/>
          <w:highlight w:val="none"/>
        </w:rPr>
      </w:pPr>
      <w:bookmarkStart w:id="255" w:name="_Toc110"/>
      <w:r>
        <w:rPr>
          <w:rFonts w:hint="eastAsia" w:ascii="方正黑体_GBK" w:hAnsi="方正黑体_GBK" w:eastAsia="方正黑体_GBK" w:cs="方正黑体_GBK"/>
          <w:b w:val="0"/>
          <w:bCs w:val="0"/>
          <w:color w:val="auto"/>
          <w:sz w:val="32"/>
          <w:szCs w:val="32"/>
          <w:highlight w:val="none"/>
        </w:rPr>
        <w:t>七、评价结果应用建议</w:t>
      </w:r>
      <w:bookmarkEnd w:id="244"/>
      <w:bookmarkEnd w:id="245"/>
      <w:bookmarkEnd w:id="246"/>
      <w:bookmarkEnd w:id="247"/>
      <w:bookmarkEnd w:id="255"/>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56" w:name="_Toc10895"/>
      <w:bookmarkStart w:id="257" w:name="_Toc9396"/>
      <w:bookmarkStart w:id="258" w:name="_Toc4603"/>
      <w:bookmarkStart w:id="259" w:name="_Toc11824"/>
      <w:r>
        <w:rPr>
          <w:rFonts w:hint="eastAsia" w:ascii="方正楷体_GBK" w:hAnsi="方正楷体_GBK" w:eastAsia="方正楷体_GBK" w:cs="方正楷体_GBK"/>
          <w:b/>
          <w:bCs/>
          <w:color w:val="auto"/>
          <w:sz w:val="32"/>
          <w:szCs w:val="32"/>
        </w:rPr>
        <w:t>（一）及时对发现的问题进行整改</w:t>
      </w:r>
      <w:bookmarkEnd w:id="248"/>
      <w:bookmarkEnd w:id="256"/>
      <w:bookmarkEnd w:id="257"/>
      <w:bookmarkEnd w:id="258"/>
      <w:bookmarkEnd w:id="25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针对绩效评价中发现的问题，建议疏附县交通运输局对存在的问题进行梳理，对能够整改的问题及时进行整改，不能整改的问题以后加强管理，切实提高财政资源配置效率和使用效益。</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260" w:name="_Toc7529"/>
      <w:bookmarkStart w:id="261" w:name="_Toc12708"/>
      <w:bookmarkStart w:id="262" w:name="_Toc12015"/>
      <w:bookmarkStart w:id="263" w:name="_Toc32288"/>
      <w:bookmarkStart w:id="264" w:name="_Toc31513"/>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lang w:val="en-US" w:eastAsia="zh-CN"/>
        </w:rPr>
        <w:t>二</w:t>
      </w:r>
      <w:r>
        <w:rPr>
          <w:rFonts w:hint="eastAsia" w:ascii="方正楷体_GBK" w:hAnsi="方正楷体_GBK" w:eastAsia="方正楷体_GBK" w:cs="方正楷体_GBK"/>
          <w:b/>
          <w:bCs/>
          <w:color w:val="auto"/>
          <w:sz w:val="32"/>
          <w:szCs w:val="32"/>
          <w:lang w:eastAsia="zh-CN"/>
        </w:rPr>
        <w:t>）</w:t>
      </w:r>
      <w:r>
        <w:rPr>
          <w:rFonts w:hint="eastAsia" w:ascii="方正楷体_GBK" w:hAnsi="方正楷体_GBK" w:eastAsia="方正楷体_GBK" w:cs="方正楷体_GBK"/>
          <w:b/>
          <w:bCs/>
          <w:color w:val="auto"/>
          <w:sz w:val="32"/>
          <w:szCs w:val="32"/>
        </w:rPr>
        <w:t>建立绩效评价结果应用制度</w:t>
      </w:r>
      <w:bookmarkEnd w:id="260"/>
      <w:bookmarkEnd w:id="261"/>
      <w:bookmarkEnd w:id="262"/>
      <w:bookmarkEnd w:id="263"/>
      <w:bookmarkEnd w:id="26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eastAsia="zh-CN"/>
        </w:rPr>
      </w:pPr>
      <w:bookmarkStart w:id="265" w:name="_Toc2200"/>
      <w:bookmarkStart w:id="266" w:name="_Toc10628"/>
      <w:bookmarkStart w:id="267" w:name="_Toc4538"/>
      <w:bookmarkStart w:id="268" w:name="_Toc11905"/>
      <w:bookmarkStart w:id="269" w:name="_Toc20108"/>
      <w:r>
        <w:rPr>
          <w:rFonts w:hint="eastAsia" w:ascii="方正楷体_GBK" w:hAnsi="方正楷体_GBK" w:eastAsia="方正楷体_GBK" w:cs="方正楷体_GBK"/>
          <w:b/>
          <w:bCs/>
          <w:color w:val="auto"/>
          <w:sz w:val="32"/>
          <w:szCs w:val="32"/>
          <w:lang w:eastAsia="zh-CN"/>
        </w:rPr>
        <w:t>（三）</w:t>
      </w:r>
      <w:r>
        <w:rPr>
          <w:rFonts w:hint="eastAsia" w:ascii="方正楷体_GBK" w:hAnsi="方正楷体_GBK" w:eastAsia="方正楷体_GBK" w:cs="方正楷体_GBK"/>
          <w:b/>
          <w:bCs/>
          <w:color w:val="auto"/>
          <w:sz w:val="32"/>
          <w:szCs w:val="32"/>
          <w:lang w:val="en-US" w:eastAsia="zh-CN"/>
        </w:rPr>
        <w:t>强化</w:t>
      </w:r>
      <w:r>
        <w:rPr>
          <w:rFonts w:hint="eastAsia" w:ascii="方正楷体_GBK" w:hAnsi="方正楷体_GBK" w:eastAsia="方正楷体_GBK" w:cs="方正楷体_GBK"/>
          <w:b/>
          <w:bCs/>
          <w:color w:val="auto"/>
          <w:sz w:val="32"/>
          <w:szCs w:val="32"/>
          <w:lang w:eastAsia="zh-CN"/>
        </w:rPr>
        <w:t>绩效评价结果应用</w:t>
      </w:r>
      <w:bookmarkEnd w:id="265"/>
      <w:bookmarkEnd w:id="266"/>
      <w:bookmarkEnd w:id="267"/>
      <w:bookmarkEnd w:id="268"/>
      <w:bookmarkEnd w:id="26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三是进一步加大对评价结果的应用，疏附县2022年度的绩效评价情况可作为以后年度部门单位项目预算编制和安排财政资金的重要依据。</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270" w:name="_Toc29807"/>
      <w:bookmarkStart w:id="271" w:name="_Toc25550"/>
      <w:bookmarkStart w:id="272" w:name="_Toc13172"/>
      <w:bookmarkStart w:id="273" w:name="_Toc32162"/>
      <w:bookmarkStart w:id="274" w:name="_Toc31056"/>
      <w:r>
        <w:rPr>
          <w:rFonts w:hint="eastAsia" w:ascii="方正楷体_GBK" w:hAnsi="方正楷体_GBK" w:eastAsia="方正楷体_GBK" w:cs="方正楷体_GBK"/>
          <w:b/>
          <w:bCs/>
          <w:color w:val="auto"/>
          <w:sz w:val="32"/>
          <w:szCs w:val="32"/>
          <w:lang w:val="en-US" w:eastAsia="zh-CN"/>
        </w:rPr>
        <w:t>（四）评价结果公开</w:t>
      </w:r>
      <w:bookmarkEnd w:id="270"/>
      <w:bookmarkEnd w:id="271"/>
      <w:bookmarkEnd w:id="272"/>
      <w:bookmarkEnd w:id="273"/>
      <w:bookmarkEnd w:id="27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249"/>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75" w:name="_Toc11652"/>
      <w:bookmarkStart w:id="276" w:name="_Toc5951"/>
      <w:bookmarkStart w:id="277" w:name="_Toc15490"/>
      <w:bookmarkStart w:id="278" w:name="_Toc307"/>
      <w:r>
        <w:rPr>
          <w:rFonts w:hint="eastAsia" w:ascii="方正黑体_GBK" w:hAnsi="方正黑体_GBK" w:eastAsia="方正黑体_GBK" w:cs="方正黑体_GBK"/>
          <w:color w:val="auto"/>
          <w:sz w:val="32"/>
          <w:szCs w:val="32"/>
          <w:highlight w:val="none"/>
          <w:lang w:val="en-US" w:eastAsia="zh-CN"/>
        </w:rPr>
        <w:t>八、</w:t>
      </w:r>
      <w:r>
        <w:rPr>
          <w:rFonts w:hint="eastAsia" w:ascii="方正黑体_GBK" w:hAnsi="方正黑体_GBK" w:eastAsia="方正黑体_GBK" w:cs="方正黑体_GBK"/>
          <w:color w:val="auto"/>
          <w:sz w:val="32"/>
          <w:szCs w:val="32"/>
          <w:highlight w:val="none"/>
        </w:rPr>
        <w:t>其他需</w:t>
      </w:r>
      <w:r>
        <w:rPr>
          <w:rFonts w:hint="eastAsia" w:ascii="方正黑体_GBK" w:hAnsi="方正黑体_GBK" w:eastAsia="方正黑体_GBK" w:cs="方正黑体_GBK"/>
          <w:color w:val="auto"/>
          <w:sz w:val="32"/>
          <w:szCs w:val="32"/>
          <w:highlight w:val="none"/>
          <w:lang w:val="en-US" w:eastAsia="zh-CN"/>
        </w:rPr>
        <w:t>要</w:t>
      </w:r>
      <w:r>
        <w:rPr>
          <w:rFonts w:hint="eastAsia" w:ascii="方正黑体_GBK" w:hAnsi="方正黑体_GBK" w:eastAsia="方正黑体_GBK" w:cs="方正黑体_GBK"/>
          <w:color w:val="auto"/>
          <w:sz w:val="32"/>
          <w:szCs w:val="32"/>
          <w:highlight w:val="none"/>
        </w:rPr>
        <w:t>说明的问题</w:t>
      </w:r>
      <w:bookmarkEnd w:id="250"/>
      <w:bookmarkEnd w:id="251"/>
      <w:bookmarkEnd w:id="275"/>
      <w:bookmarkEnd w:id="276"/>
      <w:bookmarkEnd w:id="277"/>
      <w:bookmarkEnd w:id="278"/>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color w:val="auto"/>
          <w:sz w:val="32"/>
          <w:szCs w:val="32"/>
          <w:lang w:val="en-US" w:eastAsia="zh-CN" w:bidi="ar"/>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ageBreakBefore w:val="0"/>
        <w:kinsoku/>
        <w:wordWrap/>
        <w:overflowPunct/>
        <w:topLinePunct w:val="0"/>
        <w:autoSpaceDE/>
        <w:autoSpaceDN/>
        <w:bidi w:val="0"/>
        <w:adjustRightInd w:val="0"/>
        <w:snapToGrid w:val="0"/>
        <w:spacing w:line="560" w:lineRule="exact"/>
        <w:ind w:firstLine="640" w:firstLineChars="200"/>
        <w:jc w:val="left"/>
        <w:outlineLvl w:val="0"/>
        <w:rPr>
          <w:rFonts w:hint="eastAsia" w:ascii="方正黑体_GBK" w:hAnsi="方正黑体_GBK" w:eastAsia="方正黑体_GBK" w:cs="方正黑体_GBK"/>
          <w:color w:val="auto"/>
          <w:sz w:val="32"/>
          <w:szCs w:val="32"/>
          <w:highlight w:val="none"/>
        </w:rPr>
      </w:pPr>
      <w:bookmarkStart w:id="279" w:name="_Toc27879"/>
      <w:bookmarkStart w:id="280" w:name="_Toc19441"/>
      <w:bookmarkStart w:id="281" w:name="_Toc6576"/>
      <w:bookmarkStart w:id="282" w:name="_Toc8043"/>
      <w:r>
        <w:rPr>
          <w:rFonts w:hint="eastAsia" w:ascii="方正黑体_GBK" w:hAnsi="方正黑体_GBK" w:eastAsia="方正黑体_GBK" w:cs="方正黑体_GBK"/>
          <w:color w:val="auto"/>
          <w:sz w:val="32"/>
          <w:szCs w:val="32"/>
          <w:highlight w:val="none"/>
        </w:rPr>
        <w:t>九、附件</w:t>
      </w:r>
      <w:bookmarkEnd w:id="279"/>
      <w:bookmarkEnd w:id="280"/>
      <w:bookmarkEnd w:id="281"/>
      <w:bookmarkEnd w:id="282"/>
    </w:p>
    <w:bookmarkEnd w:id="87"/>
    <w:p>
      <w:pPr>
        <w:pStyle w:val="31"/>
        <w:pageBreakBefore w:val="0"/>
        <w:numPr>
          <w:ilvl w:val="0"/>
          <w:numId w:val="3"/>
        </w:numPr>
        <w:kinsoku/>
        <w:wordWrap/>
        <w:overflowPunct/>
        <w:topLinePunct w:val="0"/>
        <w:autoSpaceDE/>
        <w:autoSpaceDN/>
        <w:bidi w:val="0"/>
        <w:adjustRightInd w:val="0"/>
        <w:snapToGrid w:val="0"/>
        <w:spacing w:line="560" w:lineRule="exact"/>
        <w:ind w:left="0" w:firstLine="643" w:firstLineChars="200"/>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附件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83" w:name="_Toc5066"/>
      <w:bookmarkStart w:id="284" w:name="_Toc13969"/>
      <w:bookmarkStart w:id="285" w:name="_Toc9070"/>
      <w:bookmarkStart w:id="286" w:name="_Toc9918"/>
      <w:bookmarkStart w:id="287" w:name="_Toc3379"/>
      <w:bookmarkStart w:id="288" w:name="_Toc5028"/>
      <w:bookmarkStart w:id="289" w:name="_Toc11837"/>
      <w:bookmarkStart w:id="290" w:name="_Toc39"/>
      <w:bookmarkStart w:id="291" w:name="_Toc11156"/>
      <w:bookmarkStart w:id="292" w:name="_Toc7782"/>
      <w:bookmarkStart w:id="293" w:name="_Toc18298"/>
      <w:bookmarkStart w:id="294" w:name="_Toc25144"/>
      <w:r>
        <w:rPr>
          <w:rFonts w:hint="eastAsia" w:ascii="仿宋_GB2312" w:hAnsi="仿宋_GB2312" w:eastAsia="仿宋_GB2312" w:cs="仿宋_GB2312"/>
          <w:color w:val="auto"/>
          <w:sz w:val="32"/>
          <w:szCs w:val="32"/>
          <w:highlight w:val="none"/>
          <w:lang w:val="en-US" w:eastAsia="zh-CN"/>
        </w:rPr>
        <w:t>附件一、疏附县2022年度新能源公交购置补助资金项目支出绩效评价指标体系</w:t>
      </w:r>
      <w:bookmarkEnd w:id="283"/>
      <w:bookmarkEnd w:id="284"/>
      <w:bookmarkEnd w:id="285"/>
      <w:bookmarkEnd w:id="286"/>
      <w:bookmarkEnd w:id="287"/>
      <w:bookmarkEnd w:id="288"/>
      <w:bookmarkEnd w:id="289"/>
      <w:bookmarkEnd w:id="290"/>
      <w:bookmarkEnd w:id="291"/>
      <w:bookmarkEnd w:id="292"/>
      <w:bookmarkEnd w:id="293"/>
      <w:bookmarkEnd w:id="29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95" w:name="_Toc25779"/>
      <w:bookmarkStart w:id="296" w:name="_Toc1808"/>
      <w:bookmarkStart w:id="297" w:name="_Toc32360"/>
      <w:bookmarkStart w:id="298" w:name="_Toc17647"/>
      <w:bookmarkStart w:id="299" w:name="_Toc16488"/>
      <w:bookmarkStart w:id="300" w:name="_Toc32762"/>
      <w:bookmarkStart w:id="301" w:name="_Toc11659"/>
      <w:bookmarkStart w:id="302" w:name="_Toc5268"/>
      <w:bookmarkStart w:id="303" w:name="_Toc19426"/>
      <w:bookmarkStart w:id="304" w:name="_Toc5753"/>
      <w:bookmarkStart w:id="305" w:name="_Toc31506"/>
      <w:bookmarkStart w:id="306" w:name="_Toc21178"/>
      <w:r>
        <w:rPr>
          <w:rFonts w:hint="eastAsia" w:ascii="仿宋_GB2312" w:hAnsi="仿宋_GB2312" w:eastAsia="仿宋_GB2312" w:cs="仿宋_GB2312"/>
          <w:color w:val="auto"/>
          <w:sz w:val="32"/>
          <w:szCs w:val="32"/>
          <w:highlight w:val="none"/>
          <w:lang w:val="en-US" w:eastAsia="zh-CN"/>
        </w:rPr>
        <w:t>附件二、疏附县2022年度新能源公交购置补助资金项目资金使用明细表</w:t>
      </w:r>
      <w:bookmarkEnd w:id="295"/>
      <w:bookmarkEnd w:id="296"/>
      <w:bookmarkEnd w:id="297"/>
      <w:bookmarkEnd w:id="298"/>
      <w:bookmarkEnd w:id="299"/>
      <w:bookmarkEnd w:id="300"/>
      <w:bookmarkEnd w:id="301"/>
      <w:bookmarkEnd w:id="302"/>
      <w:bookmarkEnd w:id="303"/>
      <w:bookmarkEnd w:id="304"/>
      <w:bookmarkEnd w:id="305"/>
      <w:bookmarkEnd w:id="30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bidi="ar"/>
        </w:rPr>
      </w:pPr>
      <w:bookmarkStart w:id="307" w:name="_Toc26905"/>
      <w:bookmarkStart w:id="308" w:name="_Toc14206"/>
      <w:bookmarkStart w:id="309" w:name="_Toc22995"/>
      <w:bookmarkStart w:id="310" w:name="_Toc13955"/>
      <w:bookmarkStart w:id="311" w:name="_Toc27354"/>
      <w:bookmarkStart w:id="312" w:name="_Toc27746"/>
      <w:bookmarkStart w:id="313" w:name="_Toc21161"/>
      <w:bookmarkStart w:id="314" w:name="_Toc27332"/>
      <w:bookmarkStart w:id="315" w:name="_Toc23835"/>
      <w:bookmarkStart w:id="316" w:name="_Toc4736"/>
      <w:bookmarkStart w:id="317" w:name="_Toc16544"/>
      <w:bookmarkStart w:id="318" w:name="_Toc6934"/>
      <w:r>
        <w:rPr>
          <w:rFonts w:hint="eastAsia" w:ascii="仿宋_GB2312" w:hAnsi="仿宋_GB2312" w:eastAsia="仿宋_GB2312" w:cs="仿宋_GB2312"/>
          <w:color w:val="auto"/>
          <w:sz w:val="32"/>
          <w:szCs w:val="32"/>
          <w:highlight w:val="none"/>
          <w:lang w:val="en-US" w:eastAsia="zh-CN"/>
        </w:rPr>
        <w:t>附件三、</w:t>
      </w:r>
      <w:bookmarkEnd w:id="307"/>
      <w:bookmarkEnd w:id="308"/>
      <w:bookmarkEnd w:id="309"/>
      <w:bookmarkEnd w:id="310"/>
      <w:bookmarkEnd w:id="311"/>
      <w:bookmarkEnd w:id="312"/>
      <w:bookmarkEnd w:id="313"/>
      <w:bookmarkEnd w:id="314"/>
      <w:bookmarkEnd w:id="315"/>
      <w:bookmarkEnd w:id="316"/>
      <w:bookmarkEnd w:id="317"/>
      <w:bookmarkEnd w:id="318"/>
      <w:r>
        <w:rPr>
          <w:rFonts w:hint="eastAsia" w:ascii="仿宋_GB2312" w:hAnsi="仿宋_GB2312" w:eastAsia="仿宋_GB2312" w:cs="仿宋_GB2312"/>
          <w:color w:val="auto"/>
          <w:sz w:val="32"/>
          <w:szCs w:val="32"/>
          <w:highlight w:val="none"/>
          <w:lang w:val="en-US" w:eastAsia="zh-CN"/>
        </w:rPr>
        <w:t>疏附县2022年度新能源公交购置补助资金项目绩效评价调查问卷统计表</w:t>
      </w: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960" w:firstLineChars="300"/>
        <w:jc w:val="right"/>
        <w:textAlignment w:val="auto"/>
        <w:outlineLvl w:val="1"/>
        <w:rPr>
          <w:rFonts w:hint="eastAsia" w:ascii="仿宋_GB2312" w:hAnsi="仿宋_GB2312" w:eastAsia="仿宋_GB2312" w:cs="仿宋_GB2312"/>
          <w:color w:val="auto"/>
          <w:sz w:val="32"/>
          <w:szCs w:val="32"/>
          <w:highlight w:val="none"/>
          <w:lang w:bidi="ar"/>
        </w:rPr>
      </w:pP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960" w:firstLineChars="300"/>
        <w:jc w:val="right"/>
        <w:textAlignment w:val="auto"/>
        <w:outlineLvl w:val="1"/>
        <w:rPr>
          <w:rFonts w:hint="eastAsia" w:ascii="仿宋_GB2312" w:hAnsi="仿宋_GB2312" w:eastAsia="仿宋_GB2312" w:cs="仿宋_GB2312"/>
          <w:color w:val="auto"/>
          <w:sz w:val="32"/>
          <w:szCs w:val="32"/>
          <w:highlight w:val="none"/>
          <w:lang w:bidi="ar"/>
        </w:rPr>
      </w:pP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960" w:firstLineChars="300"/>
        <w:jc w:val="right"/>
        <w:textAlignment w:val="auto"/>
        <w:outlineLvl w:val="1"/>
        <w:rPr>
          <w:rFonts w:hint="eastAsia" w:ascii="仿宋_GB2312" w:hAnsi="仿宋_GB2312" w:eastAsia="仿宋_GB2312" w:cs="仿宋_GB2312"/>
          <w:color w:val="auto"/>
          <w:sz w:val="32"/>
          <w:szCs w:val="32"/>
          <w:highlight w:val="none"/>
          <w:lang w:bidi="ar"/>
        </w:rPr>
      </w:pP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960" w:firstLineChars="300"/>
        <w:jc w:val="right"/>
        <w:textAlignment w:val="auto"/>
        <w:outlineLvl w:val="1"/>
        <w:rPr>
          <w:rFonts w:hint="eastAsia" w:ascii="仿宋_GB2312" w:hAnsi="仿宋_GB2312" w:eastAsia="仿宋_GB2312" w:cs="仿宋_GB2312"/>
          <w:color w:val="auto"/>
          <w:sz w:val="32"/>
          <w:szCs w:val="32"/>
          <w:highlight w:val="none"/>
          <w:lang w:eastAsia="zh-CN" w:bidi="ar"/>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_GB2312" w:hAnsi="仿宋_GB2312" w:eastAsia="仿宋_GB2312" w:cs="仿宋_GB2312"/>
          <w:color w:val="auto"/>
          <w:sz w:val="32"/>
          <w:szCs w:val="32"/>
          <w:highlight w:val="none"/>
          <w:lang w:bidi="ar"/>
        </w:rPr>
        <w:t>中瑞诚会计师事务所（特殊普通合伙）喀什分所</w:t>
      </w:r>
      <w:r>
        <w:rPr>
          <w:rFonts w:hint="eastAsia" w:ascii="仿宋_GB2312" w:hAnsi="仿宋_GB2312" w:eastAsia="仿宋_GB2312" w:cs="仿宋_GB2312"/>
          <w:color w:val="auto"/>
          <w:sz w:val="32"/>
          <w:szCs w:val="32"/>
          <w:highlight w:val="none"/>
          <w:lang w:val="en-US" w:eastAsia="zh-CN" w:bidi="ar"/>
        </w:rPr>
        <w:t xml:space="preserve">                   </w:t>
      </w:r>
      <w:r>
        <w:rPr>
          <w:rFonts w:hint="eastAsia" w:ascii="仿宋_GB2312" w:hAnsi="仿宋_GB2312" w:eastAsia="仿宋_GB2312" w:cs="仿宋_GB2312"/>
          <w:color w:val="auto"/>
          <w:sz w:val="32"/>
          <w:szCs w:val="32"/>
          <w:highlight w:val="none"/>
          <w:lang w:eastAsia="zh-CN" w:bidi="ar"/>
        </w:rPr>
        <w:t>202</w:t>
      </w:r>
      <w:r>
        <w:rPr>
          <w:rFonts w:hint="eastAsia" w:ascii="仿宋_GB2312" w:hAnsi="仿宋_GB2312" w:eastAsia="仿宋_GB2312" w:cs="仿宋_GB2312"/>
          <w:color w:val="auto"/>
          <w:sz w:val="32"/>
          <w:szCs w:val="32"/>
          <w:highlight w:val="none"/>
          <w:lang w:val="en-US" w:eastAsia="zh-CN" w:bidi="ar"/>
        </w:rPr>
        <w:t>3</w:t>
      </w:r>
      <w:r>
        <w:rPr>
          <w:rFonts w:hint="eastAsia" w:ascii="仿宋_GB2312" w:hAnsi="仿宋_GB2312" w:eastAsia="仿宋_GB2312" w:cs="仿宋_GB2312"/>
          <w:color w:val="auto"/>
          <w:sz w:val="32"/>
          <w:szCs w:val="32"/>
          <w:highlight w:val="none"/>
          <w:lang w:eastAsia="zh-CN" w:bidi="ar"/>
        </w:rPr>
        <w:t>年</w:t>
      </w:r>
      <w:r>
        <w:rPr>
          <w:rFonts w:hint="eastAsia" w:ascii="仿宋_GB2312" w:hAnsi="仿宋_GB2312" w:eastAsia="仿宋_GB2312" w:cs="仿宋_GB2312"/>
          <w:color w:val="auto"/>
          <w:sz w:val="32"/>
          <w:szCs w:val="32"/>
          <w:highlight w:val="none"/>
          <w:lang w:val="en-US" w:eastAsia="zh-CN" w:bidi="ar"/>
        </w:rPr>
        <w:t>07</w:t>
      </w:r>
      <w:r>
        <w:rPr>
          <w:rFonts w:hint="eastAsia" w:ascii="仿宋_GB2312" w:hAnsi="仿宋_GB2312" w:eastAsia="仿宋_GB2312" w:cs="仿宋_GB2312"/>
          <w:color w:val="auto"/>
          <w:sz w:val="32"/>
          <w:szCs w:val="32"/>
          <w:highlight w:val="none"/>
          <w:lang w:eastAsia="zh-CN" w:bidi="ar"/>
        </w:rPr>
        <w:t>月</w:t>
      </w:r>
      <w:r>
        <w:rPr>
          <w:rFonts w:hint="eastAsia" w:ascii="仿宋_GB2312" w:hAnsi="仿宋_GB2312" w:eastAsia="仿宋_GB2312" w:cs="仿宋_GB2312"/>
          <w:color w:val="auto"/>
          <w:sz w:val="32"/>
          <w:szCs w:val="32"/>
          <w:highlight w:val="none"/>
          <w:lang w:val="en-US" w:eastAsia="zh-CN" w:bidi="ar"/>
        </w:rPr>
        <w:t>11</w:t>
      </w:r>
      <w:r>
        <w:rPr>
          <w:rFonts w:hint="eastAsia" w:ascii="仿宋_GB2312" w:hAnsi="仿宋_GB2312" w:eastAsia="仿宋_GB2312" w:cs="仿宋_GB2312"/>
          <w:color w:val="auto"/>
          <w:sz w:val="32"/>
          <w:szCs w:val="32"/>
          <w:highlight w:val="none"/>
          <w:lang w:eastAsia="zh-CN" w:bidi="ar"/>
        </w:rPr>
        <w:t>日</w:t>
      </w:r>
    </w:p>
    <w:tbl>
      <w:tblPr>
        <w:tblStyle w:val="17"/>
        <w:tblW w:w="1396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9"/>
        <w:gridCol w:w="1075"/>
        <w:gridCol w:w="1032"/>
        <w:gridCol w:w="2333"/>
        <w:gridCol w:w="767"/>
        <w:gridCol w:w="6233"/>
        <w:gridCol w:w="734"/>
        <w:gridCol w:w="8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3967" w:type="dxa"/>
            <w:gridSpan w:val="8"/>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附件一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0" w:hRule="atLeast"/>
        </w:trPr>
        <w:tc>
          <w:tcPr>
            <w:tcW w:w="13967" w:type="dxa"/>
            <w:gridSpan w:val="8"/>
            <w:vMerge w:val="continue"/>
            <w:tcBorders>
              <w:top w:val="nil"/>
              <w:left w:val="nil"/>
              <w:bottom w:val="nil"/>
              <w:right w:val="nil"/>
            </w:tcBorders>
            <w:shd w:val="clear" w:color="auto" w:fill="auto"/>
            <w:vAlign w:val="center"/>
          </w:tcPr>
          <w:p>
            <w:pPr>
              <w:jc w:val="left"/>
              <w:rPr>
                <w:rFonts w:hint="eastAsia" w:ascii="微软雅黑" w:hAnsi="微软雅黑" w:eastAsia="微软雅黑" w:cs="微软雅黑"/>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3967"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36"/>
                <w:szCs w:val="36"/>
                <w:u w:val="none"/>
              </w:rPr>
            </w:pPr>
            <w:r>
              <w:rPr>
                <w:rFonts w:hint="eastAsia" w:ascii="微软雅黑" w:hAnsi="微软雅黑" w:eastAsia="微软雅黑" w:cs="微软雅黑"/>
                <w:b/>
                <w:bCs/>
                <w:i w:val="0"/>
                <w:iCs w:val="0"/>
                <w:color w:val="000000"/>
                <w:kern w:val="0"/>
                <w:sz w:val="36"/>
                <w:szCs w:val="36"/>
                <w:u w:val="none"/>
                <w:lang w:val="en-US" w:eastAsia="zh-CN" w:bidi="ar"/>
              </w:rPr>
              <w:t>疏附县2022年度新能源公交购置补助资金项目支出绩效评价指标体系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9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一级指标</w:t>
            </w:r>
          </w:p>
        </w:tc>
        <w:tc>
          <w:tcPr>
            <w:tcW w:w="10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三级指标</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指标解释</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分值</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评分标准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评价得分</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74" w:hRule="atLeast"/>
        </w:trPr>
        <w:tc>
          <w:tcPr>
            <w:tcW w:w="94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项目决策　（20）</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项目立项（8）　</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立项依据</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充分性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项目立项是否符合法律法规、相关政策、发展规划以及部门职责，用以反映和考核项目立项依据情况。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①项目立项符合国家法律法规、国民经济发展规划和相关政策，得1分，否则不得分；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②项目立项符合行业发展规划和政策要求，得1分，否则不得分；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③项目立项与部门职责范围相符，属于部门履职所需，得1分，否则不得分；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④项目属于公共财政支持范围，是否符合中央、地方事权支出责任划分原则得0.5分，否则不得分；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⑤项目是否与相关部门同类项目或部门内部相关项目重复,得0.5分，否则不得分。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8"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立项程序规范性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项目申请、设立过程是否符合相关要求，用以反映和考核项目立项的规范情况。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①项目按照规定的程序申请设立，得1.5分，否则不得分；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②审批文件、材料是否符合相关要求，得1分，否则不得分；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③事前已经过必要的可行性研究、专家论证、风险评估、绩效评估、集体决策，得1.5分，否则不得分。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2"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绩效目标（6）　</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绩效目标合理性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项目所设定的绩效目标是否依据充分，是否符合客观实际，用以反映和考核项目绩效目标与项目实施的相符情况。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①项目是否有绩效目标，得1分，否则不得分；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②项目绩效目标与实际工作内容具有相关性，得1分，否则不得分；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③项目预期产出效益和效果符合正常的业绩水平，得0.5分，否则不得分；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④与预算确定的项目投资额或资金量相匹配，得0.5分，否则不得分。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44"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绩效指标明确性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依据绩效目标设定的绩效指标是否清晰、细化、可衡量等，用以反映和考核项目绩效目标的明细化情况。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①将项目绩效目标细化分解为具体的绩效指标，得1分，否则不得分；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②通过清晰、可衡量的指标值予以体现，得1分，否则不得分；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③与项目目标任务数或计划数相对应，得1分，否则不得分。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资金投入（6）</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预算编制科学性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项目预算编制是否经过科学论证、有明确标准，资金额度与年度目标是否相适应，用以反映和考核项目预算编制的科学性、合理性情况。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①预算编制经过科学论证，得1分，否则不得分；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②预算内容与项目内容匹配，得1分，否则不得分；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③预算额度测算依据充分，按照标准编制，得0.5分，否则不得分；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④预算确定的项目投资额或资金量与工作任务相匹配，得0.5分，否则不得分。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0"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资金分配合理性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项目预算资金分配是否有测算依据，与补助单位或地方实际是否相适应，用以反映和考核项目预算资金分配的科学性、合理性情况。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①预算资金分配依据充分，得1.5分，否则不得分；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②资金分配额度合理，与项目单位或地方实际相适应，得1.5分，否则不得分。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36" w:hRule="atLeast"/>
        </w:trPr>
        <w:tc>
          <w:tcPr>
            <w:tcW w:w="94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项目过程（20）</w:t>
            </w:r>
          </w:p>
        </w:tc>
        <w:tc>
          <w:tcPr>
            <w:tcW w:w="107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资金管理（10）</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资金到位率</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实际到位资金与预算资金的比率，用以反映和考核资金落实情况对项目实施的总体保障程度。</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①资金到位及时率100%、得3分；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②资金未全额到位的，按照满分乘以到位率计算得分。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（资金到位率=（实际到位资金/预算资金）×100%。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实际到位资金：一定时期（本年度或项目期）内落实到具体项目的资金。</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预算资金：一定时期（本年度或项目期）内预算安排到具体项目的资金。）</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86"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预算执行率</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项目预算资金是否按照计划执行，用以反映或考核项目预算执行情况。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①资金执行率100%，得3分；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②资金执行率未达100%的，按照满分乘以执行率计算得分。（按资金到位率计算分值。预算执行率=（实际支出资金/实际到位资金）×100%。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实际支出资金：一定时期（本年度或项目期）内项目实际拨付的资金。）</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91"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资金使用合规性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项目资金使用是否符合相关的财务管理制度规定，用以反映和考核项目资金的规范运行情况。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①符合国家财经法规和财务管理制度以及有关专项资金管理办法的规定，得1分，否则不得分；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②资金的拨付有完整的审批程序和手续，得1分，否则不得分；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③符合项目预算批复或合同规定的用途，得1分，否则不得分；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④不存在截留、挤占、挪用、虚列支出等情况，得1分，否则不得分。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50"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组织实施（10）</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管理制度健全性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项目实施单位的财务和业务管理制度是否健全，用以反映和考核财务和业务管理制度对项目顺利实施的保障情况。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①制定或具有相应的财务和业务管理制度，得2.5分，否则不得分；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②财务和业务管理制度是否合法、合规、完整，得2.5分，否则不得分。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微软雅黑" w:hAnsi="微软雅黑" w:eastAsia="微软雅黑" w:cs="微软雅黑"/>
                <w:i w:val="0"/>
                <w:iCs w:val="0"/>
                <w:color w:val="000000"/>
                <w:sz w:val="20"/>
                <w:szCs w:val="20"/>
                <w:u w:val="none"/>
                <w:lang w:val="en-US"/>
              </w:rPr>
            </w:pPr>
            <w:r>
              <w:rPr>
                <w:rFonts w:hint="eastAsia" w:ascii="微软雅黑" w:hAnsi="微软雅黑" w:eastAsia="微软雅黑" w:cs="微软雅黑"/>
                <w:i w:val="0"/>
                <w:iCs w:val="0"/>
                <w:color w:val="000000"/>
                <w:kern w:val="0"/>
                <w:sz w:val="20"/>
                <w:szCs w:val="20"/>
                <w:u w:val="none"/>
                <w:lang w:val="en-US" w:eastAsia="zh-CN" w:bidi="ar"/>
              </w:rPr>
              <w:t>2.5</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rPr>
              <w:t>对项目后期监督不到位，该单位补助资金发放完毕之后，未对项目进行后期管理。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9"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制度执行有效性</w:t>
            </w:r>
          </w:p>
        </w:tc>
        <w:tc>
          <w:tcPr>
            <w:tcW w:w="23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项目实施是否符合相关管理规定，用以反映和考核相关管理制度的有效执行情况。</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①遵守相关法律法规和相关管理规定，得1分，否则不得分；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②项目调整及支出调整手续完备，得1分，否则不得分；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③项目合同书、验收报告、技术鉴定等资料齐全并及时归档，得1.5分，否则不得分；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④项目实施的人员条件、场地设备、信息支撑等落实到位，得1.5分，否则不得分。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微软雅黑" w:hAnsi="微软雅黑" w:eastAsia="微软雅黑" w:cs="微软雅黑"/>
                <w:i w:val="0"/>
                <w:iCs w:val="0"/>
                <w:color w:val="000000"/>
                <w:sz w:val="20"/>
                <w:szCs w:val="20"/>
                <w:u w:val="none"/>
                <w:lang w:val="en-US"/>
              </w:rPr>
            </w:pPr>
            <w:r>
              <w:rPr>
                <w:rFonts w:hint="eastAsia" w:ascii="微软雅黑" w:hAnsi="微软雅黑" w:eastAsia="微软雅黑" w:cs="微软雅黑"/>
                <w:i w:val="0"/>
                <w:iCs w:val="0"/>
                <w:color w:val="000000"/>
                <w:kern w:val="0"/>
                <w:sz w:val="20"/>
                <w:szCs w:val="20"/>
                <w:u w:val="none"/>
                <w:lang w:val="en-US" w:eastAsia="zh-CN" w:bidi="ar"/>
              </w:rPr>
              <w:t>3.5</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rPr>
              <w:t>相关项目负责人未对项目资料进行归档。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1" w:hRule="atLeast"/>
        </w:trPr>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项目产出（30）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产出数量（8）</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实际完成率</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项目实施的实际产出数与计划产出数的比率，用以反映和考核项目产出数量目标的实现程度。</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 补助城乡公交有限公司数量等于1家，得4分，否则按比例得分；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②补贴公交车数大于等于17辆， 得4分，否则按比例得分；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按项目实际完成率评分（实际完成率=（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26"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产出质量（8）</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质量达标率</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项目完成的质量达标产出数与实际产出数的比率，用以反映和考核项目产出质量目标的实现程度。</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①申请运营补助车辆的合规比例等于100%，得4分，否则按比例得分；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②城乡公交补贴覆盖率等于100%，得4分，否则按比例得分；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按项目验收质量达标率计算分值（质量达标率=（质量达标产出数/实际产出数）×100%。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96"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产出时效（7）</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完成及时性</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项目实际完成时间与计划完成时间的比较，用以反映和考核项目产出时效目标的实现程度。</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①补贴资金发放及时率等于100%，得3.5分，否则按比例得分；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②项目完成时间为2022年5月31日，得3.5分，否则按比例得分；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计划完成时间：按照项目实施计划或相关规定完成该项目所需的时间。）</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3"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产出成本（7）</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成本节约率</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完成项目计划工作目标的实际节约成本与计划成本的比率，用以反映和考核项目的成本节约程度。</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 符合营运补助要求的公交年度补助标准等于6万元/辆，得7分，否则按比例得分；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（成本节约率=[（计划成本-实际成本）/计划成本]×100%。</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实际成本：项目实施单位如期、保质、保量完成既定工作目标实际所耗费的支出。计划成本：项目实施单位为完成工作目标计划安排的支出，一般以项目预算为参考。）</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5" w:hRule="atLeast"/>
        </w:trPr>
        <w:tc>
          <w:tcPr>
            <w:tcW w:w="94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项目效益（30）　</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项目效益（30）　　</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经济效益</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项目实施所产生的经济效益是否达到预期值</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0</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不涉及（分值可分配）。</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社会效益</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项目实施所产生的社会效益是否达到</w:t>
            </w:r>
            <w:r>
              <w:rPr>
                <w:rStyle w:val="42"/>
                <w:lang w:val="en-US" w:eastAsia="zh-CN" w:bidi="ar"/>
              </w:rPr>
              <w:t>预期值</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①有效减轻企业运行负担，得10分，否则按评判比例得分；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生态效益</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对生态环境产生的影响</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0</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不涉及（分值可分配）。</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0</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可持续影响</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项目的可持续影响是否达到预计的期限</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6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持续推动运输服务高质量发展，得10分，否则按评判比例得分。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88" w:hRule="atLeast"/>
        </w:trPr>
        <w:tc>
          <w:tcPr>
            <w:tcW w:w="9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满意度</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社会公众或服务对象对项目实施效果的满意程度。</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根据问卷调查，城乡公交公司满意度对该项目实施的满意度如下：</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①人数大于等于</w:t>
            </w:r>
            <w:r>
              <w:rPr>
                <w:rStyle w:val="43"/>
                <w:lang w:val="en-US" w:eastAsia="zh-CN" w:bidi="ar"/>
              </w:rPr>
              <w:t>95%</w:t>
            </w:r>
            <w:r>
              <w:rPr>
                <w:rFonts w:hint="eastAsia" w:ascii="微软雅黑" w:hAnsi="微软雅黑" w:eastAsia="微软雅黑" w:cs="微软雅黑"/>
                <w:i w:val="0"/>
                <w:iCs w:val="0"/>
                <w:color w:val="000000"/>
                <w:kern w:val="0"/>
                <w:sz w:val="20"/>
                <w:szCs w:val="20"/>
                <w:u w:val="none"/>
                <w:lang w:val="en-US" w:eastAsia="zh-CN" w:bidi="ar"/>
              </w:rPr>
              <w:t>，得10分；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②人数小于</w:t>
            </w:r>
            <w:r>
              <w:rPr>
                <w:rStyle w:val="43"/>
                <w:lang w:val="en-US" w:eastAsia="zh-CN" w:bidi="ar"/>
              </w:rPr>
              <w:t>95%</w:t>
            </w:r>
            <w:r>
              <w:rPr>
                <w:rFonts w:hint="eastAsia" w:ascii="微软雅黑" w:hAnsi="微软雅黑" w:eastAsia="微软雅黑" w:cs="微软雅黑"/>
                <w:i w:val="0"/>
                <w:iCs w:val="0"/>
                <w:color w:val="000000"/>
                <w:kern w:val="0"/>
                <w:sz w:val="20"/>
                <w:szCs w:val="20"/>
                <w:u w:val="none"/>
                <w:lang w:val="en-US" w:eastAsia="zh-CN" w:bidi="ar"/>
              </w:rPr>
              <w:t>大于85%，得8分；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③人数小于85%大于70%，得5分；</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④人数小于等于70%，不得分。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总分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100</w:t>
            </w:r>
          </w:p>
        </w:tc>
        <w:tc>
          <w:tcPr>
            <w:tcW w:w="6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最终得分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微软雅黑" w:hAnsi="微软雅黑" w:eastAsia="微软雅黑" w:cs="微软雅黑"/>
                <w:i w:val="0"/>
                <w:iCs w:val="0"/>
                <w:color w:val="000000"/>
                <w:sz w:val="20"/>
                <w:szCs w:val="20"/>
                <w:u w:val="none"/>
                <w:lang w:val="en-US"/>
              </w:rPr>
            </w:pPr>
            <w:r>
              <w:rPr>
                <w:rFonts w:hint="eastAsia" w:ascii="微软雅黑" w:hAnsi="微软雅黑" w:eastAsia="微软雅黑" w:cs="微软雅黑"/>
                <w:i w:val="0"/>
                <w:iCs w:val="0"/>
                <w:color w:val="000000"/>
                <w:kern w:val="0"/>
                <w:sz w:val="20"/>
                <w:szCs w:val="20"/>
                <w:u w:val="none"/>
                <w:lang w:val="en-US" w:eastAsia="zh-CN" w:bidi="ar"/>
              </w:rPr>
              <w:t>96</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微软雅黑" w:hAnsi="微软雅黑" w:eastAsia="微软雅黑" w:cs="微软雅黑"/>
                <w:i w:val="0"/>
                <w:iCs w:val="0"/>
                <w:color w:val="000000"/>
                <w:sz w:val="20"/>
                <w:szCs w:val="20"/>
                <w:u w:val="none"/>
              </w:rPr>
            </w:pPr>
          </w:p>
        </w:tc>
      </w:tr>
    </w:tbl>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jc w:val="both"/>
        <w:textAlignment w:val="auto"/>
        <w:outlineLvl w:val="1"/>
        <w:rPr>
          <w:rFonts w:hint="eastAsia" w:ascii="仿宋_GB2312" w:hAnsi="仿宋_GB2312" w:eastAsia="仿宋_GB2312" w:cs="仿宋_GB2312"/>
          <w:color w:val="auto"/>
          <w:sz w:val="32"/>
          <w:szCs w:val="32"/>
          <w:highlight w:val="none"/>
          <w:lang w:eastAsia="zh-CN" w:bidi="ar"/>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tbl>
      <w:tblPr>
        <w:tblStyle w:val="17"/>
        <w:tblW w:w="13922"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0"/>
        <w:gridCol w:w="576"/>
        <w:gridCol w:w="840"/>
        <w:gridCol w:w="820"/>
        <w:gridCol w:w="870"/>
        <w:gridCol w:w="960"/>
        <w:gridCol w:w="960"/>
        <w:gridCol w:w="730"/>
        <w:gridCol w:w="996"/>
        <w:gridCol w:w="900"/>
        <w:gridCol w:w="910"/>
        <w:gridCol w:w="770"/>
        <w:gridCol w:w="770"/>
        <w:gridCol w:w="770"/>
        <w:gridCol w:w="770"/>
        <w:gridCol w:w="1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06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576"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84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2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7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6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6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3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9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0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1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7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7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7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7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20"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3922" w:type="dxa"/>
            <w:gridSpan w:val="1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712"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项目名称：疏附县2022年度新能源公交购置补助资金项目</w:t>
            </w:r>
          </w:p>
        </w:tc>
        <w:tc>
          <w:tcPr>
            <w:tcW w:w="3220"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截止日：2022年12月31日</w:t>
            </w:r>
          </w:p>
        </w:tc>
        <w:tc>
          <w:tcPr>
            <w:tcW w:w="770"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22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1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实施单位名称</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年度</w:t>
            </w:r>
          </w:p>
        </w:tc>
        <w:tc>
          <w:tcPr>
            <w:tcW w:w="3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预算批复资金</w:t>
            </w:r>
          </w:p>
        </w:tc>
        <w:tc>
          <w:tcPr>
            <w:tcW w:w="35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资金到位情况</w:t>
            </w:r>
          </w:p>
        </w:tc>
        <w:tc>
          <w:tcPr>
            <w:tcW w:w="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实际支出</w:t>
            </w:r>
          </w:p>
        </w:tc>
        <w:tc>
          <w:tcPr>
            <w:tcW w:w="3080"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剩余资金</w:t>
            </w:r>
          </w:p>
        </w:tc>
        <w:tc>
          <w:tcPr>
            <w:tcW w:w="1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trPr>
        <w:tc>
          <w:tcPr>
            <w:tcW w:w="1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中央财政资金</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自治区财政资金</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财政资金以外的其他资金</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中央财政资金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自治区财政资金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财政资金以外的其他资金</w:t>
            </w:r>
          </w:p>
        </w:tc>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项目尾款</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结余资金</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调整资金</w:t>
            </w:r>
          </w:p>
        </w:tc>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疏附县交通运输局</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102.00 </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102.00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102.00 </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102.00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102.00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 -   </w:t>
            </w:r>
          </w:p>
        </w:tc>
        <w:tc>
          <w:tcPr>
            <w:tcW w:w="1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b/>
                <w:bCs/>
                <w:i w:val="0"/>
                <w:iCs w:val="0"/>
                <w:color w:val="000000"/>
                <w:sz w:val="18"/>
                <w:szCs w:val="18"/>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102.00 </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102.00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102.00 </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102.00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102.00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 xml:space="preserve"> -   </w:t>
            </w:r>
          </w:p>
        </w:tc>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jc w:val="both"/>
        <w:textAlignment w:val="auto"/>
        <w:outlineLvl w:val="1"/>
        <w:rPr>
          <w:rFonts w:hint="eastAsia" w:ascii="仿宋_GB2312" w:hAnsi="仿宋_GB2312" w:eastAsia="仿宋_GB2312" w:cs="仿宋_GB2312"/>
          <w:color w:val="auto"/>
          <w:sz w:val="32"/>
          <w:szCs w:val="32"/>
          <w:highlight w:val="none"/>
          <w:lang w:eastAsia="zh-CN" w:bidi="ar"/>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r>
        <w:rPr>
          <w:rFonts w:hint="eastAsia" w:ascii="Times New Roman" w:hAnsi="Times New Roman" w:eastAsia="仿宋_GB2312"/>
          <w:sz w:val="36"/>
          <w:szCs w:val="36"/>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疏附县2022年度新能源公交购置补助资金项目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疏附县2022年度新能源公交购置补助资金项目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val="en-US" w:eastAsia="zh-CN" w:bidi="ar"/>
        </w:rPr>
        <w:t>城乡公交公司员工</w:t>
      </w:r>
      <w:r>
        <w:rPr>
          <w:rFonts w:hint="eastAsia" w:ascii="Times New Roman" w:hAnsi="Times New Roman" w:eastAsia="仿宋_GB2312" w:cs="仿宋"/>
          <w:color w:val="000000"/>
          <w:kern w:val="0"/>
          <w:sz w:val="32"/>
          <w:szCs w:val="32"/>
          <w:lang w:eastAsia="zh-CN" w:bidi="ar"/>
        </w:rPr>
        <w:t>满意度</w:t>
      </w:r>
      <w:r>
        <w:rPr>
          <w:rFonts w:hint="eastAsia" w:ascii="Times New Roman" w:hAnsi="Times New Roman" w:eastAsia="仿宋_GB2312" w:cs="仿宋"/>
          <w:color w:val="000000"/>
          <w:kern w:val="0"/>
          <w:sz w:val="32"/>
          <w:szCs w:val="32"/>
          <w:lang w:bidi="ar"/>
        </w:rPr>
        <w:t>进行问卷调查，回收有效问卷共计1</w:t>
      </w:r>
      <w:r>
        <w:rPr>
          <w:rFonts w:hint="eastAsia" w:ascii="Times New Roman" w:hAnsi="Times New Roman" w:eastAsia="仿宋_GB2312" w:cs="仿宋"/>
          <w:color w:val="000000"/>
          <w:kern w:val="0"/>
          <w:sz w:val="32"/>
          <w:szCs w:val="32"/>
          <w:lang w:val="en-US" w:eastAsia="zh-CN" w:bidi="ar"/>
        </w:rPr>
        <w:t>00</w:t>
      </w:r>
      <w:r>
        <w:rPr>
          <w:rFonts w:hint="eastAsia" w:ascii="Times New Roman" w:hAnsi="Times New Roman" w:eastAsia="仿宋_GB2312" w:cs="仿宋"/>
          <w:color w:val="000000"/>
          <w:kern w:val="0"/>
          <w:sz w:val="32"/>
          <w:szCs w:val="32"/>
          <w:lang w:bidi="ar"/>
        </w:rPr>
        <w:t>份，回收率100%。主要反馈如下：</w:t>
      </w:r>
    </w:p>
    <w:tbl>
      <w:tblPr>
        <w:tblStyle w:val="17"/>
        <w:tblW w:w="13982" w:type="dxa"/>
        <w:jc w:val="center"/>
        <w:tblInd w:w="0" w:type="dxa"/>
        <w:tblLayout w:type="fixed"/>
        <w:tblCellMar>
          <w:top w:w="15" w:type="dxa"/>
          <w:left w:w="15" w:type="dxa"/>
          <w:bottom w:w="15" w:type="dxa"/>
          <w:right w:w="15" w:type="dxa"/>
        </w:tblCellMar>
      </w:tblPr>
      <w:tblGrid>
        <w:gridCol w:w="1161"/>
        <w:gridCol w:w="4275"/>
        <w:gridCol w:w="2708"/>
        <w:gridCol w:w="2246"/>
        <w:gridCol w:w="3592"/>
      </w:tblGrid>
      <w:tr>
        <w:tblPrEx>
          <w:tblLayout w:type="fixed"/>
          <w:tblCellMar>
            <w:top w:w="15" w:type="dxa"/>
            <w:left w:w="15" w:type="dxa"/>
            <w:bottom w:w="15" w:type="dxa"/>
            <w:right w:w="15" w:type="dxa"/>
          </w:tblCellMar>
        </w:tblPrEx>
        <w:trPr>
          <w:trHeight w:val="283" w:hRule="atLeast"/>
          <w:jc w:val="center"/>
        </w:trPr>
        <w:tc>
          <w:tcPr>
            <w:tcW w:w="116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427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49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35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1161"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4275"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708"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2246"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3592"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4275"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w:t>
            </w:r>
            <w:r>
              <w:rPr>
                <w:rFonts w:hint="eastAsia" w:ascii="Times New Roman" w:hAnsi="Times New Roman" w:eastAsia="仿宋_GB2312" w:cs="仿宋-GB2321"/>
                <w:sz w:val="24"/>
                <w:szCs w:val="24"/>
                <w:lang w:val="en-US" w:eastAsia="zh-CN"/>
              </w:rPr>
              <w:t>有了解</w:t>
            </w:r>
            <w:r>
              <w:rPr>
                <w:rFonts w:hint="eastAsia" w:ascii="Times New Roman" w:hAnsi="Times New Roman" w:eastAsia="仿宋_GB2312" w:cs="仿宋-GB2321"/>
                <w:sz w:val="24"/>
                <w:szCs w:val="24"/>
                <w:lang w:eastAsia="zh-CN"/>
              </w:rPr>
              <w:t>新能源公交购置补助</w:t>
            </w:r>
            <w:r>
              <w:rPr>
                <w:rFonts w:hint="eastAsia" w:ascii="Times New Roman" w:hAnsi="Times New Roman" w:eastAsia="仿宋_GB2312" w:cs="仿宋-GB2321"/>
                <w:sz w:val="24"/>
                <w:szCs w:val="24"/>
              </w:rPr>
              <w:t>？</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sz w:val="24"/>
                <w:szCs w:val="24"/>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116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359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86"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4275"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您公司购买的新能源公交是否享受购置补助</w:t>
            </w:r>
            <w:r>
              <w:rPr>
                <w:rFonts w:hint="eastAsia" w:ascii="Times New Roman" w:hAnsi="Times New Roman" w:eastAsia="仿宋_GB2312" w:cs="仿宋-GB2321"/>
                <w:sz w:val="24"/>
                <w:szCs w:val="24"/>
              </w:rPr>
              <w:t>？</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116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359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4275"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您认为项目的实施是否减轻企业运行负担？</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116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3592"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11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4275"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本项目的实施是否推动运输服务高质量发展？</w:t>
            </w:r>
          </w:p>
        </w:tc>
        <w:tc>
          <w:tcPr>
            <w:tcW w:w="2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22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35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1161"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2246"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3592"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11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42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eastAsia="zh-CN"/>
              </w:rPr>
              <w:t>您对该项目的实施</w:t>
            </w:r>
            <w:r>
              <w:rPr>
                <w:rFonts w:hint="eastAsia" w:ascii="Times New Roman" w:hAnsi="Times New Roman" w:eastAsia="仿宋_GB2312" w:cs="仿宋-GB2321"/>
                <w:sz w:val="24"/>
                <w:szCs w:val="24"/>
                <w:lang w:val="en-US" w:eastAsia="zh-CN"/>
              </w:rPr>
              <w:t>效果</w:t>
            </w:r>
            <w:r>
              <w:rPr>
                <w:rFonts w:hint="eastAsia" w:ascii="Times New Roman" w:hAnsi="Times New Roman" w:eastAsia="仿宋_GB2312" w:cs="仿宋-GB2321"/>
                <w:sz w:val="24"/>
                <w:szCs w:val="24"/>
                <w:lang w:eastAsia="zh-CN"/>
              </w:rPr>
              <w:t>是否满意</w:t>
            </w:r>
            <w:r>
              <w:rPr>
                <w:rFonts w:hint="eastAsia" w:ascii="Times New Roman" w:hAnsi="Times New Roman" w:eastAsia="仿宋_GB2312" w:cs="仿宋-GB2321"/>
                <w:sz w:val="24"/>
                <w:szCs w:val="24"/>
              </w:rPr>
              <w:t>？</w:t>
            </w:r>
            <w:r>
              <w:rPr>
                <w:rFonts w:hint="eastAsia" w:ascii="Times New Roman" w:hAnsi="Times New Roman" w:eastAsia="仿宋_GB2312" w:cs="仿宋-GB2321"/>
                <w:sz w:val="24"/>
                <w:szCs w:val="24"/>
                <w:lang w:val="en-US" w:eastAsia="zh-CN"/>
              </w:rPr>
              <w:t xml:space="preserve"> </w:t>
            </w:r>
          </w:p>
        </w:tc>
        <w:tc>
          <w:tcPr>
            <w:tcW w:w="27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224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3592"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116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42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2708"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95</w:t>
            </w:r>
          </w:p>
        </w:tc>
        <w:tc>
          <w:tcPr>
            <w:tcW w:w="224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5</w:t>
            </w:r>
          </w:p>
        </w:tc>
        <w:tc>
          <w:tcPr>
            <w:tcW w:w="3592"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pStyle w:val="31"/>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outlineLvl w:val="1"/>
        <w:rPr>
          <w:rFonts w:hint="eastAsia" w:ascii="仿宋_GB2312" w:hAnsi="仿宋_GB2312" w:eastAsia="仿宋_GB2312" w:cs="仿宋_GB2312"/>
          <w:color w:val="auto"/>
          <w:sz w:val="32"/>
          <w:szCs w:val="32"/>
          <w:highlight w:val="none"/>
          <w:lang w:eastAsia="zh-CN" w:bidi="ar"/>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31"/>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jc w:val="both"/>
        <w:textAlignment w:val="auto"/>
        <w:outlineLvl w:val="1"/>
        <w:rPr>
          <w:rFonts w:hint="eastAsia" w:ascii="仿宋_GB2312" w:hAnsi="仿宋_GB2312" w:eastAsia="仿宋_GB2312" w:cs="仿宋_GB2312"/>
          <w:color w:val="auto"/>
          <w:sz w:val="32"/>
          <w:szCs w:val="32"/>
          <w:highlight w:val="none"/>
          <w:lang w:eastAsia="zh-CN" w:bidi="ar"/>
        </w:rPr>
      </w:pPr>
    </w:p>
    <w:sectPr>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28698E-B21D-4EB9-A12D-6B7159DA237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37F1A527-7AA3-4654-99F1-981C7440358B}"/>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0" w:usb1="00000000" w:usb2="00000000" w:usb3="00000000" w:csb0="00000000" w:csb1="00000000"/>
    <w:embedRegular r:id="rId3" w:fontKey="{5BF5E601-D641-4588-9172-8B9F77D5FBEA}"/>
  </w:font>
  <w:font w:name="ËÎÌå">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embedRegular r:id="rId4" w:fontKey="{73A09DC2-1604-43BF-B643-AAA3937E238E}"/>
  </w:font>
  <w:font w:name="方正黑体_GBK">
    <w:panose1 w:val="03000509000000000000"/>
    <w:charset w:val="86"/>
    <w:family w:val="auto"/>
    <w:pitch w:val="default"/>
    <w:sig w:usb0="00000000" w:usb1="00000000" w:usb2="00000000" w:usb3="00000000" w:csb0="00000000" w:csb1="00000000"/>
    <w:embedRegular r:id="rId5" w:fontKey="{52757376-272B-4AD2-9D22-4274F711B892}"/>
  </w:font>
  <w:font w:name="方正楷体_GBK">
    <w:panose1 w:val="03000509000000000000"/>
    <w:charset w:val="86"/>
    <w:family w:val="auto"/>
    <w:pitch w:val="default"/>
    <w:sig w:usb0="00000000" w:usb1="00000000" w:usb2="00000000" w:usb3="00000000" w:csb0="00000000" w:csb1="00000000"/>
    <w:embedRegular r:id="rId6" w:fontKey="{32BD72D7-3316-459A-AFD7-3E1207C5432E}"/>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YWQ0OWQxNDM3Y2IxYWFiMWMxZjMzN2QxNjEzZDUifQ=="/>
  </w:docVars>
  <w:rsids>
    <w:rsidRoot w:val="00172A27"/>
    <w:rsid w:val="000112AA"/>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26B20"/>
    <w:rsid w:val="00130F27"/>
    <w:rsid w:val="00136B2F"/>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83E"/>
    <w:rsid w:val="002D49A2"/>
    <w:rsid w:val="002E10B2"/>
    <w:rsid w:val="002E3475"/>
    <w:rsid w:val="002F2ABF"/>
    <w:rsid w:val="002F5C69"/>
    <w:rsid w:val="00300C5C"/>
    <w:rsid w:val="003118B1"/>
    <w:rsid w:val="00311E01"/>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8783C"/>
    <w:rsid w:val="00491DC0"/>
    <w:rsid w:val="0049279D"/>
    <w:rsid w:val="004929DD"/>
    <w:rsid w:val="004A17A9"/>
    <w:rsid w:val="004A3BA3"/>
    <w:rsid w:val="004C27AA"/>
    <w:rsid w:val="004C4305"/>
    <w:rsid w:val="004C48B5"/>
    <w:rsid w:val="004D64A9"/>
    <w:rsid w:val="004F5174"/>
    <w:rsid w:val="004F7E0C"/>
    <w:rsid w:val="00505ACA"/>
    <w:rsid w:val="00520F1C"/>
    <w:rsid w:val="00525DF1"/>
    <w:rsid w:val="0052602D"/>
    <w:rsid w:val="00535343"/>
    <w:rsid w:val="0054358D"/>
    <w:rsid w:val="005510BE"/>
    <w:rsid w:val="0055540B"/>
    <w:rsid w:val="005674C1"/>
    <w:rsid w:val="005A11A3"/>
    <w:rsid w:val="005A299C"/>
    <w:rsid w:val="005B40F5"/>
    <w:rsid w:val="005B5C85"/>
    <w:rsid w:val="005D2E62"/>
    <w:rsid w:val="005D3B9D"/>
    <w:rsid w:val="005D65BA"/>
    <w:rsid w:val="00606E86"/>
    <w:rsid w:val="00610597"/>
    <w:rsid w:val="00621D18"/>
    <w:rsid w:val="00623F16"/>
    <w:rsid w:val="006264C5"/>
    <w:rsid w:val="006276D2"/>
    <w:rsid w:val="00633F43"/>
    <w:rsid w:val="00635FD4"/>
    <w:rsid w:val="006451C9"/>
    <w:rsid w:val="00682CC7"/>
    <w:rsid w:val="006838D1"/>
    <w:rsid w:val="00683B82"/>
    <w:rsid w:val="006A0C6F"/>
    <w:rsid w:val="006A530D"/>
    <w:rsid w:val="006B5D89"/>
    <w:rsid w:val="006C0CBF"/>
    <w:rsid w:val="006E0F22"/>
    <w:rsid w:val="006F03CF"/>
    <w:rsid w:val="006F614A"/>
    <w:rsid w:val="00706A4E"/>
    <w:rsid w:val="007115C8"/>
    <w:rsid w:val="00722E10"/>
    <w:rsid w:val="007334F8"/>
    <w:rsid w:val="00752CB5"/>
    <w:rsid w:val="00760C80"/>
    <w:rsid w:val="00765FA0"/>
    <w:rsid w:val="00770E0C"/>
    <w:rsid w:val="00776C05"/>
    <w:rsid w:val="00783B17"/>
    <w:rsid w:val="00796661"/>
    <w:rsid w:val="007A3C4B"/>
    <w:rsid w:val="007B1F93"/>
    <w:rsid w:val="007B38F5"/>
    <w:rsid w:val="007C462B"/>
    <w:rsid w:val="007C6866"/>
    <w:rsid w:val="007D1B86"/>
    <w:rsid w:val="007D58AE"/>
    <w:rsid w:val="007E49F4"/>
    <w:rsid w:val="007E799E"/>
    <w:rsid w:val="007F0691"/>
    <w:rsid w:val="007F5B60"/>
    <w:rsid w:val="00804413"/>
    <w:rsid w:val="0080484E"/>
    <w:rsid w:val="00807F37"/>
    <w:rsid w:val="00813205"/>
    <w:rsid w:val="00853D02"/>
    <w:rsid w:val="008726A9"/>
    <w:rsid w:val="00873B68"/>
    <w:rsid w:val="008741FC"/>
    <w:rsid w:val="008764E8"/>
    <w:rsid w:val="00893C11"/>
    <w:rsid w:val="008B08D1"/>
    <w:rsid w:val="008B6709"/>
    <w:rsid w:val="008C646A"/>
    <w:rsid w:val="008C6AA7"/>
    <w:rsid w:val="008D2C5C"/>
    <w:rsid w:val="008E496C"/>
    <w:rsid w:val="009167F1"/>
    <w:rsid w:val="00932232"/>
    <w:rsid w:val="00942A28"/>
    <w:rsid w:val="009514EB"/>
    <w:rsid w:val="00952F6D"/>
    <w:rsid w:val="00957616"/>
    <w:rsid w:val="00960A8B"/>
    <w:rsid w:val="00974DAE"/>
    <w:rsid w:val="00975A3A"/>
    <w:rsid w:val="00975D66"/>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1FD1"/>
    <w:rsid w:val="00A177CD"/>
    <w:rsid w:val="00A202D7"/>
    <w:rsid w:val="00A21618"/>
    <w:rsid w:val="00A21665"/>
    <w:rsid w:val="00A225EB"/>
    <w:rsid w:val="00A262B3"/>
    <w:rsid w:val="00A35141"/>
    <w:rsid w:val="00A35A5E"/>
    <w:rsid w:val="00A415E3"/>
    <w:rsid w:val="00A426D9"/>
    <w:rsid w:val="00A45F48"/>
    <w:rsid w:val="00A621B0"/>
    <w:rsid w:val="00A72180"/>
    <w:rsid w:val="00A74E49"/>
    <w:rsid w:val="00A773A3"/>
    <w:rsid w:val="00A802B0"/>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35851"/>
    <w:rsid w:val="00B4360F"/>
    <w:rsid w:val="00B46B99"/>
    <w:rsid w:val="00B4775C"/>
    <w:rsid w:val="00B54402"/>
    <w:rsid w:val="00B6760A"/>
    <w:rsid w:val="00B83DC4"/>
    <w:rsid w:val="00BA6BA3"/>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B23FF"/>
    <w:rsid w:val="00CD4B61"/>
    <w:rsid w:val="00CD5385"/>
    <w:rsid w:val="00CF007C"/>
    <w:rsid w:val="00CF08F6"/>
    <w:rsid w:val="00D02D71"/>
    <w:rsid w:val="00D21A15"/>
    <w:rsid w:val="00D45204"/>
    <w:rsid w:val="00D51B3C"/>
    <w:rsid w:val="00D70DBE"/>
    <w:rsid w:val="00D85954"/>
    <w:rsid w:val="00D868FA"/>
    <w:rsid w:val="00D942D8"/>
    <w:rsid w:val="00DA1E6E"/>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37DD1"/>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19139B"/>
    <w:rsid w:val="011A6F60"/>
    <w:rsid w:val="012B7512"/>
    <w:rsid w:val="0172088C"/>
    <w:rsid w:val="017A1376"/>
    <w:rsid w:val="017B7B3E"/>
    <w:rsid w:val="0184188F"/>
    <w:rsid w:val="0184631C"/>
    <w:rsid w:val="01850078"/>
    <w:rsid w:val="018D2FE8"/>
    <w:rsid w:val="018E78B1"/>
    <w:rsid w:val="01900FF4"/>
    <w:rsid w:val="019652F4"/>
    <w:rsid w:val="01AE5025"/>
    <w:rsid w:val="01BB5378"/>
    <w:rsid w:val="01BC00F2"/>
    <w:rsid w:val="01C1326C"/>
    <w:rsid w:val="01CB29A8"/>
    <w:rsid w:val="01D16165"/>
    <w:rsid w:val="01D27ACA"/>
    <w:rsid w:val="01D976F9"/>
    <w:rsid w:val="01E07F9A"/>
    <w:rsid w:val="01F42F83"/>
    <w:rsid w:val="020269D3"/>
    <w:rsid w:val="023F5011"/>
    <w:rsid w:val="024E705E"/>
    <w:rsid w:val="024F4C6E"/>
    <w:rsid w:val="025A29F1"/>
    <w:rsid w:val="0270740C"/>
    <w:rsid w:val="0275033F"/>
    <w:rsid w:val="02777676"/>
    <w:rsid w:val="02846786"/>
    <w:rsid w:val="029D3C0D"/>
    <w:rsid w:val="02A976A0"/>
    <w:rsid w:val="02AC5E27"/>
    <w:rsid w:val="02CD4D4B"/>
    <w:rsid w:val="02CE097A"/>
    <w:rsid w:val="02DB1872"/>
    <w:rsid w:val="02FC16D0"/>
    <w:rsid w:val="03024553"/>
    <w:rsid w:val="0307725D"/>
    <w:rsid w:val="030F657D"/>
    <w:rsid w:val="03114C33"/>
    <w:rsid w:val="031B4FD7"/>
    <w:rsid w:val="03281C9E"/>
    <w:rsid w:val="032D44B1"/>
    <w:rsid w:val="03384BB1"/>
    <w:rsid w:val="03611F1A"/>
    <w:rsid w:val="0379515C"/>
    <w:rsid w:val="03860219"/>
    <w:rsid w:val="03A07711"/>
    <w:rsid w:val="03C32C35"/>
    <w:rsid w:val="03D22F22"/>
    <w:rsid w:val="03D71513"/>
    <w:rsid w:val="03E5220B"/>
    <w:rsid w:val="03EE2230"/>
    <w:rsid w:val="040860B2"/>
    <w:rsid w:val="0413307A"/>
    <w:rsid w:val="04205902"/>
    <w:rsid w:val="04242978"/>
    <w:rsid w:val="042542F0"/>
    <w:rsid w:val="043848BD"/>
    <w:rsid w:val="043F0DA3"/>
    <w:rsid w:val="04462D9A"/>
    <w:rsid w:val="045937BA"/>
    <w:rsid w:val="046C2B8A"/>
    <w:rsid w:val="048E2D9A"/>
    <w:rsid w:val="04A406D7"/>
    <w:rsid w:val="04BC5076"/>
    <w:rsid w:val="04CE689B"/>
    <w:rsid w:val="050304FE"/>
    <w:rsid w:val="050D5612"/>
    <w:rsid w:val="0526328F"/>
    <w:rsid w:val="05280467"/>
    <w:rsid w:val="053378AE"/>
    <w:rsid w:val="05406E25"/>
    <w:rsid w:val="05466AD0"/>
    <w:rsid w:val="054E5D9E"/>
    <w:rsid w:val="055A5230"/>
    <w:rsid w:val="055D0F3B"/>
    <w:rsid w:val="057909E1"/>
    <w:rsid w:val="057D02EC"/>
    <w:rsid w:val="057D1D75"/>
    <w:rsid w:val="057E0F8D"/>
    <w:rsid w:val="05836ADA"/>
    <w:rsid w:val="0597427D"/>
    <w:rsid w:val="059B00A7"/>
    <w:rsid w:val="059E36F3"/>
    <w:rsid w:val="05AB0733"/>
    <w:rsid w:val="05BF43F2"/>
    <w:rsid w:val="05BF77A3"/>
    <w:rsid w:val="05DD54EF"/>
    <w:rsid w:val="05F74C2E"/>
    <w:rsid w:val="06073B0D"/>
    <w:rsid w:val="06156B24"/>
    <w:rsid w:val="062B1081"/>
    <w:rsid w:val="063F521C"/>
    <w:rsid w:val="065B5A01"/>
    <w:rsid w:val="06890048"/>
    <w:rsid w:val="068D2C76"/>
    <w:rsid w:val="06907DF6"/>
    <w:rsid w:val="06B20CD6"/>
    <w:rsid w:val="06BD767F"/>
    <w:rsid w:val="06BE7D00"/>
    <w:rsid w:val="06EB697C"/>
    <w:rsid w:val="07127320"/>
    <w:rsid w:val="0719389B"/>
    <w:rsid w:val="071A48FE"/>
    <w:rsid w:val="072C076C"/>
    <w:rsid w:val="072D56D3"/>
    <w:rsid w:val="0736799C"/>
    <w:rsid w:val="073B7E00"/>
    <w:rsid w:val="07413BF2"/>
    <w:rsid w:val="07603861"/>
    <w:rsid w:val="076210D8"/>
    <w:rsid w:val="077C5445"/>
    <w:rsid w:val="0780328F"/>
    <w:rsid w:val="07A40D62"/>
    <w:rsid w:val="07AA4A46"/>
    <w:rsid w:val="07E43806"/>
    <w:rsid w:val="07E5001C"/>
    <w:rsid w:val="082600C2"/>
    <w:rsid w:val="08306D85"/>
    <w:rsid w:val="08557AA0"/>
    <w:rsid w:val="085B1963"/>
    <w:rsid w:val="0865028C"/>
    <w:rsid w:val="08690C4F"/>
    <w:rsid w:val="087752CE"/>
    <w:rsid w:val="08AA18B2"/>
    <w:rsid w:val="08B039B6"/>
    <w:rsid w:val="08C93603"/>
    <w:rsid w:val="08CC0603"/>
    <w:rsid w:val="08E02679"/>
    <w:rsid w:val="08E06F0C"/>
    <w:rsid w:val="08E34FF3"/>
    <w:rsid w:val="0903004C"/>
    <w:rsid w:val="09035DC8"/>
    <w:rsid w:val="09110342"/>
    <w:rsid w:val="091E1038"/>
    <w:rsid w:val="092B1014"/>
    <w:rsid w:val="093279DA"/>
    <w:rsid w:val="093A1BBD"/>
    <w:rsid w:val="09415222"/>
    <w:rsid w:val="094A3778"/>
    <w:rsid w:val="09501E33"/>
    <w:rsid w:val="095D16C1"/>
    <w:rsid w:val="09627501"/>
    <w:rsid w:val="0985130B"/>
    <w:rsid w:val="09A3752A"/>
    <w:rsid w:val="09AC29C3"/>
    <w:rsid w:val="09B958DD"/>
    <w:rsid w:val="09CA6A7A"/>
    <w:rsid w:val="09DA5756"/>
    <w:rsid w:val="09DC263D"/>
    <w:rsid w:val="09FA681B"/>
    <w:rsid w:val="0A037E2F"/>
    <w:rsid w:val="0A0402F4"/>
    <w:rsid w:val="0A0E0F48"/>
    <w:rsid w:val="0A154975"/>
    <w:rsid w:val="0A24565F"/>
    <w:rsid w:val="0A2C12CA"/>
    <w:rsid w:val="0A2F73EC"/>
    <w:rsid w:val="0A5343BB"/>
    <w:rsid w:val="0A636C67"/>
    <w:rsid w:val="0A67769D"/>
    <w:rsid w:val="0A68236A"/>
    <w:rsid w:val="0A73765A"/>
    <w:rsid w:val="0A844F3D"/>
    <w:rsid w:val="0A870EFF"/>
    <w:rsid w:val="0A9224F0"/>
    <w:rsid w:val="0A996C7D"/>
    <w:rsid w:val="0AA83ED9"/>
    <w:rsid w:val="0AC2430A"/>
    <w:rsid w:val="0AD43F2A"/>
    <w:rsid w:val="0AE60305"/>
    <w:rsid w:val="0AE64A4E"/>
    <w:rsid w:val="0AF8299A"/>
    <w:rsid w:val="0B0F4E87"/>
    <w:rsid w:val="0B1669B2"/>
    <w:rsid w:val="0B3B770C"/>
    <w:rsid w:val="0B3D2868"/>
    <w:rsid w:val="0B5F4024"/>
    <w:rsid w:val="0B665A1A"/>
    <w:rsid w:val="0B6C5381"/>
    <w:rsid w:val="0B6E5E32"/>
    <w:rsid w:val="0B7C202A"/>
    <w:rsid w:val="0B7C6A34"/>
    <w:rsid w:val="0B956CB0"/>
    <w:rsid w:val="0BB602C9"/>
    <w:rsid w:val="0BB77561"/>
    <w:rsid w:val="0BC221AF"/>
    <w:rsid w:val="0BCC3123"/>
    <w:rsid w:val="0BCD258F"/>
    <w:rsid w:val="0BCE7731"/>
    <w:rsid w:val="0BE57DD1"/>
    <w:rsid w:val="0BE95617"/>
    <w:rsid w:val="0C2647C1"/>
    <w:rsid w:val="0C346451"/>
    <w:rsid w:val="0C5149F8"/>
    <w:rsid w:val="0C571740"/>
    <w:rsid w:val="0C644F2E"/>
    <w:rsid w:val="0C8110A2"/>
    <w:rsid w:val="0C862B83"/>
    <w:rsid w:val="0C8A515C"/>
    <w:rsid w:val="0C9408B1"/>
    <w:rsid w:val="0CB956BC"/>
    <w:rsid w:val="0CC84DB4"/>
    <w:rsid w:val="0CCA0CEC"/>
    <w:rsid w:val="0CD95F1B"/>
    <w:rsid w:val="0CDB0D93"/>
    <w:rsid w:val="0CE45BF2"/>
    <w:rsid w:val="0CF63AC6"/>
    <w:rsid w:val="0D201908"/>
    <w:rsid w:val="0D215BAD"/>
    <w:rsid w:val="0D217FB6"/>
    <w:rsid w:val="0D2322C1"/>
    <w:rsid w:val="0D31087C"/>
    <w:rsid w:val="0D3D0602"/>
    <w:rsid w:val="0D5D1405"/>
    <w:rsid w:val="0D614074"/>
    <w:rsid w:val="0D9E1764"/>
    <w:rsid w:val="0D9E1D21"/>
    <w:rsid w:val="0D9F2933"/>
    <w:rsid w:val="0DAD0BE4"/>
    <w:rsid w:val="0DB34F14"/>
    <w:rsid w:val="0DBF428C"/>
    <w:rsid w:val="0DC32815"/>
    <w:rsid w:val="0DCB7564"/>
    <w:rsid w:val="0DCC7F1F"/>
    <w:rsid w:val="0DCF1CEC"/>
    <w:rsid w:val="0DE56420"/>
    <w:rsid w:val="0DF80D2F"/>
    <w:rsid w:val="0E020B6B"/>
    <w:rsid w:val="0E1B50D4"/>
    <w:rsid w:val="0E1D36E7"/>
    <w:rsid w:val="0E200118"/>
    <w:rsid w:val="0E3A731C"/>
    <w:rsid w:val="0E5C62A4"/>
    <w:rsid w:val="0E6A754B"/>
    <w:rsid w:val="0E807B7C"/>
    <w:rsid w:val="0E8A030C"/>
    <w:rsid w:val="0EA80D89"/>
    <w:rsid w:val="0EC87565"/>
    <w:rsid w:val="0ECA6D61"/>
    <w:rsid w:val="0ECD5BF9"/>
    <w:rsid w:val="0ECE64B9"/>
    <w:rsid w:val="0EF05572"/>
    <w:rsid w:val="0EFF4355"/>
    <w:rsid w:val="0F1C1F4B"/>
    <w:rsid w:val="0F2D73AD"/>
    <w:rsid w:val="0F33534F"/>
    <w:rsid w:val="0F360E40"/>
    <w:rsid w:val="0F4B02CE"/>
    <w:rsid w:val="0F4D7123"/>
    <w:rsid w:val="0F53083B"/>
    <w:rsid w:val="0F5C07E3"/>
    <w:rsid w:val="0F6126F8"/>
    <w:rsid w:val="0F6B1F68"/>
    <w:rsid w:val="0F8503D6"/>
    <w:rsid w:val="0F895D4C"/>
    <w:rsid w:val="0F8A633E"/>
    <w:rsid w:val="0F8E4757"/>
    <w:rsid w:val="0F97343D"/>
    <w:rsid w:val="0F9A707D"/>
    <w:rsid w:val="0FAB28FB"/>
    <w:rsid w:val="0FB72F0D"/>
    <w:rsid w:val="0FD80DC2"/>
    <w:rsid w:val="0FEC34D0"/>
    <w:rsid w:val="0FF371E2"/>
    <w:rsid w:val="10064890"/>
    <w:rsid w:val="1027304F"/>
    <w:rsid w:val="10393748"/>
    <w:rsid w:val="10500F35"/>
    <w:rsid w:val="105F192F"/>
    <w:rsid w:val="106C577E"/>
    <w:rsid w:val="107E409D"/>
    <w:rsid w:val="10815ACD"/>
    <w:rsid w:val="108C3C26"/>
    <w:rsid w:val="108E293A"/>
    <w:rsid w:val="10BD11CB"/>
    <w:rsid w:val="10C5422A"/>
    <w:rsid w:val="10EF4D6B"/>
    <w:rsid w:val="10F06AF3"/>
    <w:rsid w:val="10F74798"/>
    <w:rsid w:val="10FE4384"/>
    <w:rsid w:val="110A197C"/>
    <w:rsid w:val="111456A1"/>
    <w:rsid w:val="113F5796"/>
    <w:rsid w:val="1142519B"/>
    <w:rsid w:val="116D4004"/>
    <w:rsid w:val="117466BF"/>
    <w:rsid w:val="1188035B"/>
    <w:rsid w:val="118A4BB1"/>
    <w:rsid w:val="119014B5"/>
    <w:rsid w:val="119F6B9F"/>
    <w:rsid w:val="11A31BB8"/>
    <w:rsid w:val="11AA65F7"/>
    <w:rsid w:val="11B21415"/>
    <w:rsid w:val="11B60016"/>
    <w:rsid w:val="11D66EDD"/>
    <w:rsid w:val="11E703CC"/>
    <w:rsid w:val="11E718F8"/>
    <w:rsid w:val="11F87298"/>
    <w:rsid w:val="12273FB1"/>
    <w:rsid w:val="12634B1E"/>
    <w:rsid w:val="12675644"/>
    <w:rsid w:val="128F39B9"/>
    <w:rsid w:val="12A3061F"/>
    <w:rsid w:val="12AE0195"/>
    <w:rsid w:val="12B957EB"/>
    <w:rsid w:val="12D04CCA"/>
    <w:rsid w:val="12E43E6E"/>
    <w:rsid w:val="12EA3BAE"/>
    <w:rsid w:val="12EB67CB"/>
    <w:rsid w:val="12F21F5A"/>
    <w:rsid w:val="12F220DD"/>
    <w:rsid w:val="130C0067"/>
    <w:rsid w:val="1348464E"/>
    <w:rsid w:val="13565C74"/>
    <w:rsid w:val="135A5FCC"/>
    <w:rsid w:val="135D6079"/>
    <w:rsid w:val="136473C7"/>
    <w:rsid w:val="13693A6F"/>
    <w:rsid w:val="136A10B9"/>
    <w:rsid w:val="136A5003"/>
    <w:rsid w:val="13766451"/>
    <w:rsid w:val="13965A6F"/>
    <w:rsid w:val="13A370A5"/>
    <w:rsid w:val="13AF5A71"/>
    <w:rsid w:val="13CA46F8"/>
    <w:rsid w:val="13CD18A0"/>
    <w:rsid w:val="13D04A91"/>
    <w:rsid w:val="13DF5D97"/>
    <w:rsid w:val="13E348AD"/>
    <w:rsid w:val="13FF1634"/>
    <w:rsid w:val="140416E5"/>
    <w:rsid w:val="141379A2"/>
    <w:rsid w:val="1434560B"/>
    <w:rsid w:val="14423DE3"/>
    <w:rsid w:val="14436FA7"/>
    <w:rsid w:val="144A35BD"/>
    <w:rsid w:val="14530434"/>
    <w:rsid w:val="148E3E83"/>
    <w:rsid w:val="148F1019"/>
    <w:rsid w:val="1497203A"/>
    <w:rsid w:val="149743E3"/>
    <w:rsid w:val="14B3566B"/>
    <w:rsid w:val="14B733A0"/>
    <w:rsid w:val="14B93F12"/>
    <w:rsid w:val="14BC23A8"/>
    <w:rsid w:val="14C305AC"/>
    <w:rsid w:val="14C6358D"/>
    <w:rsid w:val="14CA12A5"/>
    <w:rsid w:val="14CD1754"/>
    <w:rsid w:val="14CD4BF2"/>
    <w:rsid w:val="14CF03CF"/>
    <w:rsid w:val="14DF6855"/>
    <w:rsid w:val="14E360E8"/>
    <w:rsid w:val="14F42DB7"/>
    <w:rsid w:val="14FF7E50"/>
    <w:rsid w:val="150367C0"/>
    <w:rsid w:val="150B30B8"/>
    <w:rsid w:val="15116E82"/>
    <w:rsid w:val="151547B8"/>
    <w:rsid w:val="15192D96"/>
    <w:rsid w:val="151C4000"/>
    <w:rsid w:val="15227492"/>
    <w:rsid w:val="152F5D79"/>
    <w:rsid w:val="1531188A"/>
    <w:rsid w:val="153605E7"/>
    <w:rsid w:val="153C6A42"/>
    <w:rsid w:val="154510DF"/>
    <w:rsid w:val="154A170E"/>
    <w:rsid w:val="154F6D01"/>
    <w:rsid w:val="15694A29"/>
    <w:rsid w:val="157355C5"/>
    <w:rsid w:val="15747157"/>
    <w:rsid w:val="15850A65"/>
    <w:rsid w:val="159914F7"/>
    <w:rsid w:val="159F0114"/>
    <w:rsid w:val="15AA14C0"/>
    <w:rsid w:val="15CE1DC2"/>
    <w:rsid w:val="15DF0449"/>
    <w:rsid w:val="15E30C8B"/>
    <w:rsid w:val="15E46F6D"/>
    <w:rsid w:val="15F47A7C"/>
    <w:rsid w:val="15FD3EBA"/>
    <w:rsid w:val="16027BE7"/>
    <w:rsid w:val="160C45E8"/>
    <w:rsid w:val="16176532"/>
    <w:rsid w:val="16181B81"/>
    <w:rsid w:val="161C3356"/>
    <w:rsid w:val="162A03FF"/>
    <w:rsid w:val="1633748D"/>
    <w:rsid w:val="163D3794"/>
    <w:rsid w:val="163F43C1"/>
    <w:rsid w:val="163F5E48"/>
    <w:rsid w:val="164023A1"/>
    <w:rsid w:val="16482432"/>
    <w:rsid w:val="1654243B"/>
    <w:rsid w:val="16662EC4"/>
    <w:rsid w:val="16727DE1"/>
    <w:rsid w:val="167E282C"/>
    <w:rsid w:val="169E1268"/>
    <w:rsid w:val="16A315E8"/>
    <w:rsid w:val="16C72D23"/>
    <w:rsid w:val="16D220A3"/>
    <w:rsid w:val="16D332C5"/>
    <w:rsid w:val="16DD6B31"/>
    <w:rsid w:val="16F5179D"/>
    <w:rsid w:val="16F91617"/>
    <w:rsid w:val="16F95FE5"/>
    <w:rsid w:val="17146DB0"/>
    <w:rsid w:val="172B1B14"/>
    <w:rsid w:val="172C1DAE"/>
    <w:rsid w:val="173D4A5F"/>
    <w:rsid w:val="17431A0D"/>
    <w:rsid w:val="1790337D"/>
    <w:rsid w:val="17932A82"/>
    <w:rsid w:val="17E41719"/>
    <w:rsid w:val="17E62AA7"/>
    <w:rsid w:val="17EF2C21"/>
    <w:rsid w:val="17FC0AC2"/>
    <w:rsid w:val="17FC7DAB"/>
    <w:rsid w:val="17FE1596"/>
    <w:rsid w:val="17FE1673"/>
    <w:rsid w:val="180A4BE2"/>
    <w:rsid w:val="18345D8A"/>
    <w:rsid w:val="18370513"/>
    <w:rsid w:val="18376203"/>
    <w:rsid w:val="183C4479"/>
    <w:rsid w:val="18742579"/>
    <w:rsid w:val="188106BA"/>
    <w:rsid w:val="18875045"/>
    <w:rsid w:val="188A5D5E"/>
    <w:rsid w:val="18AC5A87"/>
    <w:rsid w:val="18BF3BA1"/>
    <w:rsid w:val="18CD1949"/>
    <w:rsid w:val="18DC7A26"/>
    <w:rsid w:val="18DE6279"/>
    <w:rsid w:val="18EF46F1"/>
    <w:rsid w:val="18F410F4"/>
    <w:rsid w:val="18F57B56"/>
    <w:rsid w:val="190E12DB"/>
    <w:rsid w:val="190E4781"/>
    <w:rsid w:val="1913253A"/>
    <w:rsid w:val="19171450"/>
    <w:rsid w:val="191B6DF9"/>
    <w:rsid w:val="191D1906"/>
    <w:rsid w:val="193020E6"/>
    <w:rsid w:val="195238E8"/>
    <w:rsid w:val="19600542"/>
    <w:rsid w:val="19700435"/>
    <w:rsid w:val="19837757"/>
    <w:rsid w:val="19856B8F"/>
    <w:rsid w:val="19BD4786"/>
    <w:rsid w:val="19C2358F"/>
    <w:rsid w:val="19CC6629"/>
    <w:rsid w:val="19DF72F9"/>
    <w:rsid w:val="19F607EE"/>
    <w:rsid w:val="1A055B6E"/>
    <w:rsid w:val="1A2204DF"/>
    <w:rsid w:val="1A4716FB"/>
    <w:rsid w:val="1A4843BE"/>
    <w:rsid w:val="1A49321F"/>
    <w:rsid w:val="1A56486E"/>
    <w:rsid w:val="1A6A6005"/>
    <w:rsid w:val="1A6B70D6"/>
    <w:rsid w:val="1A8525DF"/>
    <w:rsid w:val="1A920F98"/>
    <w:rsid w:val="1A974B8B"/>
    <w:rsid w:val="1A9F6C51"/>
    <w:rsid w:val="1AA53386"/>
    <w:rsid w:val="1AAB25B0"/>
    <w:rsid w:val="1AAF6A68"/>
    <w:rsid w:val="1AB77E75"/>
    <w:rsid w:val="1AB806B1"/>
    <w:rsid w:val="1ABB5FB5"/>
    <w:rsid w:val="1AC50250"/>
    <w:rsid w:val="1AD14567"/>
    <w:rsid w:val="1ADA513A"/>
    <w:rsid w:val="1AEC4F0B"/>
    <w:rsid w:val="1AF26613"/>
    <w:rsid w:val="1AF85385"/>
    <w:rsid w:val="1AFE7AF2"/>
    <w:rsid w:val="1B023436"/>
    <w:rsid w:val="1B22583F"/>
    <w:rsid w:val="1B253D2E"/>
    <w:rsid w:val="1B4B01E9"/>
    <w:rsid w:val="1B4F7855"/>
    <w:rsid w:val="1B593908"/>
    <w:rsid w:val="1B5D6A3F"/>
    <w:rsid w:val="1B6566FB"/>
    <w:rsid w:val="1B6B2243"/>
    <w:rsid w:val="1B7529AF"/>
    <w:rsid w:val="1B8D6265"/>
    <w:rsid w:val="1B99749C"/>
    <w:rsid w:val="1B9B08B2"/>
    <w:rsid w:val="1BA5543E"/>
    <w:rsid w:val="1BB66088"/>
    <w:rsid w:val="1BC162F9"/>
    <w:rsid w:val="1BC30A94"/>
    <w:rsid w:val="1BD86BA5"/>
    <w:rsid w:val="1BDB434B"/>
    <w:rsid w:val="1BF76724"/>
    <w:rsid w:val="1BFC5495"/>
    <w:rsid w:val="1BFD0C48"/>
    <w:rsid w:val="1BFF75B4"/>
    <w:rsid w:val="1C027925"/>
    <w:rsid w:val="1C0F4D75"/>
    <w:rsid w:val="1C1316D8"/>
    <w:rsid w:val="1C1653DE"/>
    <w:rsid w:val="1C1B73F4"/>
    <w:rsid w:val="1C2E3419"/>
    <w:rsid w:val="1C546FA2"/>
    <w:rsid w:val="1C6548DB"/>
    <w:rsid w:val="1C694A85"/>
    <w:rsid w:val="1C743378"/>
    <w:rsid w:val="1C7A0A18"/>
    <w:rsid w:val="1C936CCC"/>
    <w:rsid w:val="1C9B12DD"/>
    <w:rsid w:val="1CAD4738"/>
    <w:rsid w:val="1CCA74B1"/>
    <w:rsid w:val="1CCD3ED3"/>
    <w:rsid w:val="1CD33C8D"/>
    <w:rsid w:val="1CD62325"/>
    <w:rsid w:val="1CF83C46"/>
    <w:rsid w:val="1CFA7874"/>
    <w:rsid w:val="1D067365"/>
    <w:rsid w:val="1D0826D3"/>
    <w:rsid w:val="1D0B5B65"/>
    <w:rsid w:val="1D0E5433"/>
    <w:rsid w:val="1D161465"/>
    <w:rsid w:val="1D327E57"/>
    <w:rsid w:val="1D3A18E4"/>
    <w:rsid w:val="1D46008F"/>
    <w:rsid w:val="1D576965"/>
    <w:rsid w:val="1D596594"/>
    <w:rsid w:val="1D644450"/>
    <w:rsid w:val="1D7A639C"/>
    <w:rsid w:val="1D8545A6"/>
    <w:rsid w:val="1D985C6E"/>
    <w:rsid w:val="1DB45D52"/>
    <w:rsid w:val="1DBE0608"/>
    <w:rsid w:val="1DD7544D"/>
    <w:rsid w:val="1DEB1048"/>
    <w:rsid w:val="1DEB4805"/>
    <w:rsid w:val="1DF21B83"/>
    <w:rsid w:val="1DF41A30"/>
    <w:rsid w:val="1DF4463C"/>
    <w:rsid w:val="1DFC5EBA"/>
    <w:rsid w:val="1E093229"/>
    <w:rsid w:val="1E0E166B"/>
    <w:rsid w:val="1E1124D8"/>
    <w:rsid w:val="1E284886"/>
    <w:rsid w:val="1E3D6CC8"/>
    <w:rsid w:val="1E6240C6"/>
    <w:rsid w:val="1E690E5E"/>
    <w:rsid w:val="1E7D07F0"/>
    <w:rsid w:val="1E7D1C4A"/>
    <w:rsid w:val="1E95273B"/>
    <w:rsid w:val="1EA04077"/>
    <w:rsid w:val="1EAE009C"/>
    <w:rsid w:val="1EB1746C"/>
    <w:rsid w:val="1EC30CDB"/>
    <w:rsid w:val="1EC82DA6"/>
    <w:rsid w:val="1ECB5101"/>
    <w:rsid w:val="1EF11E2E"/>
    <w:rsid w:val="1EF41E5D"/>
    <w:rsid w:val="1EFA667B"/>
    <w:rsid w:val="1F0F6830"/>
    <w:rsid w:val="1F270062"/>
    <w:rsid w:val="1F3D026E"/>
    <w:rsid w:val="1F3F3481"/>
    <w:rsid w:val="1F571835"/>
    <w:rsid w:val="1F58218D"/>
    <w:rsid w:val="1F5A011E"/>
    <w:rsid w:val="1F5C4677"/>
    <w:rsid w:val="1F7B06AC"/>
    <w:rsid w:val="1F7F0371"/>
    <w:rsid w:val="1F8054F8"/>
    <w:rsid w:val="1F982ED4"/>
    <w:rsid w:val="1F984D5C"/>
    <w:rsid w:val="1FC07F49"/>
    <w:rsid w:val="1FCC0EF5"/>
    <w:rsid w:val="1FD00093"/>
    <w:rsid w:val="1FD57546"/>
    <w:rsid w:val="1FE04BDC"/>
    <w:rsid w:val="201A26D0"/>
    <w:rsid w:val="202C6230"/>
    <w:rsid w:val="203A0003"/>
    <w:rsid w:val="203B4D31"/>
    <w:rsid w:val="204D5429"/>
    <w:rsid w:val="20551955"/>
    <w:rsid w:val="20586AD2"/>
    <w:rsid w:val="206E2C71"/>
    <w:rsid w:val="2074170F"/>
    <w:rsid w:val="207811BD"/>
    <w:rsid w:val="207F7945"/>
    <w:rsid w:val="2085708B"/>
    <w:rsid w:val="208D370F"/>
    <w:rsid w:val="20B31AFE"/>
    <w:rsid w:val="20BC1BD0"/>
    <w:rsid w:val="20DB05CD"/>
    <w:rsid w:val="21063FF6"/>
    <w:rsid w:val="2111040D"/>
    <w:rsid w:val="212665AE"/>
    <w:rsid w:val="21311EA5"/>
    <w:rsid w:val="213D6CA6"/>
    <w:rsid w:val="215017E8"/>
    <w:rsid w:val="216E0053"/>
    <w:rsid w:val="2183368C"/>
    <w:rsid w:val="21943A2C"/>
    <w:rsid w:val="219C5C30"/>
    <w:rsid w:val="219D639D"/>
    <w:rsid w:val="219E24D2"/>
    <w:rsid w:val="219F5527"/>
    <w:rsid w:val="21C25F7F"/>
    <w:rsid w:val="21C86D7A"/>
    <w:rsid w:val="21CB7F3A"/>
    <w:rsid w:val="21CC6C91"/>
    <w:rsid w:val="21F148E9"/>
    <w:rsid w:val="22043216"/>
    <w:rsid w:val="220553C9"/>
    <w:rsid w:val="22195E99"/>
    <w:rsid w:val="2224538C"/>
    <w:rsid w:val="22324FE5"/>
    <w:rsid w:val="2247551E"/>
    <w:rsid w:val="22492769"/>
    <w:rsid w:val="224D233A"/>
    <w:rsid w:val="22746D6D"/>
    <w:rsid w:val="22781603"/>
    <w:rsid w:val="227E2081"/>
    <w:rsid w:val="22943074"/>
    <w:rsid w:val="229F30BB"/>
    <w:rsid w:val="22AA0743"/>
    <w:rsid w:val="22AA3D0C"/>
    <w:rsid w:val="22C07814"/>
    <w:rsid w:val="22CF0252"/>
    <w:rsid w:val="22D32253"/>
    <w:rsid w:val="22EF6F20"/>
    <w:rsid w:val="22F453AC"/>
    <w:rsid w:val="2304779B"/>
    <w:rsid w:val="231E19DF"/>
    <w:rsid w:val="232447FB"/>
    <w:rsid w:val="23250BAC"/>
    <w:rsid w:val="2398676A"/>
    <w:rsid w:val="23BA1713"/>
    <w:rsid w:val="23BE435F"/>
    <w:rsid w:val="23C30376"/>
    <w:rsid w:val="23C83D48"/>
    <w:rsid w:val="23E021C9"/>
    <w:rsid w:val="23E409BB"/>
    <w:rsid w:val="23EB5B08"/>
    <w:rsid w:val="23F514FD"/>
    <w:rsid w:val="23FB1741"/>
    <w:rsid w:val="23FE7C16"/>
    <w:rsid w:val="24003517"/>
    <w:rsid w:val="24033B00"/>
    <w:rsid w:val="240F633F"/>
    <w:rsid w:val="24194349"/>
    <w:rsid w:val="241F2FAC"/>
    <w:rsid w:val="242D0046"/>
    <w:rsid w:val="242E7DE4"/>
    <w:rsid w:val="2449672E"/>
    <w:rsid w:val="244C19C5"/>
    <w:rsid w:val="244C4E42"/>
    <w:rsid w:val="24503FA9"/>
    <w:rsid w:val="24556463"/>
    <w:rsid w:val="246C3CB4"/>
    <w:rsid w:val="247206A5"/>
    <w:rsid w:val="24751FEE"/>
    <w:rsid w:val="247C6FB7"/>
    <w:rsid w:val="2484792C"/>
    <w:rsid w:val="24A159B9"/>
    <w:rsid w:val="24A34E1C"/>
    <w:rsid w:val="24B83AB7"/>
    <w:rsid w:val="24D75BD0"/>
    <w:rsid w:val="24EC15BA"/>
    <w:rsid w:val="25040446"/>
    <w:rsid w:val="250927C0"/>
    <w:rsid w:val="251332CE"/>
    <w:rsid w:val="25177E64"/>
    <w:rsid w:val="251D41DD"/>
    <w:rsid w:val="25200A3A"/>
    <w:rsid w:val="252C56FF"/>
    <w:rsid w:val="255C72E7"/>
    <w:rsid w:val="256D1D94"/>
    <w:rsid w:val="2572526C"/>
    <w:rsid w:val="257A2084"/>
    <w:rsid w:val="258B16B5"/>
    <w:rsid w:val="25A1584D"/>
    <w:rsid w:val="25B310C7"/>
    <w:rsid w:val="25EE023D"/>
    <w:rsid w:val="2625105C"/>
    <w:rsid w:val="262D044F"/>
    <w:rsid w:val="263521FC"/>
    <w:rsid w:val="263B5086"/>
    <w:rsid w:val="26485096"/>
    <w:rsid w:val="26787FE9"/>
    <w:rsid w:val="268D036B"/>
    <w:rsid w:val="26995AE5"/>
    <w:rsid w:val="26B26BA7"/>
    <w:rsid w:val="26B631D7"/>
    <w:rsid w:val="26B9722F"/>
    <w:rsid w:val="26C401F9"/>
    <w:rsid w:val="26C47815"/>
    <w:rsid w:val="26E33624"/>
    <w:rsid w:val="27020C9E"/>
    <w:rsid w:val="271E221A"/>
    <w:rsid w:val="27315D59"/>
    <w:rsid w:val="27553060"/>
    <w:rsid w:val="27595A6D"/>
    <w:rsid w:val="275B7935"/>
    <w:rsid w:val="27674805"/>
    <w:rsid w:val="277F4CDB"/>
    <w:rsid w:val="279426A1"/>
    <w:rsid w:val="279D3FFA"/>
    <w:rsid w:val="27A05A4B"/>
    <w:rsid w:val="27A566B4"/>
    <w:rsid w:val="27A6794D"/>
    <w:rsid w:val="27A73652"/>
    <w:rsid w:val="27AF7B23"/>
    <w:rsid w:val="27B45BAD"/>
    <w:rsid w:val="27B611CB"/>
    <w:rsid w:val="27CA27BD"/>
    <w:rsid w:val="27D23000"/>
    <w:rsid w:val="27D3783B"/>
    <w:rsid w:val="27D516BF"/>
    <w:rsid w:val="27EC1CE1"/>
    <w:rsid w:val="27EC41C1"/>
    <w:rsid w:val="27F9469B"/>
    <w:rsid w:val="280C161A"/>
    <w:rsid w:val="281A4A03"/>
    <w:rsid w:val="28213EF5"/>
    <w:rsid w:val="282441FE"/>
    <w:rsid w:val="28284B06"/>
    <w:rsid w:val="284F0B62"/>
    <w:rsid w:val="285C6D29"/>
    <w:rsid w:val="287F0225"/>
    <w:rsid w:val="28873B75"/>
    <w:rsid w:val="289274C2"/>
    <w:rsid w:val="28967876"/>
    <w:rsid w:val="28AD5BAF"/>
    <w:rsid w:val="28B7497D"/>
    <w:rsid w:val="28BB0FE9"/>
    <w:rsid w:val="28BD129C"/>
    <w:rsid w:val="28E2421D"/>
    <w:rsid w:val="28E50750"/>
    <w:rsid w:val="29045DFD"/>
    <w:rsid w:val="291D3EAE"/>
    <w:rsid w:val="291D7D65"/>
    <w:rsid w:val="291E4868"/>
    <w:rsid w:val="292473CB"/>
    <w:rsid w:val="29264D8C"/>
    <w:rsid w:val="2934369F"/>
    <w:rsid w:val="2936446B"/>
    <w:rsid w:val="29371222"/>
    <w:rsid w:val="293A6459"/>
    <w:rsid w:val="294806D3"/>
    <w:rsid w:val="294946B1"/>
    <w:rsid w:val="295D4A59"/>
    <w:rsid w:val="295E4748"/>
    <w:rsid w:val="29601992"/>
    <w:rsid w:val="2978756B"/>
    <w:rsid w:val="297C4FCF"/>
    <w:rsid w:val="298311B1"/>
    <w:rsid w:val="29AE6E7B"/>
    <w:rsid w:val="29C75BF1"/>
    <w:rsid w:val="29C77FFB"/>
    <w:rsid w:val="29C80440"/>
    <w:rsid w:val="29FC4531"/>
    <w:rsid w:val="2A245842"/>
    <w:rsid w:val="2A2A5F95"/>
    <w:rsid w:val="2A366B00"/>
    <w:rsid w:val="2A5C7E4C"/>
    <w:rsid w:val="2A614EDE"/>
    <w:rsid w:val="2A684B44"/>
    <w:rsid w:val="2A6A21FD"/>
    <w:rsid w:val="2A715F2F"/>
    <w:rsid w:val="2A7E03B4"/>
    <w:rsid w:val="2AAB110B"/>
    <w:rsid w:val="2AAC3ABA"/>
    <w:rsid w:val="2AB21B99"/>
    <w:rsid w:val="2AB46171"/>
    <w:rsid w:val="2ABF1BAF"/>
    <w:rsid w:val="2ACA1782"/>
    <w:rsid w:val="2ACA733E"/>
    <w:rsid w:val="2ACB432F"/>
    <w:rsid w:val="2AE259DC"/>
    <w:rsid w:val="2B2354C6"/>
    <w:rsid w:val="2B2E50A3"/>
    <w:rsid w:val="2B34574C"/>
    <w:rsid w:val="2B3D1AE4"/>
    <w:rsid w:val="2B47657D"/>
    <w:rsid w:val="2B5C4116"/>
    <w:rsid w:val="2B7128C3"/>
    <w:rsid w:val="2B9132FE"/>
    <w:rsid w:val="2BCB1CCD"/>
    <w:rsid w:val="2BED42B0"/>
    <w:rsid w:val="2BF72439"/>
    <w:rsid w:val="2C0F7CEA"/>
    <w:rsid w:val="2C1113BE"/>
    <w:rsid w:val="2C120FBA"/>
    <w:rsid w:val="2C147D3C"/>
    <w:rsid w:val="2C324090"/>
    <w:rsid w:val="2C3C6A84"/>
    <w:rsid w:val="2C3C7944"/>
    <w:rsid w:val="2C4B19F0"/>
    <w:rsid w:val="2C725452"/>
    <w:rsid w:val="2C73599E"/>
    <w:rsid w:val="2C933DFF"/>
    <w:rsid w:val="2CA22633"/>
    <w:rsid w:val="2CA27188"/>
    <w:rsid w:val="2CA345C9"/>
    <w:rsid w:val="2CA8518B"/>
    <w:rsid w:val="2CE12E91"/>
    <w:rsid w:val="2CE63DF8"/>
    <w:rsid w:val="2CEC395E"/>
    <w:rsid w:val="2CFB26C8"/>
    <w:rsid w:val="2D013BD6"/>
    <w:rsid w:val="2D0357CE"/>
    <w:rsid w:val="2D0A3CEA"/>
    <w:rsid w:val="2D105807"/>
    <w:rsid w:val="2D1550EE"/>
    <w:rsid w:val="2D184247"/>
    <w:rsid w:val="2D247631"/>
    <w:rsid w:val="2D47212A"/>
    <w:rsid w:val="2D5C07CA"/>
    <w:rsid w:val="2D7C5BAA"/>
    <w:rsid w:val="2DA872D5"/>
    <w:rsid w:val="2DCB5D1D"/>
    <w:rsid w:val="2DD72371"/>
    <w:rsid w:val="2DDA0415"/>
    <w:rsid w:val="2DDB109D"/>
    <w:rsid w:val="2DE36B1A"/>
    <w:rsid w:val="2DEC32C7"/>
    <w:rsid w:val="2DFF5DC1"/>
    <w:rsid w:val="2E100518"/>
    <w:rsid w:val="2E271856"/>
    <w:rsid w:val="2E2C5F9D"/>
    <w:rsid w:val="2E306D43"/>
    <w:rsid w:val="2E41104D"/>
    <w:rsid w:val="2E503645"/>
    <w:rsid w:val="2E5E6A69"/>
    <w:rsid w:val="2E66748C"/>
    <w:rsid w:val="2E703523"/>
    <w:rsid w:val="2E706FDD"/>
    <w:rsid w:val="2E8F6D9B"/>
    <w:rsid w:val="2E925117"/>
    <w:rsid w:val="2E9D1E0B"/>
    <w:rsid w:val="2EA61CD4"/>
    <w:rsid w:val="2EB909D3"/>
    <w:rsid w:val="2EBF72CB"/>
    <w:rsid w:val="2EC14FF9"/>
    <w:rsid w:val="2ECE4387"/>
    <w:rsid w:val="2EF3534B"/>
    <w:rsid w:val="2EF70377"/>
    <w:rsid w:val="2EFB00DE"/>
    <w:rsid w:val="2F0138AE"/>
    <w:rsid w:val="2F0344D5"/>
    <w:rsid w:val="2F05200F"/>
    <w:rsid w:val="2F11728B"/>
    <w:rsid w:val="2F1C6843"/>
    <w:rsid w:val="2F416AE1"/>
    <w:rsid w:val="2F4D3B3D"/>
    <w:rsid w:val="2F4F570C"/>
    <w:rsid w:val="2F5175FB"/>
    <w:rsid w:val="2F545A81"/>
    <w:rsid w:val="2F5F3596"/>
    <w:rsid w:val="2F6D2B41"/>
    <w:rsid w:val="2F6F5C80"/>
    <w:rsid w:val="2F87684F"/>
    <w:rsid w:val="2F993AFD"/>
    <w:rsid w:val="2F9A7A79"/>
    <w:rsid w:val="2FB655AD"/>
    <w:rsid w:val="2FCC0A75"/>
    <w:rsid w:val="2FD020B8"/>
    <w:rsid w:val="2FD369EB"/>
    <w:rsid w:val="2FD9742C"/>
    <w:rsid w:val="2FE03F21"/>
    <w:rsid w:val="2FE040FA"/>
    <w:rsid w:val="2FE253D6"/>
    <w:rsid w:val="2FE91893"/>
    <w:rsid w:val="2FF5333F"/>
    <w:rsid w:val="3009276B"/>
    <w:rsid w:val="300A7CE7"/>
    <w:rsid w:val="301902E9"/>
    <w:rsid w:val="30321DC6"/>
    <w:rsid w:val="30365E93"/>
    <w:rsid w:val="303C7515"/>
    <w:rsid w:val="30592DBB"/>
    <w:rsid w:val="305D097B"/>
    <w:rsid w:val="3081012B"/>
    <w:rsid w:val="308A1F6E"/>
    <w:rsid w:val="30902DB3"/>
    <w:rsid w:val="309B5AA8"/>
    <w:rsid w:val="30AE132D"/>
    <w:rsid w:val="30C702D7"/>
    <w:rsid w:val="30CB1107"/>
    <w:rsid w:val="30D74F49"/>
    <w:rsid w:val="30D90890"/>
    <w:rsid w:val="30E37F16"/>
    <w:rsid w:val="30F66D7A"/>
    <w:rsid w:val="30FF5B8C"/>
    <w:rsid w:val="31032936"/>
    <w:rsid w:val="310E7A63"/>
    <w:rsid w:val="31471A88"/>
    <w:rsid w:val="314C7366"/>
    <w:rsid w:val="315F2B6B"/>
    <w:rsid w:val="317E48F8"/>
    <w:rsid w:val="319442BC"/>
    <w:rsid w:val="31B270F0"/>
    <w:rsid w:val="31B53DF6"/>
    <w:rsid w:val="31C75A19"/>
    <w:rsid w:val="31CE3CE9"/>
    <w:rsid w:val="31CF6AEF"/>
    <w:rsid w:val="31F65444"/>
    <w:rsid w:val="31F902C1"/>
    <w:rsid w:val="31FD2DFF"/>
    <w:rsid w:val="31FE1724"/>
    <w:rsid w:val="321970BB"/>
    <w:rsid w:val="32317258"/>
    <w:rsid w:val="32505F18"/>
    <w:rsid w:val="326125E2"/>
    <w:rsid w:val="326E661E"/>
    <w:rsid w:val="32803DC2"/>
    <w:rsid w:val="32866F4C"/>
    <w:rsid w:val="328B58E3"/>
    <w:rsid w:val="32A44374"/>
    <w:rsid w:val="32C94382"/>
    <w:rsid w:val="32E57142"/>
    <w:rsid w:val="330149B7"/>
    <w:rsid w:val="33071AE0"/>
    <w:rsid w:val="33106558"/>
    <w:rsid w:val="3314415B"/>
    <w:rsid w:val="333F2FEF"/>
    <w:rsid w:val="33527C78"/>
    <w:rsid w:val="337C2AAD"/>
    <w:rsid w:val="338F1AAA"/>
    <w:rsid w:val="33A618DA"/>
    <w:rsid w:val="33BB0E6E"/>
    <w:rsid w:val="33D20AF9"/>
    <w:rsid w:val="33DE2096"/>
    <w:rsid w:val="33DE7EFA"/>
    <w:rsid w:val="33E45FE1"/>
    <w:rsid w:val="33E658E4"/>
    <w:rsid w:val="33E9573D"/>
    <w:rsid w:val="33F5363E"/>
    <w:rsid w:val="33F56325"/>
    <w:rsid w:val="34046946"/>
    <w:rsid w:val="340E7B0A"/>
    <w:rsid w:val="3416653D"/>
    <w:rsid w:val="342D41BB"/>
    <w:rsid w:val="3434303E"/>
    <w:rsid w:val="34346014"/>
    <w:rsid w:val="343E2D93"/>
    <w:rsid w:val="3447676A"/>
    <w:rsid w:val="345D70F2"/>
    <w:rsid w:val="34627C56"/>
    <w:rsid w:val="34791915"/>
    <w:rsid w:val="348204F7"/>
    <w:rsid w:val="34892C0A"/>
    <w:rsid w:val="348A5676"/>
    <w:rsid w:val="349F14B4"/>
    <w:rsid w:val="34A4013A"/>
    <w:rsid w:val="34B57766"/>
    <w:rsid w:val="34DF4479"/>
    <w:rsid w:val="34EC7728"/>
    <w:rsid w:val="3501728D"/>
    <w:rsid w:val="350B4964"/>
    <w:rsid w:val="35247E43"/>
    <w:rsid w:val="353D6614"/>
    <w:rsid w:val="354123FC"/>
    <w:rsid w:val="354407BC"/>
    <w:rsid w:val="354941CA"/>
    <w:rsid w:val="355024D1"/>
    <w:rsid w:val="35574541"/>
    <w:rsid w:val="356405EC"/>
    <w:rsid w:val="357135DB"/>
    <w:rsid w:val="35AC7563"/>
    <w:rsid w:val="35AF648F"/>
    <w:rsid w:val="35DD2739"/>
    <w:rsid w:val="35DE1AED"/>
    <w:rsid w:val="35E36877"/>
    <w:rsid w:val="35E46128"/>
    <w:rsid w:val="35EC1630"/>
    <w:rsid w:val="35EF4932"/>
    <w:rsid w:val="35FB74E9"/>
    <w:rsid w:val="35FC04B8"/>
    <w:rsid w:val="36015BC5"/>
    <w:rsid w:val="360954BB"/>
    <w:rsid w:val="36133101"/>
    <w:rsid w:val="361653D4"/>
    <w:rsid w:val="361E5856"/>
    <w:rsid w:val="36241B16"/>
    <w:rsid w:val="362B1A08"/>
    <w:rsid w:val="36345A94"/>
    <w:rsid w:val="364D23E0"/>
    <w:rsid w:val="365A545B"/>
    <w:rsid w:val="365E1C86"/>
    <w:rsid w:val="366148F0"/>
    <w:rsid w:val="36656558"/>
    <w:rsid w:val="369C06A7"/>
    <w:rsid w:val="36BA56A8"/>
    <w:rsid w:val="36C40E55"/>
    <w:rsid w:val="36C80F43"/>
    <w:rsid w:val="36CE7B41"/>
    <w:rsid w:val="36E5310E"/>
    <w:rsid w:val="3702714D"/>
    <w:rsid w:val="37153D89"/>
    <w:rsid w:val="37227EFA"/>
    <w:rsid w:val="37481D61"/>
    <w:rsid w:val="3771444E"/>
    <w:rsid w:val="37756A7F"/>
    <w:rsid w:val="37782674"/>
    <w:rsid w:val="378909C8"/>
    <w:rsid w:val="37920AEE"/>
    <w:rsid w:val="37AB5FB6"/>
    <w:rsid w:val="37D556C3"/>
    <w:rsid w:val="37D922CF"/>
    <w:rsid w:val="37DC7E88"/>
    <w:rsid w:val="37E212AE"/>
    <w:rsid w:val="37EF2F58"/>
    <w:rsid w:val="37F326EB"/>
    <w:rsid w:val="3800561F"/>
    <w:rsid w:val="382B5397"/>
    <w:rsid w:val="382C2D07"/>
    <w:rsid w:val="38401CA6"/>
    <w:rsid w:val="385064FD"/>
    <w:rsid w:val="3858288B"/>
    <w:rsid w:val="385B231E"/>
    <w:rsid w:val="387F0F2C"/>
    <w:rsid w:val="388A5A7A"/>
    <w:rsid w:val="38905D39"/>
    <w:rsid w:val="38972FCA"/>
    <w:rsid w:val="38AA4D53"/>
    <w:rsid w:val="38D0012A"/>
    <w:rsid w:val="38D204A4"/>
    <w:rsid w:val="38D94CED"/>
    <w:rsid w:val="38ED78EC"/>
    <w:rsid w:val="39005446"/>
    <w:rsid w:val="390F4D0A"/>
    <w:rsid w:val="391A3348"/>
    <w:rsid w:val="391E1F52"/>
    <w:rsid w:val="39203FAF"/>
    <w:rsid w:val="393121D5"/>
    <w:rsid w:val="3931598D"/>
    <w:rsid w:val="3936391B"/>
    <w:rsid w:val="39465DF3"/>
    <w:rsid w:val="394A5FF0"/>
    <w:rsid w:val="394F4BE0"/>
    <w:rsid w:val="396B5391"/>
    <w:rsid w:val="39782628"/>
    <w:rsid w:val="399A1B83"/>
    <w:rsid w:val="39C37A5E"/>
    <w:rsid w:val="39D16D90"/>
    <w:rsid w:val="39DE7F87"/>
    <w:rsid w:val="39FA52A2"/>
    <w:rsid w:val="3A1177A4"/>
    <w:rsid w:val="3A220130"/>
    <w:rsid w:val="3A2C3673"/>
    <w:rsid w:val="3A4C5776"/>
    <w:rsid w:val="3A566484"/>
    <w:rsid w:val="3A6871A8"/>
    <w:rsid w:val="3A6F665F"/>
    <w:rsid w:val="3A7845C1"/>
    <w:rsid w:val="3A982498"/>
    <w:rsid w:val="3A992100"/>
    <w:rsid w:val="3ABA1996"/>
    <w:rsid w:val="3AC646F0"/>
    <w:rsid w:val="3AFF0826"/>
    <w:rsid w:val="3B024423"/>
    <w:rsid w:val="3B03123F"/>
    <w:rsid w:val="3B0A09E5"/>
    <w:rsid w:val="3B3F2D9A"/>
    <w:rsid w:val="3B3F6F04"/>
    <w:rsid w:val="3B4476D7"/>
    <w:rsid w:val="3BAE1DD0"/>
    <w:rsid w:val="3BB719E6"/>
    <w:rsid w:val="3BC5774D"/>
    <w:rsid w:val="3BCC0025"/>
    <w:rsid w:val="3BD21854"/>
    <w:rsid w:val="3C2C5B04"/>
    <w:rsid w:val="3C306F4B"/>
    <w:rsid w:val="3C3505F9"/>
    <w:rsid w:val="3C356645"/>
    <w:rsid w:val="3C443550"/>
    <w:rsid w:val="3C483ACE"/>
    <w:rsid w:val="3C7A059A"/>
    <w:rsid w:val="3C7F18A3"/>
    <w:rsid w:val="3C831BE4"/>
    <w:rsid w:val="3C8E2537"/>
    <w:rsid w:val="3C984AFA"/>
    <w:rsid w:val="3C9E505B"/>
    <w:rsid w:val="3CA87724"/>
    <w:rsid w:val="3CA9748D"/>
    <w:rsid w:val="3CAC15D2"/>
    <w:rsid w:val="3CFA5080"/>
    <w:rsid w:val="3CFB7829"/>
    <w:rsid w:val="3D0242C9"/>
    <w:rsid w:val="3D061283"/>
    <w:rsid w:val="3D082BA8"/>
    <w:rsid w:val="3D096FBF"/>
    <w:rsid w:val="3D1841E4"/>
    <w:rsid w:val="3D215F76"/>
    <w:rsid w:val="3D30544F"/>
    <w:rsid w:val="3D334FE9"/>
    <w:rsid w:val="3D4A296C"/>
    <w:rsid w:val="3D527EBE"/>
    <w:rsid w:val="3D6D04D1"/>
    <w:rsid w:val="3D806319"/>
    <w:rsid w:val="3DA127E6"/>
    <w:rsid w:val="3DA1373D"/>
    <w:rsid w:val="3DAF33D9"/>
    <w:rsid w:val="3DBB5ABB"/>
    <w:rsid w:val="3DCB5F49"/>
    <w:rsid w:val="3DDA79A5"/>
    <w:rsid w:val="3DDC5AEF"/>
    <w:rsid w:val="3DF0667B"/>
    <w:rsid w:val="3DFD198C"/>
    <w:rsid w:val="3E107CA2"/>
    <w:rsid w:val="3E20148A"/>
    <w:rsid w:val="3E224AFD"/>
    <w:rsid w:val="3E237759"/>
    <w:rsid w:val="3E3071F5"/>
    <w:rsid w:val="3E3442AB"/>
    <w:rsid w:val="3E390CC2"/>
    <w:rsid w:val="3E3B59C0"/>
    <w:rsid w:val="3E504A51"/>
    <w:rsid w:val="3E5D7F6D"/>
    <w:rsid w:val="3E7C1114"/>
    <w:rsid w:val="3E7F0FD3"/>
    <w:rsid w:val="3E7F6E2F"/>
    <w:rsid w:val="3E802402"/>
    <w:rsid w:val="3E932E61"/>
    <w:rsid w:val="3EA85063"/>
    <w:rsid w:val="3EC2276D"/>
    <w:rsid w:val="3F0B7447"/>
    <w:rsid w:val="3F377B61"/>
    <w:rsid w:val="3F3A7B06"/>
    <w:rsid w:val="3F5C1241"/>
    <w:rsid w:val="3F72006A"/>
    <w:rsid w:val="3F774967"/>
    <w:rsid w:val="3F7D783C"/>
    <w:rsid w:val="3F8F4793"/>
    <w:rsid w:val="3F992C4F"/>
    <w:rsid w:val="3FBB218F"/>
    <w:rsid w:val="3FBE0ACB"/>
    <w:rsid w:val="3FDC7E34"/>
    <w:rsid w:val="3FE73F63"/>
    <w:rsid w:val="3FF248E1"/>
    <w:rsid w:val="4002614B"/>
    <w:rsid w:val="40134A8C"/>
    <w:rsid w:val="40214590"/>
    <w:rsid w:val="402B7E3F"/>
    <w:rsid w:val="40372104"/>
    <w:rsid w:val="405F7A56"/>
    <w:rsid w:val="40A722A6"/>
    <w:rsid w:val="40A801E1"/>
    <w:rsid w:val="40A80457"/>
    <w:rsid w:val="40AB5896"/>
    <w:rsid w:val="40BA14B0"/>
    <w:rsid w:val="40BE62F3"/>
    <w:rsid w:val="40CD3E37"/>
    <w:rsid w:val="40CE0BF5"/>
    <w:rsid w:val="40DC7699"/>
    <w:rsid w:val="41161E60"/>
    <w:rsid w:val="41322588"/>
    <w:rsid w:val="41343D6D"/>
    <w:rsid w:val="4146296C"/>
    <w:rsid w:val="41630FEA"/>
    <w:rsid w:val="41647214"/>
    <w:rsid w:val="41887CA4"/>
    <w:rsid w:val="41E1186B"/>
    <w:rsid w:val="41F7241C"/>
    <w:rsid w:val="41FE5B14"/>
    <w:rsid w:val="420E7B56"/>
    <w:rsid w:val="421D3181"/>
    <w:rsid w:val="42427036"/>
    <w:rsid w:val="42495DB2"/>
    <w:rsid w:val="4269322C"/>
    <w:rsid w:val="427A53E9"/>
    <w:rsid w:val="4284303B"/>
    <w:rsid w:val="42844D95"/>
    <w:rsid w:val="42847D13"/>
    <w:rsid w:val="42892DBE"/>
    <w:rsid w:val="429C3997"/>
    <w:rsid w:val="42A1628B"/>
    <w:rsid w:val="42AA07D4"/>
    <w:rsid w:val="42AD7A50"/>
    <w:rsid w:val="42B97012"/>
    <w:rsid w:val="42D55AD3"/>
    <w:rsid w:val="42D95E50"/>
    <w:rsid w:val="42DC703E"/>
    <w:rsid w:val="42F15308"/>
    <w:rsid w:val="43047FB6"/>
    <w:rsid w:val="43057EDD"/>
    <w:rsid w:val="430D7F09"/>
    <w:rsid w:val="43100D3F"/>
    <w:rsid w:val="431E58B7"/>
    <w:rsid w:val="432B278D"/>
    <w:rsid w:val="435438FA"/>
    <w:rsid w:val="435C1A58"/>
    <w:rsid w:val="43645F97"/>
    <w:rsid w:val="437212DC"/>
    <w:rsid w:val="437720E2"/>
    <w:rsid w:val="43825D54"/>
    <w:rsid w:val="43A8521B"/>
    <w:rsid w:val="43A9227D"/>
    <w:rsid w:val="43BD5878"/>
    <w:rsid w:val="43D75AF5"/>
    <w:rsid w:val="43D917B8"/>
    <w:rsid w:val="43E9449B"/>
    <w:rsid w:val="43EC1FC6"/>
    <w:rsid w:val="43FB3B36"/>
    <w:rsid w:val="43FE2FD4"/>
    <w:rsid w:val="444E7FB8"/>
    <w:rsid w:val="44587795"/>
    <w:rsid w:val="44625A6F"/>
    <w:rsid w:val="44790DAC"/>
    <w:rsid w:val="447F4114"/>
    <w:rsid w:val="44806310"/>
    <w:rsid w:val="44811998"/>
    <w:rsid w:val="44822C94"/>
    <w:rsid w:val="44991448"/>
    <w:rsid w:val="44BA555B"/>
    <w:rsid w:val="44E339A9"/>
    <w:rsid w:val="44EC1534"/>
    <w:rsid w:val="44F70103"/>
    <w:rsid w:val="44FD3133"/>
    <w:rsid w:val="450726DE"/>
    <w:rsid w:val="450B55FB"/>
    <w:rsid w:val="450F31B9"/>
    <w:rsid w:val="451E4B9D"/>
    <w:rsid w:val="4524776C"/>
    <w:rsid w:val="453E0A3F"/>
    <w:rsid w:val="453F4B4B"/>
    <w:rsid w:val="45450755"/>
    <w:rsid w:val="45450A0A"/>
    <w:rsid w:val="457149E6"/>
    <w:rsid w:val="458B68C2"/>
    <w:rsid w:val="459203C7"/>
    <w:rsid w:val="45A622AC"/>
    <w:rsid w:val="45A80E97"/>
    <w:rsid w:val="45A97C69"/>
    <w:rsid w:val="45B914F0"/>
    <w:rsid w:val="45BD469C"/>
    <w:rsid w:val="45C933B3"/>
    <w:rsid w:val="45CA7BC0"/>
    <w:rsid w:val="45DE3554"/>
    <w:rsid w:val="45E17116"/>
    <w:rsid w:val="45E812E4"/>
    <w:rsid w:val="45FE63FC"/>
    <w:rsid w:val="462D7FDB"/>
    <w:rsid w:val="46311E9B"/>
    <w:rsid w:val="46500258"/>
    <w:rsid w:val="46601036"/>
    <w:rsid w:val="46673B16"/>
    <w:rsid w:val="46680A76"/>
    <w:rsid w:val="467C1E8C"/>
    <w:rsid w:val="46844F73"/>
    <w:rsid w:val="46952B52"/>
    <w:rsid w:val="46C87CF0"/>
    <w:rsid w:val="46F17A0D"/>
    <w:rsid w:val="46FD33DB"/>
    <w:rsid w:val="47025B68"/>
    <w:rsid w:val="470343A1"/>
    <w:rsid w:val="4704502E"/>
    <w:rsid w:val="470B0C37"/>
    <w:rsid w:val="472178A3"/>
    <w:rsid w:val="472B474E"/>
    <w:rsid w:val="47307EF0"/>
    <w:rsid w:val="47460841"/>
    <w:rsid w:val="474D4DE4"/>
    <w:rsid w:val="47543636"/>
    <w:rsid w:val="475F5BE1"/>
    <w:rsid w:val="47635A36"/>
    <w:rsid w:val="477D2490"/>
    <w:rsid w:val="47802038"/>
    <w:rsid w:val="478B6735"/>
    <w:rsid w:val="47924D6D"/>
    <w:rsid w:val="479F2CA9"/>
    <w:rsid w:val="47D70C73"/>
    <w:rsid w:val="47FB099F"/>
    <w:rsid w:val="48046070"/>
    <w:rsid w:val="480D5388"/>
    <w:rsid w:val="481048FC"/>
    <w:rsid w:val="481E1749"/>
    <w:rsid w:val="48297E12"/>
    <w:rsid w:val="48342887"/>
    <w:rsid w:val="483504F4"/>
    <w:rsid w:val="484C57EC"/>
    <w:rsid w:val="486D5AE7"/>
    <w:rsid w:val="48743BBD"/>
    <w:rsid w:val="487A5B4E"/>
    <w:rsid w:val="488818F3"/>
    <w:rsid w:val="489D0F9C"/>
    <w:rsid w:val="489E4067"/>
    <w:rsid w:val="48A7564B"/>
    <w:rsid w:val="48B653B8"/>
    <w:rsid w:val="48D2493F"/>
    <w:rsid w:val="48D32632"/>
    <w:rsid w:val="48E54110"/>
    <w:rsid w:val="49072078"/>
    <w:rsid w:val="492876F7"/>
    <w:rsid w:val="49475C4A"/>
    <w:rsid w:val="4951694D"/>
    <w:rsid w:val="497A5D03"/>
    <w:rsid w:val="497B7727"/>
    <w:rsid w:val="49952322"/>
    <w:rsid w:val="49A04769"/>
    <w:rsid w:val="49BF66B8"/>
    <w:rsid w:val="49C5477A"/>
    <w:rsid w:val="49E13D63"/>
    <w:rsid w:val="4A060368"/>
    <w:rsid w:val="4A0D7B2C"/>
    <w:rsid w:val="4A1C0D38"/>
    <w:rsid w:val="4A290108"/>
    <w:rsid w:val="4A2A3BE7"/>
    <w:rsid w:val="4A2F648D"/>
    <w:rsid w:val="4A3547B1"/>
    <w:rsid w:val="4A432BA3"/>
    <w:rsid w:val="4A491758"/>
    <w:rsid w:val="4A4B04CC"/>
    <w:rsid w:val="4A545712"/>
    <w:rsid w:val="4A5D26FE"/>
    <w:rsid w:val="4A605B7A"/>
    <w:rsid w:val="4A6C3B7F"/>
    <w:rsid w:val="4A7221C8"/>
    <w:rsid w:val="4A72756B"/>
    <w:rsid w:val="4A786097"/>
    <w:rsid w:val="4A787893"/>
    <w:rsid w:val="4A797541"/>
    <w:rsid w:val="4A7F4B78"/>
    <w:rsid w:val="4A864446"/>
    <w:rsid w:val="4A8C7E5F"/>
    <w:rsid w:val="4AA37359"/>
    <w:rsid w:val="4AA6268E"/>
    <w:rsid w:val="4AA77BAD"/>
    <w:rsid w:val="4AE75F2E"/>
    <w:rsid w:val="4B010B09"/>
    <w:rsid w:val="4B0A736B"/>
    <w:rsid w:val="4B541DFC"/>
    <w:rsid w:val="4B5A6782"/>
    <w:rsid w:val="4B6778A4"/>
    <w:rsid w:val="4B69590F"/>
    <w:rsid w:val="4B7E5D13"/>
    <w:rsid w:val="4B8442E0"/>
    <w:rsid w:val="4BA40BFF"/>
    <w:rsid w:val="4BA9468A"/>
    <w:rsid w:val="4BBD0440"/>
    <w:rsid w:val="4BC149DF"/>
    <w:rsid w:val="4BC2652C"/>
    <w:rsid w:val="4BC554E1"/>
    <w:rsid w:val="4BE14965"/>
    <w:rsid w:val="4BE556A8"/>
    <w:rsid w:val="4BFF2308"/>
    <w:rsid w:val="4C0108A9"/>
    <w:rsid w:val="4C097693"/>
    <w:rsid w:val="4C121913"/>
    <w:rsid w:val="4C163CF0"/>
    <w:rsid w:val="4C215EF7"/>
    <w:rsid w:val="4C32379E"/>
    <w:rsid w:val="4C3B47EB"/>
    <w:rsid w:val="4C3B5B30"/>
    <w:rsid w:val="4C49561D"/>
    <w:rsid w:val="4C4E07CF"/>
    <w:rsid w:val="4C587844"/>
    <w:rsid w:val="4C597CAA"/>
    <w:rsid w:val="4C5F5A69"/>
    <w:rsid w:val="4C79253D"/>
    <w:rsid w:val="4C7C27D4"/>
    <w:rsid w:val="4C7E529D"/>
    <w:rsid w:val="4C9E0DB6"/>
    <w:rsid w:val="4CA06621"/>
    <w:rsid w:val="4CBC1C93"/>
    <w:rsid w:val="4CC028EC"/>
    <w:rsid w:val="4CCC397B"/>
    <w:rsid w:val="4CE62DFF"/>
    <w:rsid w:val="4D0021FE"/>
    <w:rsid w:val="4D1406F2"/>
    <w:rsid w:val="4D1E0B50"/>
    <w:rsid w:val="4D1E15CD"/>
    <w:rsid w:val="4D3134D0"/>
    <w:rsid w:val="4D3D26BF"/>
    <w:rsid w:val="4D570832"/>
    <w:rsid w:val="4D6040FA"/>
    <w:rsid w:val="4D701B1E"/>
    <w:rsid w:val="4D726917"/>
    <w:rsid w:val="4D746E18"/>
    <w:rsid w:val="4D76756A"/>
    <w:rsid w:val="4D8D24E8"/>
    <w:rsid w:val="4D8D36DE"/>
    <w:rsid w:val="4D9A67D3"/>
    <w:rsid w:val="4DA226B4"/>
    <w:rsid w:val="4DA61F91"/>
    <w:rsid w:val="4DAB1359"/>
    <w:rsid w:val="4DAE1057"/>
    <w:rsid w:val="4DC85B79"/>
    <w:rsid w:val="4DD7626E"/>
    <w:rsid w:val="4DDA11F1"/>
    <w:rsid w:val="4DE93588"/>
    <w:rsid w:val="4E115C3E"/>
    <w:rsid w:val="4E1A6AB1"/>
    <w:rsid w:val="4E2A6CB9"/>
    <w:rsid w:val="4E4179EE"/>
    <w:rsid w:val="4E54721B"/>
    <w:rsid w:val="4E652338"/>
    <w:rsid w:val="4E695C10"/>
    <w:rsid w:val="4E767DC2"/>
    <w:rsid w:val="4E8F6F3C"/>
    <w:rsid w:val="4E90785A"/>
    <w:rsid w:val="4E976C71"/>
    <w:rsid w:val="4E9B3E35"/>
    <w:rsid w:val="4EA169AD"/>
    <w:rsid w:val="4EA7760A"/>
    <w:rsid w:val="4EAF4498"/>
    <w:rsid w:val="4EB4265F"/>
    <w:rsid w:val="4EBA5B26"/>
    <w:rsid w:val="4EBD5675"/>
    <w:rsid w:val="4EBE6842"/>
    <w:rsid w:val="4ED57ECB"/>
    <w:rsid w:val="4EEB7DED"/>
    <w:rsid w:val="4F031432"/>
    <w:rsid w:val="4F0754C4"/>
    <w:rsid w:val="4F127F92"/>
    <w:rsid w:val="4F1521F0"/>
    <w:rsid w:val="4F197DB4"/>
    <w:rsid w:val="4F1F59DB"/>
    <w:rsid w:val="4F2D661D"/>
    <w:rsid w:val="4F2F0DBB"/>
    <w:rsid w:val="4F3B7D36"/>
    <w:rsid w:val="4F3D1691"/>
    <w:rsid w:val="4F3E37FA"/>
    <w:rsid w:val="4F544797"/>
    <w:rsid w:val="4F8E0E09"/>
    <w:rsid w:val="4F932A85"/>
    <w:rsid w:val="4F962A07"/>
    <w:rsid w:val="4F9668FF"/>
    <w:rsid w:val="4F9A03E9"/>
    <w:rsid w:val="4FAD3556"/>
    <w:rsid w:val="4FAF160F"/>
    <w:rsid w:val="4FAF3116"/>
    <w:rsid w:val="4FB004BB"/>
    <w:rsid w:val="4FBA59DA"/>
    <w:rsid w:val="4FBB0187"/>
    <w:rsid w:val="4FCE03C2"/>
    <w:rsid w:val="4FCF706B"/>
    <w:rsid w:val="4FD36C6F"/>
    <w:rsid w:val="4FE905C5"/>
    <w:rsid w:val="4FEC4E6C"/>
    <w:rsid w:val="4FEE78C8"/>
    <w:rsid w:val="4FF23923"/>
    <w:rsid w:val="4FF858A5"/>
    <w:rsid w:val="4FFE029C"/>
    <w:rsid w:val="50025148"/>
    <w:rsid w:val="500D0028"/>
    <w:rsid w:val="50165DEC"/>
    <w:rsid w:val="502E20A9"/>
    <w:rsid w:val="508D199A"/>
    <w:rsid w:val="509E2E0E"/>
    <w:rsid w:val="50A832AC"/>
    <w:rsid w:val="50AC64AF"/>
    <w:rsid w:val="50C07DE8"/>
    <w:rsid w:val="50C16CAB"/>
    <w:rsid w:val="50C51AB1"/>
    <w:rsid w:val="50CC1BD3"/>
    <w:rsid w:val="50D42F2D"/>
    <w:rsid w:val="50D77FC2"/>
    <w:rsid w:val="50DD0647"/>
    <w:rsid w:val="50DF34CC"/>
    <w:rsid w:val="50E866D3"/>
    <w:rsid w:val="50F66874"/>
    <w:rsid w:val="50F74FF9"/>
    <w:rsid w:val="510711CE"/>
    <w:rsid w:val="511E5C73"/>
    <w:rsid w:val="512E1CBB"/>
    <w:rsid w:val="51513E0F"/>
    <w:rsid w:val="515C24D4"/>
    <w:rsid w:val="51A204CE"/>
    <w:rsid w:val="51A44E40"/>
    <w:rsid w:val="51B24506"/>
    <w:rsid w:val="51B758CC"/>
    <w:rsid w:val="51BA596D"/>
    <w:rsid w:val="51BF6D30"/>
    <w:rsid w:val="51CE2068"/>
    <w:rsid w:val="51D54D75"/>
    <w:rsid w:val="51EC168C"/>
    <w:rsid w:val="51F821A6"/>
    <w:rsid w:val="51FA2F1F"/>
    <w:rsid w:val="52215128"/>
    <w:rsid w:val="5223591D"/>
    <w:rsid w:val="52276F8E"/>
    <w:rsid w:val="52374500"/>
    <w:rsid w:val="52414FCD"/>
    <w:rsid w:val="524D5D80"/>
    <w:rsid w:val="52603064"/>
    <w:rsid w:val="526376F1"/>
    <w:rsid w:val="52677290"/>
    <w:rsid w:val="52A03AFC"/>
    <w:rsid w:val="52A44851"/>
    <w:rsid w:val="52B27FA0"/>
    <w:rsid w:val="52E554BC"/>
    <w:rsid w:val="52EC573D"/>
    <w:rsid w:val="53181211"/>
    <w:rsid w:val="531C1269"/>
    <w:rsid w:val="534941E8"/>
    <w:rsid w:val="534A5099"/>
    <w:rsid w:val="535C721F"/>
    <w:rsid w:val="5377345F"/>
    <w:rsid w:val="537826CF"/>
    <w:rsid w:val="538951BA"/>
    <w:rsid w:val="538A3922"/>
    <w:rsid w:val="538A5ECD"/>
    <w:rsid w:val="53CE5B9E"/>
    <w:rsid w:val="53D725CB"/>
    <w:rsid w:val="53F01E56"/>
    <w:rsid w:val="540A36EA"/>
    <w:rsid w:val="54205A11"/>
    <w:rsid w:val="542B42CD"/>
    <w:rsid w:val="544977CA"/>
    <w:rsid w:val="54500945"/>
    <w:rsid w:val="54633A00"/>
    <w:rsid w:val="54B2490E"/>
    <w:rsid w:val="54B721DB"/>
    <w:rsid w:val="54BF6B94"/>
    <w:rsid w:val="54C528D9"/>
    <w:rsid w:val="54CA057C"/>
    <w:rsid w:val="54FE1A7A"/>
    <w:rsid w:val="55024327"/>
    <w:rsid w:val="550A3FF3"/>
    <w:rsid w:val="553C20FE"/>
    <w:rsid w:val="55436EC8"/>
    <w:rsid w:val="55513A09"/>
    <w:rsid w:val="55683187"/>
    <w:rsid w:val="556D4363"/>
    <w:rsid w:val="55971B15"/>
    <w:rsid w:val="559D78DA"/>
    <w:rsid w:val="55AE5125"/>
    <w:rsid w:val="55B94739"/>
    <w:rsid w:val="55C00540"/>
    <w:rsid w:val="55DD6DA5"/>
    <w:rsid w:val="55E434E1"/>
    <w:rsid w:val="55EB0C46"/>
    <w:rsid w:val="56306178"/>
    <w:rsid w:val="56316DF5"/>
    <w:rsid w:val="563B1F57"/>
    <w:rsid w:val="563E16C3"/>
    <w:rsid w:val="56411E8D"/>
    <w:rsid w:val="56443477"/>
    <w:rsid w:val="56686407"/>
    <w:rsid w:val="568203C1"/>
    <w:rsid w:val="56874FCB"/>
    <w:rsid w:val="56AF201E"/>
    <w:rsid w:val="56B44488"/>
    <w:rsid w:val="56CB0800"/>
    <w:rsid w:val="56F920EE"/>
    <w:rsid w:val="56FF5D3F"/>
    <w:rsid w:val="570C6A4D"/>
    <w:rsid w:val="572E6F6F"/>
    <w:rsid w:val="573419AA"/>
    <w:rsid w:val="5738258C"/>
    <w:rsid w:val="574C028A"/>
    <w:rsid w:val="57986BED"/>
    <w:rsid w:val="57A053C8"/>
    <w:rsid w:val="57AA1CEA"/>
    <w:rsid w:val="57AA2E91"/>
    <w:rsid w:val="57B254F9"/>
    <w:rsid w:val="57B57573"/>
    <w:rsid w:val="57B97339"/>
    <w:rsid w:val="57BC5EFE"/>
    <w:rsid w:val="57C96BFE"/>
    <w:rsid w:val="57D71466"/>
    <w:rsid w:val="57D9752D"/>
    <w:rsid w:val="57FB4CEE"/>
    <w:rsid w:val="58050209"/>
    <w:rsid w:val="583D4DDE"/>
    <w:rsid w:val="585140C9"/>
    <w:rsid w:val="585A3E98"/>
    <w:rsid w:val="58626543"/>
    <w:rsid w:val="58914DD9"/>
    <w:rsid w:val="58B8677E"/>
    <w:rsid w:val="58BB7F4A"/>
    <w:rsid w:val="58BF635D"/>
    <w:rsid w:val="58C41ABE"/>
    <w:rsid w:val="58C93758"/>
    <w:rsid w:val="58D0419E"/>
    <w:rsid w:val="58F853C4"/>
    <w:rsid w:val="5903310E"/>
    <w:rsid w:val="590442C3"/>
    <w:rsid w:val="590B4AF5"/>
    <w:rsid w:val="591269E9"/>
    <w:rsid w:val="592059A6"/>
    <w:rsid w:val="59216480"/>
    <w:rsid w:val="594E6E94"/>
    <w:rsid w:val="594F6709"/>
    <w:rsid w:val="595F249D"/>
    <w:rsid w:val="5967603D"/>
    <w:rsid w:val="59870D69"/>
    <w:rsid w:val="599975CF"/>
    <w:rsid w:val="59BE4ACC"/>
    <w:rsid w:val="59CE5B60"/>
    <w:rsid w:val="59D818FE"/>
    <w:rsid w:val="59D83C63"/>
    <w:rsid w:val="59DB4646"/>
    <w:rsid w:val="59E12961"/>
    <w:rsid w:val="59EC7AF5"/>
    <w:rsid w:val="59F60CAB"/>
    <w:rsid w:val="59FE5684"/>
    <w:rsid w:val="5A0679B5"/>
    <w:rsid w:val="5A071CCE"/>
    <w:rsid w:val="5A1E0EE0"/>
    <w:rsid w:val="5A251913"/>
    <w:rsid w:val="5A2758E9"/>
    <w:rsid w:val="5A3E04E9"/>
    <w:rsid w:val="5A49220A"/>
    <w:rsid w:val="5A577C51"/>
    <w:rsid w:val="5A5A4163"/>
    <w:rsid w:val="5A6648A2"/>
    <w:rsid w:val="5A6A1ABA"/>
    <w:rsid w:val="5ABD0BEC"/>
    <w:rsid w:val="5ABE5995"/>
    <w:rsid w:val="5AF52BAC"/>
    <w:rsid w:val="5AF70C4B"/>
    <w:rsid w:val="5AFD22FB"/>
    <w:rsid w:val="5AFD5821"/>
    <w:rsid w:val="5B0F3E48"/>
    <w:rsid w:val="5B15313B"/>
    <w:rsid w:val="5B180886"/>
    <w:rsid w:val="5B1F08AD"/>
    <w:rsid w:val="5B2218A1"/>
    <w:rsid w:val="5B254960"/>
    <w:rsid w:val="5B2C6F0C"/>
    <w:rsid w:val="5B5A1508"/>
    <w:rsid w:val="5B5C6C8D"/>
    <w:rsid w:val="5B614E05"/>
    <w:rsid w:val="5B6405AC"/>
    <w:rsid w:val="5B7D493B"/>
    <w:rsid w:val="5B834322"/>
    <w:rsid w:val="5B8A2D22"/>
    <w:rsid w:val="5B8D20DB"/>
    <w:rsid w:val="5B9731AC"/>
    <w:rsid w:val="5BAF2155"/>
    <w:rsid w:val="5BBB54FB"/>
    <w:rsid w:val="5BDB0B6F"/>
    <w:rsid w:val="5BDC5C32"/>
    <w:rsid w:val="5BE67C77"/>
    <w:rsid w:val="5BEB3578"/>
    <w:rsid w:val="5BF30574"/>
    <w:rsid w:val="5BF83B8E"/>
    <w:rsid w:val="5C0001E8"/>
    <w:rsid w:val="5C0D7E00"/>
    <w:rsid w:val="5C1B3169"/>
    <w:rsid w:val="5C413E58"/>
    <w:rsid w:val="5C4C11C4"/>
    <w:rsid w:val="5C533ECE"/>
    <w:rsid w:val="5C564E4C"/>
    <w:rsid w:val="5C587953"/>
    <w:rsid w:val="5C697FF7"/>
    <w:rsid w:val="5C86561B"/>
    <w:rsid w:val="5C9323D4"/>
    <w:rsid w:val="5CA20657"/>
    <w:rsid w:val="5CD37180"/>
    <w:rsid w:val="5CDE2AF7"/>
    <w:rsid w:val="5CEE0350"/>
    <w:rsid w:val="5CF11772"/>
    <w:rsid w:val="5CF722A9"/>
    <w:rsid w:val="5CF91EBD"/>
    <w:rsid w:val="5D017DBD"/>
    <w:rsid w:val="5D0540C1"/>
    <w:rsid w:val="5D0D0413"/>
    <w:rsid w:val="5D226ACA"/>
    <w:rsid w:val="5D2B250C"/>
    <w:rsid w:val="5D330B50"/>
    <w:rsid w:val="5D3778A4"/>
    <w:rsid w:val="5D497BB8"/>
    <w:rsid w:val="5D547B84"/>
    <w:rsid w:val="5D6F0DFF"/>
    <w:rsid w:val="5D6F10C4"/>
    <w:rsid w:val="5D7F0FEA"/>
    <w:rsid w:val="5D873867"/>
    <w:rsid w:val="5DC44D1D"/>
    <w:rsid w:val="5DCB13B6"/>
    <w:rsid w:val="5DD9065B"/>
    <w:rsid w:val="5DE06CD1"/>
    <w:rsid w:val="5DF412EC"/>
    <w:rsid w:val="5E0A44CC"/>
    <w:rsid w:val="5E1B7549"/>
    <w:rsid w:val="5E216473"/>
    <w:rsid w:val="5E221908"/>
    <w:rsid w:val="5E301F55"/>
    <w:rsid w:val="5E324CFB"/>
    <w:rsid w:val="5E3B1634"/>
    <w:rsid w:val="5E5A2253"/>
    <w:rsid w:val="5E61052F"/>
    <w:rsid w:val="5E8C2CF7"/>
    <w:rsid w:val="5EA212ED"/>
    <w:rsid w:val="5EAD31EB"/>
    <w:rsid w:val="5EBB39B2"/>
    <w:rsid w:val="5EBD6E24"/>
    <w:rsid w:val="5EBF4237"/>
    <w:rsid w:val="5EC621A9"/>
    <w:rsid w:val="5EC713DE"/>
    <w:rsid w:val="5EDF3AF9"/>
    <w:rsid w:val="5EED7F88"/>
    <w:rsid w:val="5EF73918"/>
    <w:rsid w:val="5F021772"/>
    <w:rsid w:val="5F16714A"/>
    <w:rsid w:val="5F231876"/>
    <w:rsid w:val="5F246E56"/>
    <w:rsid w:val="5F3304DD"/>
    <w:rsid w:val="5F416CEF"/>
    <w:rsid w:val="5F604B14"/>
    <w:rsid w:val="5F6230F3"/>
    <w:rsid w:val="5F6A0D11"/>
    <w:rsid w:val="5F74455E"/>
    <w:rsid w:val="5F7856A9"/>
    <w:rsid w:val="5FA53720"/>
    <w:rsid w:val="5FBF184A"/>
    <w:rsid w:val="5FC369CC"/>
    <w:rsid w:val="5FC47CB4"/>
    <w:rsid w:val="5FC907DD"/>
    <w:rsid w:val="5FD02F76"/>
    <w:rsid w:val="5FD06533"/>
    <w:rsid w:val="5FEE78AE"/>
    <w:rsid w:val="5FF55DA5"/>
    <w:rsid w:val="5FFC4058"/>
    <w:rsid w:val="5FFC765E"/>
    <w:rsid w:val="600E0767"/>
    <w:rsid w:val="60192212"/>
    <w:rsid w:val="60222776"/>
    <w:rsid w:val="602E0C52"/>
    <w:rsid w:val="60420659"/>
    <w:rsid w:val="607227FD"/>
    <w:rsid w:val="60934C45"/>
    <w:rsid w:val="60A067FA"/>
    <w:rsid w:val="60AA6473"/>
    <w:rsid w:val="60AB4146"/>
    <w:rsid w:val="60B15AE1"/>
    <w:rsid w:val="60C064E5"/>
    <w:rsid w:val="60CB6B1B"/>
    <w:rsid w:val="60D2047D"/>
    <w:rsid w:val="60D24C0D"/>
    <w:rsid w:val="60EC0811"/>
    <w:rsid w:val="60EF3577"/>
    <w:rsid w:val="60F5433C"/>
    <w:rsid w:val="60FB4C03"/>
    <w:rsid w:val="611F6EB3"/>
    <w:rsid w:val="61295728"/>
    <w:rsid w:val="612F2FC5"/>
    <w:rsid w:val="614479B7"/>
    <w:rsid w:val="614610AC"/>
    <w:rsid w:val="614D4F53"/>
    <w:rsid w:val="61561B0A"/>
    <w:rsid w:val="615D3886"/>
    <w:rsid w:val="616617FE"/>
    <w:rsid w:val="616D4F71"/>
    <w:rsid w:val="61790AD6"/>
    <w:rsid w:val="61810DAC"/>
    <w:rsid w:val="619D2B52"/>
    <w:rsid w:val="61A65EC3"/>
    <w:rsid w:val="61AA1D4E"/>
    <w:rsid w:val="61B30B3C"/>
    <w:rsid w:val="61B82DAF"/>
    <w:rsid w:val="61BA34EB"/>
    <w:rsid w:val="61C33DEA"/>
    <w:rsid w:val="61D14B99"/>
    <w:rsid w:val="61D67400"/>
    <w:rsid w:val="61DF0386"/>
    <w:rsid w:val="61E15F02"/>
    <w:rsid w:val="61E33C3E"/>
    <w:rsid w:val="61F64342"/>
    <w:rsid w:val="61FF2D1E"/>
    <w:rsid w:val="620B020C"/>
    <w:rsid w:val="621234E3"/>
    <w:rsid w:val="621642CE"/>
    <w:rsid w:val="621D4A8B"/>
    <w:rsid w:val="62291EE6"/>
    <w:rsid w:val="62361D20"/>
    <w:rsid w:val="623C480D"/>
    <w:rsid w:val="62491F9A"/>
    <w:rsid w:val="626838A5"/>
    <w:rsid w:val="626B2601"/>
    <w:rsid w:val="627A76BE"/>
    <w:rsid w:val="628233E4"/>
    <w:rsid w:val="6287019A"/>
    <w:rsid w:val="6288451A"/>
    <w:rsid w:val="628A0E41"/>
    <w:rsid w:val="629372B1"/>
    <w:rsid w:val="62994D41"/>
    <w:rsid w:val="629C6B8D"/>
    <w:rsid w:val="62AF53F8"/>
    <w:rsid w:val="62DE154E"/>
    <w:rsid w:val="62FF7FC8"/>
    <w:rsid w:val="63164E73"/>
    <w:rsid w:val="63230500"/>
    <w:rsid w:val="63300FF6"/>
    <w:rsid w:val="63352A8B"/>
    <w:rsid w:val="634B753B"/>
    <w:rsid w:val="63515250"/>
    <w:rsid w:val="63530257"/>
    <w:rsid w:val="636171EE"/>
    <w:rsid w:val="636B4E01"/>
    <w:rsid w:val="63872853"/>
    <w:rsid w:val="63920A42"/>
    <w:rsid w:val="63B4199C"/>
    <w:rsid w:val="63CC18C0"/>
    <w:rsid w:val="63D32FE8"/>
    <w:rsid w:val="63DB77EA"/>
    <w:rsid w:val="63EF0360"/>
    <w:rsid w:val="63F86107"/>
    <w:rsid w:val="6419610B"/>
    <w:rsid w:val="642758FE"/>
    <w:rsid w:val="643449D6"/>
    <w:rsid w:val="643900D6"/>
    <w:rsid w:val="643D61F5"/>
    <w:rsid w:val="64415C43"/>
    <w:rsid w:val="64444A4A"/>
    <w:rsid w:val="647573B1"/>
    <w:rsid w:val="64760EA5"/>
    <w:rsid w:val="64864796"/>
    <w:rsid w:val="64963F53"/>
    <w:rsid w:val="649918A2"/>
    <w:rsid w:val="64A77CB0"/>
    <w:rsid w:val="64AA73D0"/>
    <w:rsid w:val="64CC30EB"/>
    <w:rsid w:val="64D4630A"/>
    <w:rsid w:val="64E548D9"/>
    <w:rsid w:val="64E916E7"/>
    <w:rsid w:val="64F927CB"/>
    <w:rsid w:val="650B5682"/>
    <w:rsid w:val="651253DB"/>
    <w:rsid w:val="65371112"/>
    <w:rsid w:val="65373F08"/>
    <w:rsid w:val="654414D0"/>
    <w:rsid w:val="654D3D05"/>
    <w:rsid w:val="655F231D"/>
    <w:rsid w:val="655F50FB"/>
    <w:rsid w:val="65611872"/>
    <w:rsid w:val="656A2317"/>
    <w:rsid w:val="656C6C0C"/>
    <w:rsid w:val="656E04FB"/>
    <w:rsid w:val="65766D13"/>
    <w:rsid w:val="65776B3B"/>
    <w:rsid w:val="65AA794F"/>
    <w:rsid w:val="65AC0975"/>
    <w:rsid w:val="65BD3A90"/>
    <w:rsid w:val="65C33005"/>
    <w:rsid w:val="65C70F7E"/>
    <w:rsid w:val="65D12017"/>
    <w:rsid w:val="65E13D3B"/>
    <w:rsid w:val="65EC03BB"/>
    <w:rsid w:val="65F20C48"/>
    <w:rsid w:val="65F777F5"/>
    <w:rsid w:val="66120CE6"/>
    <w:rsid w:val="663C6FD7"/>
    <w:rsid w:val="664A1A6A"/>
    <w:rsid w:val="66503626"/>
    <w:rsid w:val="66575D9F"/>
    <w:rsid w:val="66583933"/>
    <w:rsid w:val="66660326"/>
    <w:rsid w:val="666C50C8"/>
    <w:rsid w:val="66AE6963"/>
    <w:rsid w:val="66AF1C00"/>
    <w:rsid w:val="66CF3B5B"/>
    <w:rsid w:val="66D55705"/>
    <w:rsid w:val="67206039"/>
    <w:rsid w:val="672A387B"/>
    <w:rsid w:val="672C200C"/>
    <w:rsid w:val="672E6437"/>
    <w:rsid w:val="673E5EF8"/>
    <w:rsid w:val="674358A4"/>
    <w:rsid w:val="67536D3E"/>
    <w:rsid w:val="675F4E7B"/>
    <w:rsid w:val="6773441E"/>
    <w:rsid w:val="67A067ED"/>
    <w:rsid w:val="67AD7AD1"/>
    <w:rsid w:val="67B80B02"/>
    <w:rsid w:val="67CA4419"/>
    <w:rsid w:val="67E55609"/>
    <w:rsid w:val="67E706B2"/>
    <w:rsid w:val="67F54305"/>
    <w:rsid w:val="67F72DF6"/>
    <w:rsid w:val="68042C59"/>
    <w:rsid w:val="68083B50"/>
    <w:rsid w:val="68120E4D"/>
    <w:rsid w:val="68186459"/>
    <w:rsid w:val="68202DDC"/>
    <w:rsid w:val="682B0D80"/>
    <w:rsid w:val="68370C2A"/>
    <w:rsid w:val="6849453E"/>
    <w:rsid w:val="68525987"/>
    <w:rsid w:val="686525F9"/>
    <w:rsid w:val="686F0A84"/>
    <w:rsid w:val="6878656B"/>
    <w:rsid w:val="68793299"/>
    <w:rsid w:val="687A5E05"/>
    <w:rsid w:val="68882045"/>
    <w:rsid w:val="688D2FD2"/>
    <w:rsid w:val="688E629F"/>
    <w:rsid w:val="689D0A17"/>
    <w:rsid w:val="68A7237A"/>
    <w:rsid w:val="68A863DD"/>
    <w:rsid w:val="68CC239C"/>
    <w:rsid w:val="68CE2566"/>
    <w:rsid w:val="68EC7C27"/>
    <w:rsid w:val="68F734FC"/>
    <w:rsid w:val="69006B8C"/>
    <w:rsid w:val="6902426E"/>
    <w:rsid w:val="690E2883"/>
    <w:rsid w:val="691F5F49"/>
    <w:rsid w:val="69317E45"/>
    <w:rsid w:val="6938706F"/>
    <w:rsid w:val="694A368B"/>
    <w:rsid w:val="69512DEF"/>
    <w:rsid w:val="6954706E"/>
    <w:rsid w:val="69603B4A"/>
    <w:rsid w:val="696320E7"/>
    <w:rsid w:val="6970347F"/>
    <w:rsid w:val="69794DD8"/>
    <w:rsid w:val="6990162D"/>
    <w:rsid w:val="699F71BA"/>
    <w:rsid w:val="69A31604"/>
    <w:rsid w:val="69C50AD7"/>
    <w:rsid w:val="69D508F3"/>
    <w:rsid w:val="69E705DB"/>
    <w:rsid w:val="69E73129"/>
    <w:rsid w:val="6A0D6E4B"/>
    <w:rsid w:val="6A295EBD"/>
    <w:rsid w:val="6A304F5A"/>
    <w:rsid w:val="6A4102EA"/>
    <w:rsid w:val="6A482DF9"/>
    <w:rsid w:val="6A4E2574"/>
    <w:rsid w:val="6A5461E7"/>
    <w:rsid w:val="6A5A04F8"/>
    <w:rsid w:val="6A6352C7"/>
    <w:rsid w:val="6A716CA2"/>
    <w:rsid w:val="6A7874D2"/>
    <w:rsid w:val="6AF40AEA"/>
    <w:rsid w:val="6AFF1F1A"/>
    <w:rsid w:val="6B153C81"/>
    <w:rsid w:val="6B197E24"/>
    <w:rsid w:val="6B224577"/>
    <w:rsid w:val="6B2B29CB"/>
    <w:rsid w:val="6B2F6A19"/>
    <w:rsid w:val="6B6309E8"/>
    <w:rsid w:val="6B640F22"/>
    <w:rsid w:val="6B72606E"/>
    <w:rsid w:val="6B9C7329"/>
    <w:rsid w:val="6BAD1C3B"/>
    <w:rsid w:val="6BBD43C6"/>
    <w:rsid w:val="6BC51EB4"/>
    <w:rsid w:val="6BC87F76"/>
    <w:rsid w:val="6BF50213"/>
    <w:rsid w:val="6BFF6337"/>
    <w:rsid w:val="6C117F8C"/>
    <w:rsid w:val="6C227BAF"/>
    <w:rsid w:val="6C231C20"/>
    <w:rsid w:val="6C5336CD"/>
    <w:rsid w:val="6C542FFA"/>
    <w:rsid w:val="6C7674C0"/>
    <w:rsid w:val="6C831487"/>
    <w:rsid w:val="6C9D0E0D"/>
    <w:rsid w:val="6CA62C5B"/>
    <w:rsid w:val="6CAE0A02"/>
    <w:rsid w:val="6CB6671F"/>
    <w:rsid w:val="6CBD4F11"/>
    <w:rsid w:val="6D011978"/>
    <w:rsid w:val="6D0F2E89"/>
    <w:rsid w:val="6D1F3BA8"/>
    <w:rsid w:val="6D203223"/>
    <w:rsid w:val="6D385577"/>
    <w:rsid w:val="6D4C7577"/>
    <w:rsid w:val="6D796103"/>
    <w:rsid w:val="6DB025C9"/>
    <w:rsid w:val="6DC109D4"/>
    <w:rsid w:val="6DCF760B"/>
    <w:rsid w:val="6DD969B5"/>
    <w:rsid w:val="6DF40034"/>
    <w:rsid w:val="6E0F15B7"/>
    <w:rsid w:val="6E1C7923"/>
    <w:rsid w:val="6E453429"/>
    <w:rsid w:val="6E543FE6"/>
    <w:rsid w:val="6E5A5520"/>
    <w:rsid w:val="6E5B3CBD"/>
    <w:rsid w:val="6E790E16"/>
    <w:rsid w:val="6E820A6E"/>
    <w:rsid w:val="6E8D75E5"/>
    <w:rsid w:val="6E9119E0"/>
    <w:rsid w:val="6E9B58EC"/>
    <w:rsid w:val="6EA04183"/>
    <w:rsid w:val="6EA351B6"/>
    <w:rsid w:val="6EB222EB"/>
    <w:rsid w:val="6ECF343E"/>
    <w:rsid w:val="6ED74A5C"/>
    <w:rsid w:val="6EDC6594"/>
    <w:rsid w:val="6EEC2F8A"/>
    <w:rsid w:val="6EFA4222"/>
    <w:rsid w:val="6EFD7CDD"/>
    <w:rsid w:val="6F01074B"/>
    <w:rsid w:val="6F033D32"/>
    <w:rsid w:val="6F0A662C"/>
    <w:rsid w:val="6F37630C"/>
    <w:rsid w:val="6F387EFC"/>
    <w:rsid w:val="6F3974FF"/>
    <w:rsid w:val="6F550C5A"/>
    <w:rsid w:val="6F670D3C"/>
    <w:rsid w:val="6F6B1471"/>
    <w:rsid w:val="6F707950"/>
    <w:rsid w:val="6F793F3A"/>
    <w:rsid w:val="6F887A5B"/>
    <w:rsid w:val="6FA408F4"/>
    <w:rsid w:val="6FA76787"/>
    <w:rsid w:val="6FB00B6F"/>
    <w:rsid w:val="6FBA4626"/>
    <w:rsid w:val="6FD32CC6"/>
    <w:rsid w:val="6FD34435"/>
    <w:rsid w:val="6FDD0496"/>
    <w:rsid w:val="6FE3255B"/>
    <w:rsid w:val="6FE6143A"/>
    <w:rsid w:val="6FE95F96"/>
    <w:rsid w:val="7001703B"/>
    <w:rsid w:val="701B152D"/>
    <w:rsid w:val="701C4D42"/>
    <w:rsid w:val="7035239D"/>
    <w:rsid w:val="703F0231"/>
    <w:rsid w:val="705742C5"/>
    <w:rsid w:val="708030CA"/>
    <w:rsid w:val="708519A6"/>
    <w:rsid w:val="70953AEF"/>
    <w:rsid w:val="70970782"/>
    <w:rsid w:val="70AB05A1"/>
    <w:rsid w:val="70B838A9"/>
    <w:rsid w:val="70D84686"/>
    <w:rsid w:val="70E522C6"/>
    <w:rsid w:val="70F96748"/>
    <w:rsid w:val="710950A7"/>
    <w:rsid w:val="711143BD"/>
    <w:rsid w:val="71146F3B"/>
    <w:rsid w:val="711B49BC"/>
    <w:rsid w:val="71202317"/>
    <w:rsid w:val="712A0D03"/>
    <w:rsid w:val="71312680"/>
    <w:rsid w:val="713426AF"/>
    <w:rsid w:val="7139079B"/>
    <w:rsid w:val="71484F58"/>
    <w:rsid w:val="71511AEC"/>
    <w:rsid w:val="71693B7E"/>
    <w:rsid w:val="7174240D"/>
    <w:rsid w:val="717E3C11"/>
    <w:rsid w:val="71807120"/>
    <w:rsid w:val="7186199B"/>
    <w:rsid w:val="718664B7"/>
    <w:rsid w:val="71C10EE3"/>
    <w:rsid w:val="71E33775"/>
    <w:rsid w:val="71E453D0"/>
    <w:rsid w:val="71E641EF"/>
    <w:rsid w:val="71EB191E"/>
    <w:rsid w:val="71EF0C97"/>
    <w:rsid w:val="71F10FA2"/>
    <w:rsid w:val="71FE0693"/>
    <w:rsid w:val="72010CFD"/>
    <w:rsid w:val="720664BC"/>
    <w:rsid w:val="720E3673"/>
    <w:rsid w:val="72177FD0"/>
    <w:rsid w:val="7218645E"/>
    <w:rsid w:val="721C1B3B"/>
    <w:rsid w:val="7225637D"/>
    <w:rsid w:val="72267C6A"/>
    <w:rsid w:val="722D05D9"/>
    <w:rsid w:val="723D7C65"/>
    <w:rsid w:val="72425B2C"/>
    <w:rsid w:val="724D6661"/>
    <w:rsid w:val="724E1F7F"/>
    <w:rsid w:val="72723CFF"/>
    <w:rsid w:val="72795DBB"/>
    <w:rsid w:val="728D3532"/>
    <w:rsid w:val="729348B4"/>
    <w:rsid w:val="72B13A79"/>
    <w:rsid w:val="72CA14F5"/>
    <w:rsid w:val="72D00C1D"/>
    <w:rsid w:val="72D30B34"/>
    <w:rsid w:val="72FA0BB8"/>
    <w:rsid w:val="730438BA"/>
    <w:rsid w:val="730E285D"/>
    <w:rsid w:val="73245633"/>
    <w:rsid w:val="732A6637"/>
    <w:rsid w:val="735A7DCF"/>
    <w:rsid w:val="735D664B"/>
    <w:rsid w:val="735E418F"/>
    <w:rsid w:val="73766339"/>
    <w:rsid w:val="738144AE"/>
    <w:rsid w:val="73A94202"/>
    <w:rsid w:val="73AA2197"/>
    <w:rsid w:val="73AE1E42"/>
    <w:rsid w:val="73BA25AC"/>
    <w:rsid w:val="73CB7639"/>
    <w:rsid w:val="73E13EE0"/>
    <w:rsid w:val="73E36577"/>
    <w:rsid w:val="73FE450E"/>
    <w:rsid w:val="7404008A"/>
    <w:rsid w:val="741241E8"/>
    <w:rsid w:val="74257373"/>
    <w:rsid w:val="742C7101"/>
    <w:rsid w:val="742E0904"/>
    <w:rsid w:val="742E5147"/>
    <w:rsid w:val="74493FE4"/>
    <w:rsid w:val="74513497"/>
    <w:rsid w:val="745D0779"/>
    <w:rsid w:val="74667C0C"/>
    <w:rsid w:val="749368F0"/>
    <w:rsid w:val="74A02772"/>
    <w:rsid w:val="74A2489D"/>
    <w:rsid w:val="74D41782"/>
    <w:rsid w:val="74DA6C11"/>
    <w:rsid w:val="74E42D50"/>
    <w:rsid w:val="74F02F1E"/>
    <w:rsid w:val="74F74F2A"/>
    <w:rsid w:val="74FB4B66"/>
    <w:rsid w:val="74FE25E4"/>
    <w:rsid w:val="750933EE"/>
    <w:rsid w:val="75305065"/>
    <w:rsid w:val="75330DAE"/>
    <w:rsid w:val="7534689E"/>
    <w:rsid w:val="754427F8"/>
    <w:rsid w:val="75482616"/>
    <w:rsid w:val="754A2EA4"/>
    <w:rsid w:val="75533CDB"/>
    <w:rsid w:val="755C1784"/>
    <w:rsid w:val="756A176D"/>
    <w:rsid w:val="75744956"/>
    <w:rsid w:val="75784746"/>
    <w:rsid w:val="757B2EFF"/>
    <w:rsid w:val="757C60BA"/>
    <w:rsid w:val="759804BA"/>
    <w:rsid w:val="75A05E4E"/>
    <w:rsid w:val="75AC36CE"/>
    <w:rsid w:val="75B93025"/>
    <w:rsid w:val="75BF77AF"/>
    <w:rsid w:val="75C96FDA"/>
    <w:rsid w:val="75D14FF0"/>
    <w:rsid w:val="75DD3EF1"/>
    <w:rsid w:val="75DE7E46"/>
    <w:rsid w:val="75E33C54"/>
    <w:rsid w:val="75FD6A10"/>
    <w:rsid w:val="75FE6729"/>
    <w:rsid w:val="760A30B1"/>
    <w:rsid w:val="760D7FD2"/>
    <w:rsid w:val="762742D3"/>
    <w:rsid w:val="762D3E3F"/>
    <w:rsid w:val="76310ED3"/>
    <w:rsid w:val="763D0D8E"/>
    <w:rsid w:val="76425E10"/>
    <w:rsid w:val="765F4188"/>
    <w:rsid w:val="766C0ADC"/>
    <w:rsid w:val="76703C57"/>
    <w:rsid w:val="76770F8D"/>
    <w:rsid w:val="767D7154"/>
    <w:rsid w:val="76826103"/>
    <w:rsid w:val="768A0F69"/>
    <w:rsid w:val="76A255B4"/>
    <w:rsid w:val="76B940E3"/>
    <w:rsid w:val="76BD2C0E"/>
    <w:rsid w:val="76CA0D43"/>
    <w:rsid w:val="76E43928"/>
    <w:rsid w:val="770909B2"/>
    <w:rsid w:val="77546EBE"/>
    <w:rsid w:val="77784CDF"/>
    <w:rsid w:val="777961A7"/>
    <w:rsid w:val="77894C00"/>
    <w:rsid w:val="779042E9"/>
    <w:rsid w:val="77923C1D"/>
    <w:rsid w:val="779921AF"/>
    <w:rsid w:val="77B67B5F"/>
    <w:rsid w:val="77C63B79"/>
    <w:rsid w:val="77D82D6C"/>
    <w:rsid w:val="77DD7C3C"/>
    <w:rsid w:val="77FA56D8"/>
    <w:rsid w:val="781716BB"/>
    <w:rsid w:val="781E6E46"/>
    <w:rsid w:val="78235817"/>
    <w:rsid w:val="782375E2"/>
    <w:rsid w:val="782C2A76"/>
    <w:rsid w:val="783B31FD"/>
    <w:rsid w:val="783F07FA"/>
    <w:rsid w:val="78497278"/>
    <w:rsid w:val="78741A53"/>
    <w:rsid w:val="78742A6E"/>
    <w:rsid w:val="787D2562"/>
    <w:rsid w:val="78952BE3"/>
    <w:rsid w:val="789E63F9"/>
    <w:rsid w:val="78BB5756"/>
    <w:rsid w:val="78BC7B73"/>
    <w:rsid w:val="78C86E22"/>
    <w:rsid w:val="78CE2D16"/>
    <w:rsid w:val="78DC4EF2"/>
    <w:rsid w:val="78E01577"/>
    <w:rsid w:val="78E505BC"/>
    <w:rsid w:val="78F74791"/>
    <w:rsid w:val="790E2B13"/>
    <w:rsid w:val="7912379A"/>
    <w:rsid w:val="79151A64"/>
    <w:rsid w:val="792A33BB"/>
    <w:rsid w:val="792F26B3"/>
    <w:rsid w:val="793916A8"/>
    <w:rsid w:val="7943154C"/>
    <w:rsid w:val="79585816"/>
    <w:rsid w:val="79701F08"/>
    <w:rsid w:val="79B15469"/>
    <w:rsid w:val="79B246FF"/>
    <w:rsid w:val="79BB2739"/>
    <w:rsid w:val="79C033F4"/>
    <w:rsid w:val="79C244C5"/>
    <w:rsid w:val="79CC2923"/>
    <w:rsid w:val="79D97E79"/>
    <w:rsid w:val="79E43492"/>
    <w:rsid w:val="79E542A2"/>
    <w:rsid w:val="79F11649"/>
    <w:rsid w:val="79F17863"/>
    <w:rsid w:val="7A055157"/>
    <w:rsid w:val="7A074A7C"/>
    <w:rsid w:val="7A0B2A10"/>
    <w:rsid w:val="7A202489"/>
    <w:rsid w:val="7A275CD6"/>
    <w:rsid w:val="7A36116C"/>
    <w:rsid w:val="7A68225F"/>
    <w:rsid w:val="7A7E1851"/>
    <w:rsid w:val="7A88080E"/>
    <w:rsid w:val="7AA30BDB"/>
    <w:rsid w:val="7AA51A1E"/>
    <w:rsid w:val="7AC17A4D"/>
    <w:rsid w:val="7AC55644"/>
    <w:rsid w:val="7AC842E9"/>
    <w:rsid w:val="7AC96271"/>
    <w:rsid w:val="7AD4761F"/>
    <w:rsid w:val="7AE7538D"/>
    <w:rsid w:val="7B160A5C"/>
    <w:rsid w:val="7B3B68B1"/>
    <w:rsid w:val="7B4D4030"/>
    <w:rsid w:val="7B5820CE"/>
    <w:rsid w:val="7B5E578E"/>
    <w:rsid w:val="7B7A6B88"/>
    <w:rsid w:val="7B850870"/>
    <w:rsid w:val="7B8C02B1"/>
    <w:rsid w:val="7BAB1552"/>
    <w:rsid w:val="7BCC00E5"/>
    <w:rsid w:val="7BCC17F6"/>
    <w:rsid w:val="7BD00FC3"/>
    <w:rsid w:val="7BD50079"/>
    <w:rsid w:val="7BE03826"/>
    <w:rsid w:val="7BE76D09"/>
    <w:rsid w:val="7BEB3876"/>
    <w:rsid w:val="7BFC2B92"/>
    <w:rsid w:val="7C08229D"/>
    <w:rsid w:val="7C1169AE"/>
    <w:rsid w:val="7C1A69E1"/>
    <w:rsid w:val="7C367C97"/>
    <w:rsid w:val="7C4612FA"/>
    <w:rsid w:val="7C481E21"/>
    <w:rsid w:val="7C4D4C50"/>
    <w:rsid w:val="7C567CCD"/>
    <w:rsid w:val="7C616904"/>
    <w:rsid w:val="7C6B06D9"/>
    <w:rsid w:val="7C6B52F4"/>
    <w:rsid w:val="7C6E2CDB"/>
    <w:rsid w:val="7C7C01AF"/>
    <w:rsid w:val="7C83192F"/>
    <w:rsid w:val="7C9733BE"/>
    <w:rsid w:val="7CB24C02"/>
    <w:rsid w:val="7CBD4F45"/>
    <w:rsid w:val="7CC22DBA"/>
    <w:rsid w:val="7CDA340B"/>
    <w:rsid w:val="7CE049EE"/>
    <w:rsid w:val="7CF215C3"/>
    <w:rsid w:val="7CF6064F"/>
    <w:rsid w:val="7D062F31"/>
    <w:rsid w:val="7D273185"/>
    <w:rsid w:val="7D300641"/>
    <w:rsid w:val="7D623E4A"/>
    <w:rsid w:val="7D69529C"/>
    <w:rsid w:val="7D6F32C3"/>
    <w:rsid w:val="7D7C3F65"/>
    <w:rsid w:val="7D8A4BFA"/>
    <w:rsid w:val="7D9510B7"/>
    <w:rsid w:val="7DD84250"/>
    <w:rsid w:val="7DDA6D69"/>
    <w:rsid w:val="7DE20C9E"/>
    <w:rsid w:val="7DF557CF"/>
    <w:rsid w:val="7E0000DB"/>
    <w:rsid w:val="7E006510"/>
    <w:rsid w:val="7E06430A"/>
    <w:rsid w:val="7E0D7ED1"/>
    <w:rsid w:val="7E214757"/>
    <w:rsid w:val="7E294FDB"/>
    <w:rsid w:val="7E2B5635"/>
    <w:rsid w:val="7E301557"/>
    <w:rsid w:val="7E430BBD"/>
    <w:rsid w:val="7E590833"/>
    <w:rsid w:val="7E697C9B"/>
    <w:rsid w:val="7E7F58C9"/>
    <w:rsid w:val="7E814781"/>
    <w:rsid w:val="7E9E5D9A"/>
    <w:rsid w:val="7EAF594E"/>
    <w:rsid w:val="7EB55A60"/>
    <w:rsid w:val="7EEC3633"/>
    <w:rsid w:val="7EF849CF"/>
    <w:rsid w:val="7F0C4881"/>
    <w:rsid w:val="7F224C36"/>
    <w:rsid w:val="7F3332E8"/>
    <w:rsid w:val="7F377FC8"/>
    <w:rsid w:val="7F4F7478"/>
    <w:rsid w:val="7F735EB0"/>
    <w:rsid w:val="7F7723E7"/>
    <w:rsid w:val="7F780A88"/>
    <w:rsid w:val="7F7E64D5"/>
    <w:rsid w:val="7F7F4180"/>
    <w:rsid w:val="7F9A47D6"/>
    <w:rsid w:val="7F9B04FC"/>
    <w:rsid w:val="7FCC0955"/>
    <w:rsid w:val="7FD075BC"/>
    <w:rsid w:val="7FD5136B"/>
    <w:rsid w:val="7FDA23E4"/>
    <w:rsid w:val="7FE943A9"/>
    <w:rsid w:val="7FF32148"/>
    <w:rsid w:val="7FFD0E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9"/>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30"/>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5">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7"/>
    <w:unhideWhenUsed/>
    <w:qFormat/>
    <w:uiPriority w:val="99"/>
    <w:pPr>
      <w:tabs>
        <w:tab w:val="center" w:pos="4153"/>
        <w:tab w:val="right" w:pos="8306"/>
      </w:tabs>
      <w:snapToGrid w:val="0"/>
      <w:jc w:val="left"/>
    </w:pPr>
    <w:rPr>
      <w:sz w:val="18"/>
      <w:szCs w:val="18"/>
    </w:r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36"/>
    <w:semiHidden/>
    <w:unhideWhenUsed/>
    <w:qFormat/>
    <w:uiPriority w:val="99"/>
    <w:pPr>
      <w:jc w:val="left"/>
    </w:pPr>
  </w:style>
  <w:style w:type="paragraph" w:styleId="8">
    <w:name w:val="Body Text"/>
    <w:basedOn w:val="1"/>
    <w:qFormat/>
    <w:uiPriority w:val="0"/>
  </w:style>
  <w:style w:type="paragraph" w:styleId="9">
    <w:name w:val="toc 3"/>
    <w:basedOn w:val="1"/>
    <w:next w:val="1"/>
    <w:semiHidden/>
    <w:unhideWhenUsed/>
    <w:qFormat/>
    <w:uiPriority w:val="39"/>
    <w:pPr>
      <w:ind w:left="840" w:leftChars="400"/>
    </w:pPr>
  </w:style>
  <w:style w:type="paragraph" w:styleId="10">
    <w:name w:val="Balloon Text"/>
    <w:basedOn w:val="1"/>
    <w:link w:val="35"/>
    <w:semiHidden/>
    <w:unhideWhenUsed/>
    <w:qFormat/>
    <w:uiPriority w:val="99"/>
    <w:rPr>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7"/>
    <w:next w:val="7"/>
    <w:link w:val="37"/>
    <w:semiHidden/>
    <w:unhideWhenUsed/>
    <w:qFormat/>
    <w:uiPriority w:val="99"/>
    <w:rPr>
      <w:b/>
      <w:bCs/>
    </w:rPr>
  </w:style>
  <w:style w:type="paragraph" w:styleId="16">
    <w:name w:val="Body Text First Indent"/>
    <w:basedOn w:val="8"/>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paragraph" w:customStyle="1" w:styleId="25">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character" w:customStyle="1" w:styleId="26">
    <w:name w:val="页眉 Char"/>
    <w:basedOn w:val="19"/>
    <w:link w:val="11"/>
    <w:qFormat/>
    <w:uiPriority w:val="99"/>
    <w:rPr>
      <w:sz w:val="18"/>
      <w:szCs w:val="18"/>
    </w:rPr>
  </w:style>
  <w:style w:type="character" w:customStyle="1" w:styleId="27">
    <w:name w:val="页脚 Char"/>
    <w:basedOn w:val="19"/>
    <w:link w:val="2"/>
    <w:qFormat/>
    <w:uiPriority w:val="99"/>
    <w:rPr>
      <w:sz w:val="18"/>
      <w:szCs w:val="18"/>
    </w:rPr>
  </w:style>
  <w:style w:type="character" w:customStyle="1" w:styleId="28">
    <w:name w:val="font41"/>
    <w:basedOn w:val="19"/>
    <w:qFormat/>
    <w:uiPriority w:val="0"/>
    <w:rPr>
      <w:rFonts w:ascii="仿宋_GB2312" w:eastAsia="仿宋_GB2312" w:cs="仿宋_GB2312"/>
      <w:color w:val="000000"/>
      <w:sz w:val="24"/>
      <w:szCs w:val="24"/>
      <w:u w:val="none"/>
    </w:rPr>
  </w:style>
  <w:style w:type="character" w:customStyle="1" w:styleId="29">
    <w:name w:val="标题 1 Char"/>
    <w:basedOn w:val="19"/>
    <w:link w:val="3"/>
    <w:qFormat/>
    <w:uiPriority w:val="9"/>
    <w:rPr>
      <w:rFonts w:eastAsia="仿宋"/>
      <w:b/>
      <w:bCs/>
      <w:kern w:val="44"/>
      <w:sz w:val="32"/>
      <w:szCs w:val="44"/>
    </w:rPr>
  </w:style>
  <w:style w:type="character" w:customStyle="1" w:styleId="30">
    <w:name w:val="标题 2 Char"/>
    <w:basedOn w:val="19"/>
    <w:link w:val="4"/>
    <w:qFormat/>
    <w:uiPriority w:val="9"/>
    <w:rPr>
      <w:rFonts w:eastAsia="仿宋" w:asciiTheme="majorHAnsi" w:hAnsiTheme="majorHAnsi" w:cstheme="majorBidi"/>
      <w:bCs/>
      <w:sz w:val="32"/>
      <w:szCs w:val="32"/>
    </w:rPr>
  </w:style>
  <w:style w:type="paragraph" w:styleId="31">
    <w:name w:val="List Paragraph"/>
    <w:basedOn w:val="1"/>
    <w:qFormat/>
    <w:uiPriority w:val="34"/>
    <w:pPr>
      <w:ind w:firstLine="420" w:firstLineChars="200"/>
    </w:p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4">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5">
    <w:name w:val="批注框文本 Char"/>
    <w:basedOn w:val="19"/>
    <w:link w:val="10"/>
    <w:semiHidden/>
    <w:qFormat/>
    <w:uiPriority w:val="99"/>
    <w:rPr>
      <w:kern w:val="2"/>
      <w:sz w:val="18"/>
      <w:szCs w:val="18"/>
    </w:rPr>
  </w:style>
  <w:style w:type="character" w:customStyle="1" w:styleId="36">
    <w:name w:val="批注文字 Char"/>
    <w:basedOn w:val="19"/>
    <w:link w:val="7"/>
    <w:semiHidden/>
    <w:qFormat/>
    <w:uiPriority w:val="99"/>
    <w:rPr>
      <w:kern w:val="2"/>
      <w:sz w:val="21"/>
      <w:szCs w:val="24"/>
    </w:rPr>
  </w:style>
  <w:style w:type="character" w:customStyle="1" w:styleId="37">
    <w:name w:val="批注主题 Char"/>
    <w:basedOn w:val="36"/>
    <w:link w:val="15"/>
    <w:semiHidden/>
    <w:qFormat/>
    <w:uiPriority w:val="99"/>
    <w:rPr>
      <w:b/>
      <w:bCs/>
      <w:kern w:val="2"/>
      <w:sz w:val="21"/>
      <w:szCs w:val="24"/>
    </w:rPr>
  </w:style>
  <w:style w:type="paragraph" w:customStyle="1" w:styleId="38">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9">
    <w:name w:val="列表段落1"/>
    <w:basedOn w:val="1"/>
    <w:qFormat/>
    <w:uiPriority w:val="34"/>
    <w:pPr>
      <w:ind w:firstLine="420" w:firstLineChars="200"/>
    </w:pPr>
  </w:style>
  <w:style w:type="paragraph" w:customStyle="1" w:styleId="40">
    <w:name w:val="正文1"/>
    <w:basedOn w:val="41"/>
    <w:qFormat/>
    <w:uiPriority w:val="99"/>
    <w:pPr>
      <w:widowControl/>
      <w:jc w:val="both"/>
    </w:pPr>
    <w:rPr>
      <w:rFonts w:ascii="Times New Roman" w:hAnsi="Times New Roman" w:cs="Times New Roman"/>
      <w:sz w:val="21"/>
      <w:szCs w:val="21"/>
    </w:rPr>
  </w:style>
  <w:style w:type="paragraph" w:customStyle="1" w:styleId="41">
    <w:name w:val="[Normal]"/>
    <w:qFormat/>
    <w:uiPriority w:val="0"/>
    <w:pPr>
      <w:widowControl w:val="0"/>
      <w:autoSpaceDE w:val="0"/>
      <w:autoSpaceDN w:val="0"/>
      <w:adjustRightInd w:val="0"/>
    </w:pPr>
    <w:rPr>
      <w:rFonts w:ascii="ËÎÌå" w:hAnsi="ËÎÌå" w:eastAsia="宋体" w:cs="ËÎÌå"/>
      <w:sz w:val="24"/>
      <w:szCs w:val="24"/>
      <w:lang w:val="en-US" w:eastAsia="zh-CN" w:bidi="ar-SA"/>
    </w:rPr>
  </w:style>
  <w:style w:type="character" w:customStyle="1" w:styleId="42">
    <w:name w:val="font81"/>
    <w:basedOn w:val="19"/>
    <w:qFormat/>
    <w:uiPriority w:val="0"/>
    <w:rPr>
      <w:rFonts w:hint="eastAsia" w:ascii="微软雅黑" w:hAnsi="微软雅黑" w:eastAsia="微软雅黑" w:cs="微软雅黑"/>
      <w:color w:val="000000"/>
      <w:sz w:val="20"/>
      <w:szCs w:val="20"/>
      <w:u w:val="none"/>
    </w:rPr>
  </w:style>
  <w:style w:type="character" w:customStyle="1" w:styleId="43">
    <w:name w:val="font91"/>
    <w:basedOn w:val="19"/>
    <w:qFormat/>
    <w:uiPriority w:val="0"/>
    <w:rPr>
      <w:rFonts w:hint="eastAsia"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3F39DA-BB28-4752-A7CB-656F2CF4CE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18020</Words>
  <Characters>18935</Characters>
  <Lines>79</Lines>
  <Paragraphs>22</Paragraphs>
  <TotalTime>16</TotalTime>
  <ScaleCrop>false</ScaleCrop>
  <LinksUpToDate>false</LinksUpToDate>
  <CharactersWithSpaces>19455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2019-11-07T05:25:00Z</dcterms:created>
  <dc:creator>jc</dc:creator>
  <cp:lastModifiedBy>Lenovo</cp:lastModifiedBy>
  <cp:lastPrinted>2021-07-29T10:41:00Z</cp:lastPrinted>
  <dcterms:modified xsi:type="dcterms:W3CDTF">2023-11-04T05:46:04Z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100E6F6D6CFF4CCCAF4B16D3337E57AD</vt:lpwstr>
  </property>
</Properties>
</file>