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Times New Roman" w:hAnsi="Times New Roman" w:eastAsia="仿宋_GB2312" w:cs="宋体"/>
          <w:color w:val="auto"/>
          <w:kern w:val="0"/>
          <w:sz w:val="44"/>
          <w:szCs w:val="44"/>
        </w:rPr>
      </w:pPr>
    </w:p>
    <w:p>
      <w:pPr>
        <w:pStyle w:val="8"/>
        <w:rPr>
          <w:rFonts w:ascii="Times New Roman" w:hAnsi="Times New Roman" w:eastAsia="仿宋_GB2312" w:cs="宋体"/>
          <w:color w:val="auto"/>
          <w:kern w:val="0"/>
          <w:sz w:val="44"/>
          <w:szCs w:val="44"/>
        </w:rPr>
      </w:pPr>
    </w:p>
    <w:p>
      <w:pPr>
        <w:pStyle w:val="8"/>
        <w:rPr>
          <w:rFonts w:ascii="Times New Roman" w:hAnsi="Times New Roman" w:eastAsia="仿宋_GB2312" w:cs="宋体"/>
          <w:color w:val="auto"/>
          <w:kern w:val="0"/>
          <w:sz w:val="44"/>
          <w:szCs w:val="44"/>
        </w:rPr>
      </w:pPr>
    </w:p>
    <w:p>
      <w:pPr>
        <w:jc w:val="center"/>
        <w:rPr>
          <w:rFonts w:hint="eastAsia" w:ascii="方正仿宋_GBK" w:hAnsi="方正仿宋_GBK" w:eastAsia="方正仿宋_GBK" w:cs="方正仿宋_GBK"/>
          <w:b/>
          <w:bCs/>
          <w:kern w:val="0"/>
          <w:sz w:val="44"/>
          <w:szCs w:val="44"/>
          <w:highlight w:val="none"/>
          <w:lang w:val="en-US" w:eastAsia="zh-CN"/>
        </w:rPr>
      </w:pPr>
      <w:r>
        <w:rPr>
          <w:rFonts w:hint="eastAsia" w:ascii="方正仿宋_GBK" w:hAnsi="方正仿宋_GBK" w:eastAsia="方正仿宋_GBK" w:cs="方正仿宋_GBK"/>
          <w:b/>
          <w:bCs/>
          <w:kern w:val="0"/>
          <w:sz w:val="44"/>
          <w:szCs w:val="44"/>
          <w:highlight w:val="none"/>
          <w:lang w:val="en-US" w:eastAsia="zh-CN"/>
        </w:rPr>
        <w:t>新疆维吾尔自治区疏附县自然资源局</w:t>
      </w:r>
    </w:p>
    <w:p>
      <w:pPr>
        <w:jc w:val="center"/>
        <w:rPr>
          <w:rFonts w:hint="eastAsia" w:ascii="方正仿宋_GBK" w:hAnsi="方正仿宋_GBK" w:eastAsia="方正仿宋_GBK" w:cs="方正仿宋_GBK"/>
          <w:b/>
          <w:bCs/>
          <w:kern w:val="0"/>
          <w:sz w:val="44"/>
          <w:szCs w:val="44"/>
          <w:highlight w:val="none"/>
          <w:lang w:val="en-US" w:eastAsia="zh-CN"/>
        </w:rPr>
      </w:pPr>
      <w:r>
        <w:rPr>
          <w:rFonts w:hint="eastAsia" w:ascii="方正仿宋_GBK" w:hAnsi="方正仿宋_GBK" w:eastAsia="方正仿宋_GBK" w:cs="方正仿宋_GBK"/>
          <w:b/>
          <w:bCs/>
          <w:kern w:val="0"/>
          <w:sz w:val="44"/>
          <w:szCs w:val="44"/>
          <w:highlight w:val="none"/>
          <w:lang w:val="en-US" w:eastAsia="zh-CN"/>
        </w:rPr>
        <w:t>生态护林员补助项目</w:t>
      </w: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jc w:val="cente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jc w:val="center"/>
        <w:rPr>
          <w:rFonts w:hint="eastAsia" w:ascii="微软雅黑" w:hAnsi="黑体" w:eastAsia="微软雅黑" w:cs="宋体"/>
          <w:kern w:val="0"/>
          <w:sz w:val="72"/>
          <w:szCs w:val="72"/>
        </w:rPr>
      </w:pPr>
      <w:r>
        <w:rPr>
          <w:rFonts w:hint="eastAsia" w:ascii="微软雅黑" w:hAnsi="黑体" w:eastAsia="微软雅黑" w:cs="宋体"/>
          <w:kern w:val="0"/>
          <w:sz w:val="72"/>
          <w:szCs w:val="72"/>
        </w:rPr>
        <w:t>绩效评价报告</w:t>
      </w:r>
    </w:p>
    <w:p>
      <w:pPr>
        <w:jc w:val="center"/>
        <w:rPr>
          <w:rFonts w:hint="eastAsia" w:ascii="微软雅黑" w:hAnsi="黑体" w:eastAsia="微软雅黑" w:cs="宋体"/>
          <w:kern w:val="0"/>
          <w:sz w:val="72"/>
          <w:szCs w:val="72"/>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spacing w:line="400" w:lineRule="exact"/>
        <w:ind w:firstLine="2040" w:firstLineChars="850"/>
        <w:jc w:val="left"/>
        <w:rPr>
          <w:rFonts w:hint="eastAsia" w:ascii="Times New Roman" w:hAnsi="Times New Roman" w:eastAsia="仿宋_GB2312" w:cs="宋体"/>
          <w:color w:val="auto"/>
          <w:kern w:val="0"/>
          <w:sz w:val="24"/>
          <w:szCs w:val="24"/>
        </w:rPr>
      </w:pPr>
    </w:p>
    <w:p>
      <w:pPr>
        <w:spacing w:line="400" w:lineRule="exact"/>
        <w:ind w:firstLine="2040" w:firstLineChars="850"/>
        <w:jc w:val="left"/>
        <w:rPr>
          <w:rFonts w:hint="eastAsia" w:ascii="黑体" w:hAnsi="黑体" w:eastAsia="黑体" w:cs="黑体"/>
          <w:b w:val="0"/>
          <w:bCs w:val="0"/>
          <w:color w:val="auto"/>
          <w:kern w:val="0"/>
          <w:sz w:val="24"/>
          <w:szCs w:val="24"/>
        </w:rPr>
      </w:pPr>
    </w:p>
    <w:p>
      <w:pPr>
        <w:spacing w:line="400" w:lineRule="exact"/>
        <w:ind w:firstLine="2040" w:firstLineChars="850"/>
        <w:jc w:val="left"/>
        <w:rPr>
          <w:rFonts w:hint="eastAsia" w:ascii="黑体" w:hAnsi="黑体" w:eastAsia="黑体" w:cs="黑体"/>
          <w:b w:val="0"/>
          <w:bCs w:val="0"/>
          <w:color w:val="auto"/>
          <w:kern w:val="0"/>
          <w:sz w:val="24"/>
          <w:szCs w:val="24"/>
        </w:rPr>
      </w:pPr>
    </w:p>
    <w:p>
      <w:pPr>
        <w:spacing w:line="400" w:lineRule="exact"/>
        <w:ind w:firstLine="2040" w:firstLineChars="850"/>
        <w:jc w:val="left"/>
        <w:rPr>
          <w:rFonts w:hint="eastAsia"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rPr>
        <w:t>报告编</w:t>
      </w:r>
      <w:r>
        <w:rPr>
          <w:rFonts w:hint="eastAsia" w:ascii="黑体" w:hAnsi="黑体" w:eastAsia="黑体" w:cs="黑体"/>
          <w:b w:val="0"/>
          <w:bCs w:val="0"/>
          <w:color w:val="auto"/>
          <w:kern w:val="0"/>
          <w:sz w:val="24"/>
          <w:szCs w:val="24"/>
          <w:highlight w:val="none"/>
        </w:rPr>
        <w:t>号：</w:t>
      </w:r>
      <w:r>
        <w:rPr>
          <w:rFonts w:hint="eastAsia" w:ascii="黑体" w:hAnsi="黑体" w:eastAsia="黑体" w:cs="黑体"/>
          <w:b w:val="0"/>
          <w:bCs w:val="0"/>
          <w:color w:val="auto"/>
          <w:kern w:val="0"/>
          <w:sz w:val="24"/>
          <w:szCs w:val="24"/>
          <w:highlight w:val="none"/>
          <w:lang w:val="en-US" w:eastAsia="zh-CN"/>
        </w:rPr>
        <w:t>中</w:t>
      </w:r>
      <w:r>
        <w:rPr>
          <w:rFonts w:hint="eastAsia" w:ascii="黑体" w:hAnsi="黑体" w:eastAsia="黑体" w:cs="黑体"/>
          <w:b w:val="0"/>
          <w:bCs w:val="0"/>
          <w:color w:val="auto"/>
          <w:kern w:val="0"/>
          <w:sz w:val="24"/>
          <w:szCs w:val="24"/>
          <w:highlight w:val="none"/>
        </w:rPr>
        <w:t>瑞诚喀绩评字[202</w:t>
      </w:r>
      <w:r>
        <w:rPr>
          <w:rFonts w:hint="eastAsia" w:ascii="黑体" w:hAnsi="黑体" w:eastAsia="黑体" w:cs="黑体"/>
          <w:b w:val="0"/>
          <w:bCs w:val="0"/>
          <w:color w:val="auto"/>
          <w:kern w:val="0"/>
          <w:sz w:val="24"/>
          <w:szCs w:val="24"/>
          <w:highlight w:val="none"/>
          <w:lang w:val="en-US" w:eastAsia="zh-CN"/>
        </w:rPr>
        <w:t>3</w:t>
      </w:r>
      <w:r>
        <w:rPr>
          <w:rFonts w:hint="eastAsia" w:ascii="黑体" w:hAnsi="黑体" w:eastAsia="黑体" w:cs="黑体"/>
          <w:b w:val="0"/>
          <w:bCs w:val="0"/>
          <w:color w:val="auto"/>
          <w:kern w:val="0"/>
          <w:sz w:val="24"/>
          <w:szCs w:val="24"/>
          <w:highlight w:val="none"/>
        </w:rPr>
        <w:t>]</w:t>
      </w:r>
      <w:r>
        <w:rPr>
          <w:rFonts w:hint="eastAsia" w:ascii="黑体" w:hAnsi="黑体" w:eastAsia="黑体" w:cs="黑体"/>
          <w:b w:val="0"/>
          <w:bCs w:val="0"/>
          <w:color w:val="auto"/>
          <w:kern w:val="0"/>
          <w:sz w:val="24"/>
          <w:szCs w:val="24"/>
          <w:highlight w:val="none"/>
          <w:lang w:val="en-US" w:eastAsia="zh-CN"/>
        </w:rPr>
        <w:t>011</w:t>
      </w:r>
      <w:r>
        <w:rPr>
          <w:rFonts w:hint="eastAsia" w:ascii="黑体" w:hAnsi="黑体" w:eastAsia="黑体" w:cs="黑体"/>
          <w:b w:val="0"/>
          <w:bCs w:val="0"/>
          <w:color w:val="auto"/>
          <w:kern w:val="0"/>
          <w:sz w:val="24"/>
          <w:szCs w:val="24"/>
          <w:highlight w:val="none"/>
        </w:rPr>
        <w:t>号</w:t>
      </w:r>
    </w:p>
    <w:p>
      <w:pPr>
        <w:spacing w:line="400" w:lineRule="exact"/>
        <w:ind w:firstLine="2040" w:firstLineChars="850"/>
        <w:jc w:val="left"/>
        <w:rPr>
          <w:rFonts w:hint="eastAsia" w:ascii="黑体" w:hAnsi="黑体" w:eastAsia="黑体" w:cs="黑体"/>
          <w:b w:val="0"/>
          <w:bCs w:val="0"/>
          <w:color w:val="auto"/>
          <w:kern w:val="0"/>
          <w:sz w:val="24"/>
          <w:szCs w:val="24"/>
        </w:rPr>
      </w:pPr>
      <w:r>
        <w:rPr>
          <w:rFonts w:hint="eastAsia" w:ascii="黑体" w:hAnsi="黑体" w:eastAsia="黑体" w:cs="黑体"/>
          <w:b w:val="0"/>
          <w:bCs w:val="0"/>
          <w:color w:val="auto"/>
          <w:kern w:val="0"/>
          <w:sz w:val="24"/>
          <w:szCs w:val="24"/>
        </w:rPr>
        <w:t>委托单位：</w:t>
      </w:r>
      <w:r>
        <w:rPr>
          <w:rFonts w:hint="eastAsia" w:ascii="黑体" w:hAnsi="黑体" w:eastAsia="黑体" w:cs="黑体"/>
          <w:b w:val="0"/>
          <w:bCs w:val="0"/>
          <w:color w:val="auto"/>
          <w:kern w:val="0"/>
          <w:sz w:val="24"/>
          <w:szCs w:val="24"/>
          <w:lang w:val="en-US" w:eastAsia="zh-CN"/>
        </w:rPr>
        <w:t>疏附</w:t>
      </w:r>
      <w:r>
        <w:rPr>
          <w:rFonts w:hint="eastAsia" w:ascii="黑体" w:hAnsi="黑体" w:eastAsia="黑体" w:cs="黑体"/>
          <w:b w:val="0"/>
          <w:bCs w:val="0"/>
          <w:color w:val="auto"/>
          <w:kern w:val="0"/>
          <w:sz w:val="24"/>
          <w:szCs w:val="24"/>
        </w:rPr>
        <w:t>县财政局</w:t>
      </w:r>
    </w:p>
    <w:p>
      <w:pPr>
        <w:spacing w:line="400" w:lineRule="exact"/>
        <w:ind w:firstLine="2040" w:firstLineChars="850"/>
        <w:jc w:val="both"/>
        <w:rPr>
          <w:rFonts w:hint="eastAsia" w:ascii="黑体" w:hAnsi="黑体" w:eastAsia="黑体" w:cs="黑体"/>
          <w:b w:val="0"/>
          <w:bCs w:val="0"/>
          <w:color w:val="auto"/>
          <w:kern w:val="0"/>
          <w:sz w:val="24"/>
          <w:szCs w:val="24"/>
        </w:rPr>
      </w:pPr>
      <w:r>
        <w:rPr>
          <w:rFonts w:hint="eastAsia" w:ascii="黑体" w:hAnsi="黑体" w:eastAsia="黑体" w:cs="黑体"/>
          <w:b w:val="0"/>
          <w:bCs w:val="0"/>
          <w:color w:val="auto"/>
          <w:kern w:val="0"/>
          <w:sz w:val="24"/>
          <w:szCs w:val="24"/>
        </w:rPr>
        <w:t>评价机构：</w:t>
      </w:r>
      <w:r>
        <w:rPr>
          <w:rFonts w:hint="eastAsia" w:ascii="黑体" w:hAnsi="黑体" w:eastAsia="黑体" w:cs="黑体"/>
          <w:b w:val="0"/>
          <w:bCs w:val="0"/>
          <w:kern w:val="0"/>
          <w:sz w:val="24"/>
          <w:szCs w:val="24"/>
          <w:lang w:eastAsia="zh-CN"/>
        </w:rPr>
        <w:t>中瑞诚会计师事务所（特殊普通合伙）喀什分所</w:t>
      </w:r>
    </w:p>
    <w:p>
      <w:pPr>
        <w:spacing w:line="400" w:lineRule="exact"/>
        <w:ind w:firstLine="2040" w:firstLineChars="850"/>
        <w:jc w:val="left"/>
        <w:rPr>
          <w:rFonts w:hint="eastAsia"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rPr>
        <w:t>报告时间</w:t>
      </w:r>
      <w:r>
        <w:rPr>
          <w:rFonts w:hint="eastAsia" w:ascii="黑体" w:hAnsi="黑体" w:eastAsia="黑体" w:cs="黑体"/>
          <w:b w:val="0"/>
          <w:bCs w:val="0"/>
          <w:color w:val="auto"/>
          <w:kern w:val="0"/>
          <w:sz w:val="24"/>
          <w:szCs w:val="24"/>
          <w:highlight w:val="none"/>
        </w:rPr>
        <w:t>：</w:t>
      </w:r>
      <w:r>
        <w:rPr>
          <w:rFonts w:hint="eastAsia" w:ascii="黑体" w:hAnsi="黑体" w:eastAsia="黑体" w:cs="黑体"/>
          <w:b w:val="0"/>
          <w:bCs w:val="0"/>
          <w:color w:val="auto"/>
          <w:kern w:val="0"/>
          <w:sz w:val="24"/>
          <w:szCs w:val="24"/>
          <w:highlight w:val="none"/>
          <w:lang w:eastAsia="zh-CN"/>
        </w:rPr>
        <w:t>202</w:t>
      </w:r>
      <w:r>
        <w:rPr>
          <w:rFonts w:hint="eastAsia" w:ascii="黑体" w:hAnsi="黑体" w:eastAsia="黑体" w:cs="黑体"/>
          <w:b w:val="0"/>
          <w:bCs w:val="0"/>
          <w:color w:val="auto"/>
          <w:kern w:val="0"/>
          <w:sz w:val="24"/>
          <w:szCs w:val="24"/>
          <w:highlight w:val="none"/>
          <w:lang w:val="en-US" w:eastAsia="zh-CN"/>
        </w:rPr>
        <w:t>3</w:t>
      </w:r>
      <w:r>
        <w:rPr>
          <w:rFonts w:hint="eastAsia" w:ascii="黑体" w:hAnsi="黑体" w:eastAsia="黑体" w:cs="黑体"/>
          <w:b w:val="0"/>
          <w:bCs w:val="0"/>
          <w:color w:val="auto"/>
          <w:kern w:val="0"/>
          <w:sz w:val="24"/>
          <w:szCs w:val="24"/>
          <w:highlight w:val="none"/>
        </w:rPr>
        <w:t>年</w:t>
      </w:r>
      <w:r>
        <w:rPr>
          <w:rFonts w:hint="eastAsia" w:ascii="黑体" w:hAnsi="黑体" w:eastAsia="黑体" w:cs="黑体"/>
          <w:b w:val="0"/>
          <w:bCs w:val="0"/>
          <w:color w:val="auto"/>
          <w:kern w:val="0"/>
          <w:sz w:val="24"/>
          <w:szCs w:val="24"/>
          <w:highlight w:val="none"/>
          <w:lang w:val="en-US" w:eastAsia="zh-CN"/>
        </w:rPr>
        <w:t>07</w:t>
      </w:r>
      <w:r>
        <w:rPr>
          <w:rFonts w:hint="eastAsia" w:ascii="黑体" w:hAnsi="黑体" w:eastAsia="黑体" w:cs="黑体"/>
          <w:b w:val="0"/>
          <w:bCs w:val="0"/>
          <w:color w:val="auto"/>
          <w:kern w:val="0"/>
          <w:sz w:val="24"/>
          <w:szCs w:val="24"/>
          <w:highlight w:val="none"/>
        </w:rPr>
        <w:t>月</w:t>
      </w:r>
      <w:r>
        <w:rPr>
          <w:rFonts w:hint="eastAsia" w:ascii="黑体" w:hAnsi="黑体" w:eastAsia="黑体" w:cs="黑体"/>
          <w:b w:val="0"/>
          <w:bCs w:val="0"/>
          <w:color w:val="auto"/>
          <w:kern w:val="0"/>
          <w:sz w:val="24"/>
          <w:szCs w:val="24"/>
          <w:highlight w:val="none"/>
          <w:lang w:val="en-US" w:eastAsia="zh-CN"/>
        </w:rPr>
        <w:t>10</w:t>
      </w:r>
      <w:r>
        <w:rPr>
          <w:rFonts w:hint="eastAsia" w:ascii="黑体" w:hAnsi="黑体" w:eastAsia="黑体" w:cs="黑体"/>
          <w:b w:val="0"/>
          <w:bCs w:val="0"/>
          <w:color w:val="auto"/>
          <w:kern w:val="0"/>
          <w:sz w:val="24"/>
          <w:szCs w:val="24"/>
          <w:highlight w:val="none"/>
        </w:rPr>
        <w:t>日</w:t>
      </w:r>
    </w:p>
    <w:p>
      <w:pPr>
        <w:widowControl/>
        <w:jc w:val="left"/>
        <w:textAlignment w:val="center"/>
        <w:rPr>
          <w:rFonts w:hint="eastAsia" w:ascii="黑体" w:hAnsi="黑体" w:eastAsia="黑体" w:cs="黑体"/>
          <w:color w:val="auto"/>
          <w:kern w:val="0"/>
          <w:sz w:val="24"/>
          <w:highlight w:val="none"/>
        </w:rPr>
        <w:sectPr>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pPr w:leftFromText="180" w:rightFromText="180" w:vertAnchor="text" w:horzAnchor="margin" w:tblpX="1" w:tblpY="-77"/>
        <w:tblOverlap w:val="never"/>
        <w:tblW w:w="8983" w:type="dxa"/>
        <w:tblInd w:w="0" w:type="dxa"/>
        <w:tblLayout w:type="fixed"/>
        <w:tblCellMar>
          <w:top w:w="15" w:type="dxa"/>
          <w:left w:w="15" w:type="dxa"/>
          <w:bottom w:w="15" w:type="dxa"/>
          <w:right w:w="15" w:type="dxa"/>
        </w:tblCellMar>
      </w:tblPr>
      <w:tblGrid>
        <w:gridCol w:w="1291"/>
        <w:gridCol w:w="1134"/>
        <w:gridCol w:w="284"/>
        <w:gridCol w:w="850"/>
        <w:gridCol w:w="851"/>
        <w:gridCol w:w="81"/>
        <w:gridCol w:w="202"/>
        <w:gridCol w:w="992"/>
        <w:gridCol w:w="510"/>
        <w:gridCol w:w="542"/>
        <w:gridCol w:w="994"/>
        <w:gridCol w:w="1252"/>
      </w:tblGrid>
      <w:tr>
        <w:tblPrEx>
          <w:tblLayout w:type="fixed"/>
          <w:tblCellMar>
            <w:top w:w="15" w:type="dxa"/>
            <w:left w:w="15" w:type="dxa"/>
            <w:bottom w:w="15" w:type="dxa"/>
            <w:right w:w="15" w:type="dxa"/>
          </w:tblCellMar>
        </w:tblPrEx>
        <w:trPr>
          <w:trHeight w:val="301" w:hRule="atLeast"/>
        </w:trPr>
        <w:tc>
          <w:tcPr>
            <w:tcW w:w="8983" w:type="dxa"/>
            <w:gridSpan w:val="12"/>
            <w:shd w:val="clear" w:color="auto" w:fill="auto"/>
            <w:vAlign w:val="center"/>
          </w:tcPr>
          <w:p>
            <w:pPr>
              <w:widowControl/>
              <w:jc w:val="left"/>
              <w:textAlignment w:val="center"/>
              <w:rPr>
                <w:rFonts w:ascii="Times New Roman" w:hAnsi="Times New Roman" w:eastAsia="仿宋_GB2312" w:cs="黑体"/>
                <w:color w:val="auto"/>
                <w:sz w:val="24"/>
              </w:rPr>
            </w:pPr>
            <w:r>
              <w:rPr>
                <w:rFonts w:hint="eastAsia" w:ascii="黑体" w:hAnsi="黑体" w:eastAsia="黑体" w:cs="黑体"/>
                <w:color w:val="auto"/>
                <w:kern w:val="0"/>
                <w:sz w:val="24"/>
                <w:highlight w:val="none"/>
              </w:rPr>
              <w:t>评价分值：</w:t>
            </w:r>
            <w:r>
              <w:rPr>
                <w:rFonts w:hint="eastAsia" w:ascii="黑体" w:hAnsi="黑体" w:eastAsia="黑体" w:cs="黑体"/>
                <w:color w:val="auto"/>
                <w:kern w:val="0"/>
                <w:sz w:val="24"/>
                <w:highlight w:val="none"/>
                <w:lang w:val="en-US" w:eastAsia="zh-CN"/>
              </w:rPr>
              <w:t>100</w:t>
            </w:r>
            <w:r>
              <w:rPr>
                <w:rFonts w:hint="eastAsia" w:ascii="黑体" w:hAnsi="黑体" w:eastAsia="黑体" w:cs="黑体"/>
                <w:color w:val="auto"/>
                <w:kern w:val="0"/>
                <w:sz w:val="24"/>
                <w:highlight w:val="none"/>
              </w:rPr>
              <w:t>评价等级：优</w:t>
            </w:r>
          </w:p>
        </w:tc>
      </w:tr>
      <w:tr>
        <w:tblPrEx>
          <w:tblLayout w:type="fixed"/>
          <w:tblCellMar>
            <w:top w:w="15" w:type="dxa"/>
            <w:left w:w="15" w:type="dxa"/>
            <w:bottom w:w="15" w:type="dxa"/>
            <w:right w:w="15" w:type="dxa"/>
          </w:tblCellMar>
        </w:tblPrEx>
        <w:trPr>
          <w:trHeight w:val="462" w:hRule="atLeast"/>
        </w:trPr>
        <w:tc>
          <w:tcPr>
            <w:tcW w:w="8983" w:type="dxa"/>
            <w:gridSpan w:val="12"/>
            <w:shd w:val="clear" w:color="auto" w:fill="auto"/>
            <w:vAlign w:val="center"/>
          </w:tcPr>
          <w:p>
            <w:pPr>
              <w:widowControl/>
              <w:jc w:val="center"/>
              <w:textAlignment w:val="center"/>
              <w:rPr>
                <w:rFonts w:ascii="Times New Roman" w:hAnsi="Times New Roman" w:eastAsia="仿宋_GB2312" w:cs="黑体"/>
                <w:b/>
                <w:color w:val="auto"/>
                <w:sz w:val="36"/>
                <w:szCs w:val="36"/>
              </w:rPr>
            </w:pPr>
            <w:r>
              <w:rPr>
                <w:rFonts w:hint="eastAsia" w:ascii="Times New Roman" w:hAnsi="Times New Roman" w:eastAsia="仿宋_GB2312" w:cs="黑体"/>
                <w:b/>
                <w:color w:val="auto"/>
                <w:kern w:val="0"/>
                <w:sz w:val="36"/>
                <w:szCs w:val="36"/>
              </w:rPr>
              <w:t>概要</w:t>
            </w:r>
          </w:p>
        </w:tc>
      </w:tr>
      <w:tr>
        <w:tblPrEx>
          <w:tblLayout w:type="fixed"/>
          <w:tblCellMar>
            <w:top w:w="15" w:type="dxa"/>
            <w:left w:w="15" w:type="dxa"/>
            <w:bottom w:w="15" w:type="dxa"/>
            <w:right w:w="15" w:type="dxa"/>
          </w:tblCellMar>
        </w:tblPrEx>
        <w:trPr>
          <w:trHeight w:val="330" w:hRule="atLeast"/>
        </w:trPr>
        <w:tc>
          <w:tcPr>
            <w:tcW w:w="8983" w:type="dxa"/>
            <w:gridSpan w:val="12"/>
            <w:shd w:val="clear" w:color="auto" w:fill="auto"/>
            <w:vAlign w:val="center"/>
          </w:tcPr>
          <w:p>
            <w:pPr>
              <w:widowControl/>
              <w:jc w:val="left"/>
              <w:textAlignment w:val="center"/>
              <w:rPr>
                <w:rFonts w:ascii="Times New Roman" w:hAnsi="Times New Roman" w:eastAsia="仿宋_GB2312" w:cs="仿宋_GB2312"/>
                <w:color w:val="auto"/>
                <w:sz w:val="22"/>
              </w:rPr>
            </w:pPr>
            <w:r>
              <w:rPr>
                <w:rFonts w:hint="eastAsia" w:ascii="黑体" w:hAnsi="黑体" w:eastAsia="黑体" w:cs="黑体"/>
                <w:b w:val="0"/>
                <w:bCs w:val="0"/>
                <w:color w:val="auto"/>
                <w:kern w:val="0"/>
                <w:sz w:val="20"/>
                <w:szCs w:val="20"/>
              </w:rPr>
              <w:t>评价机构全称（盖章）：</w:t>
            </w:r>
            <w:r>
              <w:rPr>
                <w:rFonts w:hint="eastAsia" w:ascii="黑体" w:hAnsi="黑体" w:eastAsia="黑体" w:cs="黑体"/>
                <w:b w:val="0"/>
                <w:bCs w:val="0"/>
                <w:color w:val="auto"/>
                <w:kern w:val="0"/>
                <w:sz w:val="20"/>
                <w:szCs w:val="20"/>
                <w:lang w:eastAsia="zh-CN"/>
              </w:rPr>
              <w:t>中瑞诚会计师事务所（特殊普通合伙）喀什分所</w:t>
            </w:r>
            <w:r>
              <w:rPr>
                <w:rFonts w:hint="eastAsia" w:ascii="黑体" w:hAnsi="黑体" w:eastAsia="黑体" w:cs="黑体"/>
                <w:b w:val="0"/>
                <w:bCs w:val="0"/>
                <w:color w:val="auto"/>
                <w:kern w:val="0"/>
                <w:sz w:val="20"/>
                <w:szCs w:val="20"/>
                <w:lang w:val="en-US" w:eastAsia="zh-CN"/>
              </w:rPr>
              <w:t xml:space="preserve">       </w:t>
            </w:r>
            <w:r>
              <w:rPr>
                <w:rFonts w:hint="eastAsia" w:ascii="黑体" w:hAnsi="黑体" w:eastAsia="黑体" w:cs="黑体"/>
                <w:b w:val="0"/>
                <w:bCs w:val="0"/>
                <w:color w:val="auto"/>
                <w:kern w:val="0"/>
                <w:sz w:val="20"/>
                <w:szCs w:val="20"/>
              </w:rPr>
              <w:t>单位：万元、类、个</w:t>
            </w:r>
          </w:p>
        </w:tc>
      </w:tr>
      <w:tr>
        <w:tblPrEx>
          <w:tblLayout w:type="fixed"/>
          <w:tblCellMar>
            <w:top w:w="15" w:type="dxa"/>
            <w:left w:w="15" w:type="dxa"/>
            <w:bottom w:w="15" w:type="dxa"/>
            <w:right w:w="15" w:type="dxa"/>
          </w:tblCellMar>
        </w:tblPrEx>
        <w:trPr>
          <w:trHeight w:val="4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项目名称</w:t>
            </w:r>
          </w:p>
        </w:tc>
        <w:tc>
          <w:tcPr>
            <w:tcW w:w="490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0000FF"/>
                <w:sz w:val="20"/>
                <w:szCs w:val="20"/>
              </w:rPr>
            </w:pPr>
            <w:r>
              <w:rPr>
                <w:rFonts w:hint="eastAsia" w:ascii="Times New Roman" w:hAnsi="Times New Roman" w:eastAsia="仿宋_GB2312" w:cs="仿宋_GB2312"/>
                <w:color w:val="auto"/>
                <w:sz w:val="20"/>
                <w:szCs w:val="20"/>
                <w:lang w:eastAsia="zh-CN"/>
              </w:rPr>
              <w:t>生态护林员补助项目</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黑体"/>
                <w:color w:val="0000FF"/>
                <w:sz w:val="20"/>
                <w:szCs w:val="20"/>
              </w:rPr>
            </w:pPr>
            <w:r>
              <w:rPr>
                <w:rFonts w:hint="eastAsia" w:ascii="黑体" w:hAnsi="黑体" w:eastAsia="黑体" w:cs="黑体"/>
                <w:b w:val="0"/>
                <w:bCs w:val="0"/>
                <w:color w:val="auto"/>
                <w:kern w:val="0"/>
                <w:sz w:val="20"/>
                <w:szCs w:val="20"/>
              </w:rPr>
              <w:t>评价年度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0000FF"/>
                <w:sz w:val="20"/>
                <w:szCs w:val="20"/>
                <w:lang w:val="en-US" w:eastAsia="zh-CN"/>
              </w:rPr>
            </w:pPr>
            <w:r>
              <w:rPr>
                <w:rFonts w:hint="eastAsia" w:ascii="Times New Roman" w:hAnsi="Times New Roman" w:eastAsia="仿宋_GB2312" w:cs="仿宋_GB2312"/>
                <w:color w:val="auto"/>
                <w:sz w:val="20"/>
                <w:szCs w:val="20"/>
                <w:lang w:eastAsia="zh-CN"/>
              </w:rPr>
              <w:t>202</w:t>
            </w:r>
            <w:r>
              <w:rPr>
                <w:rFonts w:hint="eastAsia" w:ascii="Times New Roman" w:hAnsi="Times New Roman" w:eastAsia="仿宋_GB2312" w:cs="仿宋_GB2312"/>
                <w:color w:val="auto"/>
                <w:sz w:val="20"/>
                <w:szCs w:val="20"/>
                <w:lang w:val="en-US" w:eastAsia="zh-CN"/>
              </w:rPr>
              <w:t>2</w:t>
            </w:r>
          </w:p>
        </w:tc>
      </w:tr>
      <w:tr>
        <w:tblPrEx>
          <w:tblLayout w:type="fixed"/>
          <w:tblCellMar>
            <w:top w:w="15" w:type="dxa"/>
            <w:left w:w="15" w:type="dxa"/>
            <w:bottom w:w="15" w:type="dxa"/>
            <w:right w:w="15" w:type="dxa"/>
          </w:tblCellMar>
        </w:tblPrEx>
        <w:trPr>
          <w:trHeight w:val="42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财政主管处室</w:t>
            </w:r>
          </w:p>
        </w:tc>
        <w:tc>
          <w:tcPr>
            <w:tcW w:w="3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auto"/>
                <w:sz w:val="20"/>
                <w:szCs w:val="20"/>
                <w:lang w:eastAsia="zh-CN"/>
              </w:rPr>
            </w:pPr>
            <w:r>
              <w:rPr>
                <w:rFonts w:hint="eastAsia" w:ascii="Times New Roman" w:hAnsi="Times New Roman" w:eastAsia="仿宋_GB2312" w:cs="仿宋_GB2312"/>
                <w:color w:val="auto"/>
                <w:sz w:val="20"/>
                <w:szCs w:val="20"/>
                <w:lang w:eastAsia="zh-CN"/>
              </w:rPr>
              <w:t>绩效股</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auto"/>
                <w:sz w:val="20"/>
                <w:szCs w:val="20"/>
                <w:lang w:eastAsia="zh-CN"/>
              </w:rPr>
            </w:pPr>
            <w:r>
              <w:rPr>
                <w:rFonts w:hint="eastAsia" w:ascii="仿宋_GB2312" w:hAnsi="仿宋_GB2312" w:eastAsia="仿宋_GB2312" w:cs="仿宋_GB2312"/>
                <w:color w:val="auto"/>
                <w:sz w:val="20"/>
                <w:szCs w:val="20"/>
                <w:lang w:val="en-US" w:eastAsia="zh-CN"/>
              </w:rPr>
              <w:t>林俊15509978655</w:t>
            </w:r>
          </w:p>
        </w:tc>
      </w:tr>
      <w:tr>
        <w:tblPrEx>
          <w:tblLayout w:type="fixed"/>
          <w:tblCellMar>
            <w:top w:w="15" w:type="dxa"/>
            <w:left w:w="15" w:type="dxa"/>
            <w:bottom w:w="15" w:type="dxa"/>
            <w:right w:w="15" w:type="dxa"/>
          </w:tblCellMar>
        </w:tblPrEx>
        <w:trPr>
          <w:trHeight w:val="42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主管部门</w:t>
            </w:r>
          </w:p>
        </w:tc>
        <w:tc>
          <w:tcPr>
            <w:tcW w:w="3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auto"/>
                <w:sz w:val="20"/>
                <w:szCs w:val="20"/>
                <w:lang w:eastAsia="zh-CN"/>
              </w:rPr>
            </w:pPr>
            <w:r>
              <w:rPr>
                <w:rFonts w:hint="eastAsia" w:ascii="Times New Roman" w:hAnsi="Times New Roman" w:eastAsia="仿宋_GB2312" w:cs="仿宋_GB2312"/>
                <w:color w:val="auto"/>
                <w:sz w:val="20"/>
                <w:szCs w:val="20"/>
                <w:lang w:val="en-US" w:eastAsia="zh-CN"/>
              </w:rPr>
              <w:t>新疆维吾尔自治区疏附县自然资源局</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比力克孜13579342252</w:t>
            </w:r>
          </w:p>
        </w:tc>
      </w:tr>
      <w:tr>
        <w:tblPrEx>
          <w:tblLayout w:type="fixed"/>
          <w:tblCellMar>
            <w:top w:w="15" w:type="dxa"/>
            <w:left w:w="15" w:type="dxa"/>
            <w:bottom w:w="15" w:type="dxa"/>
            <w:right w:w="15" w:type="dxa"/>
          </w:tblCellMar>
        </w:tblPrEx>
        <w:trPr>
          <w:trHeight w:val="376"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自评方式</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仿宋_GB2312" w:hAnsi="仿宋_GB2312" w:eastAsia="仿宋_GB2312" w:cs="仿宋_GB2312"/>
                <w:color w:val="auto"/>
                <w:sz w:val="20"/>
                <w:szCs w:val="20"/>
                <w:lang w:val="en-US" w:eastAsia="zh-CN"/>
              </w:rPr>
              <w:t>实地调研、文件研读等方式</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自评分值</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自评等级</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优</w:t>
            </w:r>
          </w:p>
        </w:tc>
      </w:tr>
      <w:tr>
        <w:tblPrEx>
          <w:tblLayout w:type="fixed"/>
          <w:tblCellMar>
            <w:top w:w="15" w:type="dxa"/>
            <w:left w:w="15" w:type="dxa"/>
            <w:bottom w:w="15" w:type="dxa"/>
            <w:right w:w="15" w:type="dxa"/>
          </w:tblCellMar>
        </w:tblPrEx>
        <w:trPr>
          <w:trHeight w:val="615"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各级资金</w:t>
            </w:r>
          </w:p>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投入总数</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1407</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抽查资金总数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1407</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r>
      <w:tr>
        <w:tblPrEx>
          <w:tblLayout w:type="fixed"/>
          <w:tblCellMar>
            <w:top w:w="15" w:type="dxa"/>
            <w:left w:w="15" w:type="dxa"/>
            <w:bottom w:w="15" w:type="dxa"/>
            <w:right w:w="15" w:type="dxa"/>
          </w:tblCellMar>
        </w:tblPrEx>
        <w:trPr>
          <w:trHeight w:val="5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lang w:val="en-US" w:eastAsia="zh-CN"/>
              </w:rPr>
              <w:t>其中：</w:t>
            </w:r>
            <w:r>
              <w:rPr>
                <w:rFonts w:hint="eastAsia" w:ascii="黑体" w:hAnsi="黑体" w:eastAsia="黑体" w:cs="黑体"/>
                <w:b w:val="0"/>
                <w:bCs w:val="0"/>
                <w:color w:val="auto"/>
                <w:kern w:val="0"/>
                <w:sz w:val="20"/>
                <w:szCs w:val="20"/>
              </w:rPr>
              <w:t>中央财政资金拨付数</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lang w:val="en-US" w:eastAsia="zh-CN"/>
              </w:rPr>
            </w:pPr>
            <w:r>
              <w:rPr>
                <w:rFonts w:hint="eastAsia" w:ascii="黑体" w:hAnsi="黑体" w:eastAsia="黑体" w:cs="黑体"/>
                <w:b w:val="0"/>
                <w:bCs w:val="0"/>
                <w:color w:val="auto"/>
                <w:kern w:val="0"/>
                <w:sz w:val="20"/>
                <w:szCs w:val="20"/>
                <w:lang w:val="en-US" w:eastAsia="zh-CN"/>
              </w:rPr>
              <w:t>其中：中央财政资金抽查数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其中：</w:t>
            </w:r>
            <w:r>
              <w:rPr>
                <w:rFonts w:hint="eastAsia" w:ascii="黑体" w:hAnsi="黑体" w:eastAsia="黑体" w:cs="黑体"/>
                <w:b w:val="0"/>
                <w:bCs w:val="0"/>
                <w:color w:val="auto"/>
                <w:kern w:val="0"/>
                <w:sz w:val="20"/>
                <w:szCs w:val="20"/>
              </w:rPr>
              <w:t>中央财政资金抽查占比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w:t>
            </w:r>
          </w:p>
        </w:tc>
      </w:tr>
      <w:tr>
        <w:tblPrEx>
          <w:tblLayout w:type="fixed"/>
          <w:tblCellMar>
            <w:top w:w="15" w:type="dxa"/>
            <w:left w:w="15" w:type="dxa"/>
            <w:bottom w:w="15" w:type="dxa"/>
            <w:right w:w="15" w:type="dxa"/>
          </w:tblCellMar>
        </w:tblPrEx>
        <w:trPr>
          <w:trHeight w:val="5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自治区</w:t>
            </w:r>
            <w:r>
              <w:rPr>
                <w:rFonts w:hint="eastAsia" w:ascii="黑体" w:hAnsi="黑体" w:eastAsia="黑体" w:cs="黑体"/>
                <w:b w:val="0"/>
                <w:bCs w:val="0"/>
                <w:color w:val="auto"/>
                <w:kern w:val="0"/>
                <w:sz w:val="20"/>
                <w:szCs w:val="20"/>
              </w:rPr>
              <w:t>财政资金拨付数</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lang w:val="en-US" w:eastAsia="zh-CN"/>
              </w:rPr>
            </w:pPr>
            <w:r>
              <w:rPr>
                <w:rFonts w:hint="eastAsia" w:ascii="黑体" w:hAnsi="黑体" w:eastAsia="黑体" w:cs="黑体"/>
                <w:b w:val="0"/>
                <w:bCs w:val="0"/>
                <w:color w:val="auto"/>
                <w:kern w:val="0"/>
                <w:sz w:val="20"/>
                <w:szCs w:val="20"/>
                <w:lang w:val="en-US" w:eastAsia="zh-CN"/>
              </w:rPr>
              <w:t>自治区财政资金抽查数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自治区</w:t>
            </w:r>
            <w:r>
              <w:rPr>
                <w:rFonts w:hint="eastAsia" w:ascii="黑体" w:hAnsi="黑体" w:eastAsia="黑体" w:cs="黑体"/>
                <w:b w:val="0"/>
                <w:bCs w:val="0"/>
                <w:color w:val="auto"/>
                <w:kern w:val="0"/>
                <w:sz w:val="20"/>
                <w:szCs w:val="20"/>
              </w:rPr>
              <w:t>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w:t>
            </w:r>
          </w:p>
        </w:tc>
      </w:tr>
      <w:tr>
        <w:tblPrEx>
          <w:tblLayout w:type="fixed"/>
          <w:tblCellMar>
            <w:top w:w="15" w:type="dxa"/>
            <w:left w:w="15" w:type="dxa"/>
            <w:bottom w:w="15" w:type="dxa"/>
            <w:right w:w="15" w:type="dxa"/>
          </w:tblCellMar>
        </w:tblPrEx>
        <w:trPr>
          <w:trHeight w:val="5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拨付数</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1407</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抽查数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1407</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项目类别</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补助类</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抽查类别</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补助类</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类别抽查占比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项目数量</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抽查项目数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lang w:val="en-US" w:eastAsia="zh-CN"/>
              </w:rPr>
              <w:t>1</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项目抽查占比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r>
      <w:tr>
        <w:tblPrEx>
          <w:tblLayout w:type="fixed"/>
          <w:tblCellMar>
            <w:top w:w="15" w:type="dxa"/>
            <w:left w:w="15" w:type="dxa"/>
            <w:bottom w:w="15" w:type="dxa"/>
            <w:right w:w="15" w:type="dxa"/>
          </w:tblCellMar>
        </w:tblPrEx>
        <w:trPr>
          <w:trHeight w:val="90"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发放调查</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问卷</w:t>
            </w:r>
          </w:p>
        </w:tc>
        <w:tc>
          <w:tcPr>
            <w:tcW w:w="113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有效调查</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问卷</w:t>
            </w:r>
          </w:p>
        </w:tc>
        <w:tc>
          <w:tcPr>
            <w:tcW w:w="1134" w:type="dxa"/>
            <w:gridSpan w:val="3"/>
            <w:tcBorders>
              <w:top w:val="single" w:color="000000" w:sz="4" w:space="0"/>
              <w:left w:val="single" w:color="000000"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992" w:type="dxa"/>
            <w:tcBorders>
              <w:top w:val="single" w:color="000000"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满意度</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情况</w:t>
            </w:r>
          </w:p>
        </w:tc>
        <w:tc>
          <w:tcPr>
            <w:tcW w:w="3298"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95%</w:t>
            </w:r>
          </w:p>
        </w:tc>
      </w:tr>
      <w:tr>
        <w:tblPrEx>
          <w:tblLayout w:type="fixed"/>
          <w:tblCellMar>
            <w:top w:w="15" w:type="dxa"/>
            <w:left w:w="15" w:type="dxa"/>
            <w:bottom w:w="15" w:type="dxa"/>
            <w:right w:w="15" w:type="dxa"/>
          </w:tblCellMar>
        </w:tblPrEx>
        <w:trPr>
          <w:trHeight w:val="1100"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绩效目标</w:t>
            </w:r>
          </w:p>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实现情况</w:t>
            </w:r>
          </w:p>
        </w:tc>
        <w:tc>
          <w:tcPr>
            <w:tcW w:w="7692" w:type="dxa"/>
            <w:gridSpan w:val="11"/>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ind w:firstLine="400" w:firstLineChars="200"/>
              <w:jc w:val="left"/>
              <w:textAlignment w:val="center"/>
              <w:rPr>
                <w:rFonts w:ascii="Times New Roman" w:hAnsi="Times New Roman" w:eastAsia="仿宋_GB2312" w:cs="仿宋_GB2312"/>
                <w:color w:val="0000FF"/>
                <w:sz w:val="20"/>
                <w:szCs w:val="20"/>
              </w:rPr>
            </w:pPr>
            <w:r>
              <w:rPr>
                <w:rFonts w:hint="eastAsia" w:ascii="仿宋_GB2312" w:hAnsi="仿宋_GB2312" w:eastAsia="仿宋_GB2312" w:cs="仿宋_GB2312"/>
                <w:color w:val="auto"/>
                <w:sz w:val="20"/>
                <w:szCs w:val="20"/>
                <w:lang w:val="en-US" w:eastAsia="zh-CN"/>
              </w:rPr>
              <w:t>截止绩效自评日，本项目通过1407名生态护林员对林原进行管护，已完成按照10000元/人/年的标准发放护林员生活补助，提高了年度总收入，有效缓解了经济条件，提高了生态护林员的生活质量，保障了基本生活，生态护林员满意度达到了95%。</w:t>
            </w:r>
          </w:p>
        </w:tc>
      </w:tr>
      <w:tr>
        <w:tblPrEx>
          <w:tblLayout w:type="fixed"/>
          <w:tblCellMar>
            <w:top w:w="15" w:type="dxa"/>
            <w:left w:w="15" w:type="dxa"/>
            <w:bottom w:w="15" w:type="dxa"/>
            <w:right w:w="15" w:type="dxa"/>
          </w:tblCellMar>
        </w:tblPrEx>
        <w:trPr>
          <w:trHeight w:val="510" w:hRule="atLeast"/>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highlight w:val="none"/>
              </w:rPr>
            </w:pPr>
            <w:r>
              <w:rPr>
                <w:rFonts w:hint="eastAsia" w:ascii="黑体" w:hAnsi="黑体" w:eastAsia="黑体" w:cs="黑体"/>
                <w:b w:val="0"/>
                <w:bCs w:val="0"/>
                <w:color w:val="auto"/>
                <w:kern w:val="0"/>
                <w:sz w:val="20"/>
                <w:szCs w:val="20"/>
                <w:highlight w:val="none"/>
              </w:rPr>
              <w:t>评价问题</w:t>
            </w:r>
          </w:p>
          <w:p>
            <w:pPr>
              <w:widowControl/>
              <w:spacing w:line="240" w:lineRule="exact"/>
              <w:jc w:val="center"/>
              <w:textAlignment w:val="center"/>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kern w:val="0"/>
                <w:sz w:val="20"/>
                <w:szCs w:val="20"/>
                <w:highlight w:val="none"/>
              </w:rPr>
              <w:t>简要情况</w:t>
            </w:r>
          </w:p>
        </w:tc>
        <w:tc>
          <w:tcPr>
            <w:tcW w:w="7692"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hint="eastAsia" w:ascii="Times New Roman" w:hAnsi="Times New Roman" w:eastAsia="仿宋_GB2312" w:cs="仿宋_GB2312"/>
                <w:color w:val="auto"/>
                <w:sz w:val="20"/>
                <w:szCs w:val="20"/>
                <w:highlight w:val="none"/>
                <w:lang w:val="en-US" w:eastAsia="zh-CN"/>
              </w:rPr>
            </w:pPr>
            <w:r>
              <w:rPr>
                <w:rFonts w:hint="eastAsia" w:ascii="Times New Roman" w:hAnsi="Times New Roman" w:eastAsia="仿宋_GB2312" w:cs="仿宋_GB2312"/>
                <w:color w:val="auto"/>
                <w:sz w:val="20"/>
                <w:szCs w:val="20"/>
                <w:highlight w:val="none"/>
                <w:lang w:val="en-US" w:eastAsia="zh-CN"/>
              </w:rPr>
              <w:t>无。</w:t>
            </w:r>
          </w:p>
        </w:tc>
      </w:tr>
      <w:tr>
        <w:tblPrEx>
          <w:tblLayout w:type="fixed"/>
          <w:tblCellMar>
            <w:top w:w="15" w:type="dxa"/>
            <w:left w:w="15" w:type="dxa"/>
            <w:bottom w:w="15" w:type="dxa"/>
            <w:right w:w="15" w:type="dxa"/>
          </w:tblCellMar>
        </w:tblPrEx>
        <w:trPr>
          <w:trHeight w:val="546" w:hRule="atLeast"/>
        </w:trPr>
        <w:tc>
          <w:tcPr>
            <w:tcW w:w="1291"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highlight w:val="none"/>
              </w:rPr>
            </w:pPr>
            <w:r>
              <w:rPr>
                <w:rFonts w:hint="eastAsia" w:ascii="黑体" w:hAnsi="黑体" w:eastAsia="黑体" w:cs="黑体"/>
                <w:b w:val="0"/>
                <w:bCs w:val="0"/>
                <w:color w:val="auto"/>
                <w:kern w:val="0"/>
                <w:sz w:val="20"/>
                <w:szCs w:val="20"/>
                <w:highlight w:val="none"/>
              </w:rPr>
              <w:t>评价问题</w:t>
            </w:r>
          </w:p>
          <w:p>
            <w:pPr>
              <w:widowControl/>
              <w:spacing w:line="240" w:lineRule="exact"/>
              <w:jc w:val="center"/>
              <w:textAlignment w:val="center"/>
              <w:rPr>
                <w:rFonts w:hint="eastAsia" w:ascii="黑体" w:hAnsi="黑体" w:eastAsia="黑体" w:cs="黑体"/>
                <w:b w:val="0"/>
                <w:bCs w:val="0"/>
                <w:color w:val="auto"/>
                <w:kern w:val="0"/>
                <w:sz w:val="20"/>
                <w:szCs w:val="20"/>
                <w:highlight w:val="none"/>
              </w:rPr>
            </w:pPr>
            <w:r>
              <w:rPr>
                <w:rFonts w:hint="eastAsia" w:ascii="黑体" w:hAnsi="黑体" w:eastAsia="黑体" w:cs="黑体"/>
                <w:b w:val="0"/>
                <w:bCs w:val="0"/>
                <w:color w:val="auto"/>
                <w:kern w:val="0"/>
                <w:sz w:val="20"/>
                <w:szCs w:val="20"/>
                <w:highlight w:val="none"/>
              </w:rPr>
              <w:t>简要建议</w:t>
            </w:r>
          </w:p>
        </w:tc>
        <w:tc>
          <w:tcPr>
            <w:tcW w:w="7692" w:type="dxa"/>
            <w:gridSpan w:val="11"/>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Times New Roman" w:hAnsi="Times New Roman" w:eastAsia="仿宋_GB2312" w:cs="仿宋_GB2312"/>
                <w:color w:val="auto"/>
                <w:sz w:val="20"/>
                <w:szCs w:val="20"/>
                <w:highlight w:val="none"/>
                <w:lang w:val="en-US" w:eastAsia="zh-CN"/>
              </w:rPr>
            </w:pPr>
            <w:r>
              <w:rPr>
                <w:rFonts w:hint="eastAsia" w:ascii="Times New Roman" w:hAnsi="Times New Roman" w:eastAsia="仿宋_GB2312" w:cs="仿宋_GB2312"/>
                <w:color w:val="auto"/>
                <w:sz w:val="20"/>
                <w:szCs w:val="20"/>
                <w:highlight w:val="none"/>
                <w:lang w:val="en-US" w:eastAsia="zh-CN"/>
              </w:rPr>
              <w:t>无。</w:t>
            </w:r>
          </w:p>
        </w:tc>
      </w:tr>
      <w:tr>
        <w:tblPrEx>
          <w:tblLayout w:type="fixed"/>
          <w:tblCellMar>
            <w:top w:w="15" w:type="dxa"/>
            <w:left w:w="15" w:type="dxa"/>
            <w:bottom w:w="15" w:type="dxa"/>
            <w:right w:w="15" w:type="dxa"/>
          </w:tblCellMar>
        </w:tblPrEx>
        <w:trPr>
          <w:trHeight w:val="1473"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sz w:val="20"/>
                <w:szCs w:val="20"/>
              </w:rPr>
              <w:t>评价结果</w:t>
            </w:r>
          </w:p>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sz w:val="20"/>
                <w:szCs w:val="20"/>
              </w:rPr>
              <w:t>应用建议</w:t>
            </w:r>
          </w:p>
        </w:tc>
        <w:tc>
          <w:tcPr>
            <w:tcW w:w="7692" w:type="dxa"/>
            <w:gridSpan w:val="11"/>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1.建议将此次绩效评价过程中发现的问题进行及时整改；</w:t>
            </w:r>
          </w:p>
          <w:p>
            <w:pPr>
              <w:widowControl/>
              <w:spacing w:line="240" w:lineRule="exact"/>
              <w:jc w:val="left"/>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2.建议加大对绩效评价结果的应用，此次绩效评价结果，可作为2022年各部门（单位）改进管理、调整财政支出方向、预算编制和安排财政资金的重要依据；</w:t>
            </w:r>
          </w:p>
          <w:p>
            <w:pPr>
              <w:widowControl/>
              <w:spacing w:line="240" w:lineRule="exact"/>
              <w:jc w:val="left"/>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lang w:val="en-US" w:eastAsia="zh-CN"/>
              </w:rPr>
              <w:t>3.建议建立绩效评价结果应用制度，将2022年绩效评价结果进行公示、公开</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845"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黑体" w:hAnsi="黑体" w:eastAsia="黑体" w:cs="黑体"/>
                <w:b w:val="0"/>
                <w:bCs w:val="0"/>
                <w:color w:val="auto"/>
                <w:kern w:val="0"/>
                <w:sz w:val="20"/>
                <w:szCs w:val="20"/>
              </w:rPr>
              <w:t>评价时间</w:t>
            </w:r>
          </w:p>
        </w:tc>
        <w:tc>
          <w:tcPr>
            <w:tcW w:w="3200"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rPr>
              <w:t>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05</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20</w:t>
            </w:r>
            <w:r>
              <w:rPr>
                <w:rFonts w:hint="eastAsia" w:ascii="仿宋_GB2312" w:hAnsi="仿宋_GB2312" w:eastAsia="仿宋_GB2312" w:cs="仿宋_GB2312"/>
                <w:color w:val="auto"/>
                <w:sz w:val="20"/>
                <w:szCs w:val="20"/>
              </w:rPr>
              <w:t>日至202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07</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10日</w:t>
            </w:r>
          </w:p>
        </w:tc>
        <w:tc>
          <w:tcPr>
            <w:tcW w:w="2246" w:type="dxa"/>
            <w:gridSpan w:val="4"/>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黑体" w:hAnsi="黑体" w:eastAsia="黑体" w:cs="黑体"/>
                <w:b w:val="0"/>
                <w:bCs w:val="0"/>
                <w:color w:val="auto"/>
                <w:kern w:val="0"/>
                <w:sz w:val="20"/>
                <w:szCs w:val="20"/>
              </w:rPr>
              <w:t>评价机构报告编号</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highlight w:val="none"/>
                <w:lang w:val="en-US" w:eastAsia="zh-CN"/>
              </w:rPr>
              <w:t>中</w:t>
            </w:r>
            <w:r>
              <w:rPr>
                <w:rFonts w:hint="eastAsia" w:ascii="仿宋_GB2312" w:hAnsi="仿宋_GB2312" w:eastAsia="仿宋_GB2312" w:cs="仿宋_GB2312"/>
                <w:color w:val="auto"/>
                <w:sz w:val="20"/>
                <w:szCs w:val="20"/>
                <w:highlight w:val="none"/>
              </w:rPr>
              <w:t>瑞诚喀绩评字[202</w:t>
            </w:r>
            <w:r>
              <w:rPr>
                <w:rFonts w:hint="eastAsia" w:ascii="仿宋_GB2312" w:hAnsi="仿宋_GB2312" w:eastAsia="仿宋_GB2312" w:cs="仿宋_GB2312"/>
                <w:color w:val="auto"/>
                <w:sz w:val="20"/>
                <w:szCs w:val="20"/>
                <w:highlight w:val="none"/>
                <w:lang w:val="en-US" w:eastAsia="zh-CN"/>
              </w:rPr>
              <w:t>3</w:t>
            </w:r>
            <w:r>
              <w:rPr>
                <w:rFonts w:hint="eastAsia" w:ascii="仿宋_GB2312" w:hAnsi="仿宋_GB2312" w:eastAsia="仿宋_GB2312" w:cs="仿宋_GB2312"/>
                <w:color w:val="auto"/>
                <w:sz w:val="20"/>
                <w:szCs w:val="20"/>
                <w:highlight w:val="none"/>
              </w:rPr>
              <w:t>]</w:t>
            </w:r>
            <w:r>
              <w:rPr>
                <w:rFonts w:hint="eastAsia" w:ascii="仿宋_GB2312" w:hAnsi="仿宋_GB2312" w:eastAsia="仿宋_GB2312" w:cs="仿宋_GB2312"/>
                <w:color w:val="auto"/>
                <w:sz w:val="20"/>
                <w:szCs w:val="20"/>
                <w:highlight w:val="none"/>
                <w:lang w:val="en-US" w:eastAsia="zh-CN"/>
              </w:rPr>
              <w:t>011</w:t>
            </w:r>
            <w:r>
              <w:rPr>
                <w:rFonts w:hint="eastAsia" w:ascii="仿宋_GB2312" w:hAnsi="仿宋_GB2312" w:eastAsia="仿宋_GB2312" w:cs="仿宋_GB2312"/>
                <w:color w:val="auto"/>
                <w:sz w:val="20"/>
                <w:szCs w:val="20"/>
                <w:highlight w:val="none"/>
              </w:rPr>
              <w:t>号</w:t>
            </w:r>
          </w:p>
        </w:tc>
      </w:tr>
      <w:tr>
        <w:tblPrEx>
          <w:tblLayout w:type="fixed"/>
          <w:tblCellMar>
            <w:top w:w="15" w:type="dxa"/>
            <w:left w:w="15" w:type="dxa"/>
            <w:bottom w:w="15" w:type="dxa"/>
            <w:right w:w="15" w:type="dxa"/>
          </w:tblCellMar>
        </w:tblPrEx>
        <w:trPr>
          <w:trHeight w:val="945" w:hRule="atLeast"/>
        </w:trPr>
        <w:tc>
          <w:tcPr>
            <w:tcW w:w="4491" w:type="dxa"/>
            <w:gridSpan w:val="6"/>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lang w:val="en-US"/>
              </w:rPr>
            </w:pPr>
            <w:r>
              <w:rPr>
                <w:rFonts w:hint="default" w:ascii="黑体" w:hAnsi="黑体" w:eastAsia="黑体" w:cs="黑体"/>
                <w:b w:val="0"/>
                <w:bCs w:val="0"/>
                <w:color w:val="auto"/>
                <w:kern w:val="0"/>
                <w:sz w:val="20"/>
                <w:szCs w:val="20"/>
                <w:lang w:val="en-US"/>
              </w:rPr>
              <w:t>主评人及联系方式</w:t>
            </w:r>
          </w:p>
        </w:tc>
        <w:tc>
          <w:tcPr>
            <w:tcW w:w="4492" w:type="dxa"/>
            <w:gridSpan w:val="6"/>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仿宋_GB2312" w:hAnsi="宋体" w:eastAsia="仿宋_GB2312" w:cs="仿宋_GB2312"/>
                <w:color w:val="000000"/>
                <w:sz w:val="20"/>
                <w:szCs w:val="20"/>
                <w:lang w:val="en-US" w:eastAsia="zh-CN"/>
              </w:rPr>
              <w:t>叶金玲13899129971</w:t>
            </w:r>
          </w:p>
        </w:tc>
      </w:tr>
    </w:tbl>
    <w:p>
      <w:pPr>
        <w:jc w:val="center"/>
        <w:rPr>
          <w:rFonts w:hint="eastAsia" w:ascii="Times New Roman" w:hAnsi="Times New Roman" w:eastAsia="仿宋_GB2312" w:cs="宋体"/>
          <w:b/>
          <w:bCs/>
          <w:color w:val="auto"/>
          <w:sz w:val="44"/>
          <w:szCs w:val="44"/>
        </w:rPr>
      </w:pPr>
    </w:p>
    <w:p>
      <w:pPr>
        <w:jc w:val="center"/>
        <w:rPr>
          <w:rFonts w:hint="eastAsia" w:ascii="微软雅黑" w:hAnsi="黑体" w:eastAsia="微软雅黑" w:cs="宋体"/>
          <w:b w:val="0"/>
          <w:bCs w:val="0"/>
          <w:kern w:val="0"/>
          <w:sz w:val="44"/>
          <w:szCs w:val="44"/>
          <w:highlight w:val="none"/>
          <w:lang w:val="en-US" w:eastAsia="zh-CN"/>
        </w:rPr>
        <w:sectPr>
          <w:footerReference r:id="rId3"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摘要</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为规范和加强财政资金的管理，进一步发挥绩效管理工作对财政资金使用管理的导向和激励作用，提高资金使用效益，</w:t>
      </w:r>
      <w:r>
        <w:rPr>
          <w:rFonts w:hint="eastAsia" w:ascii="仿宋_GB2312" w:hAnsi="仿宋_GB2312" w:eastAsia="仿宋_GB2312" w:cs="仿宋_GB2312"/>
          <w:color w:val="auto"/>
          <w:sz w:val="32"/>
          <w:szCs w:val="32"/>
          <w:highlight w:val="none"/>
          <w:lang w:eastAsia="zh-CN"/>
        </w:rPr>
        <w:t>根据财政部《项目支出绩效评价管理办法》及《自治区财政支出绩效评价管理暂行办法》相关规定</w:t>
      </w:r>
      <w:r>
        <w:rPr>
          <w:rFonts w:hint="eastAsia" w:ascii="仿宋_GB2312" w:hAnsi="仿宋_GB2312" w:eastAsia="仿宋_GB2312" w:cs="仿宋_GB2312"/>
          <w:color w:val="auto"/>
          <w:spacing w:val="-5"/>
          <w:sz w:val="32"/>
          <w:szCs w:val="32"/>
          <w:highlight w:val="none"/>
        </w:rPr>
        <w:t>，</w:t>
      </w:r>
      <w:r>
        <w:rPr>
          <w:rFonts w:hint="eastAsia" w:ascii="仿宋_GB2312" w:hAnsi="仿宋_GB2312" w:eastAsia="仿宋_GB2312" w:cs="仿宋_GB2312"/>
          <w:color w:val="auto"/>
          <w:sz w:val="32"/>
          <w:szCs w:val="32"/>
          <w:highlight w:val="none"/>
          <w:lang w:val="en-US" w:eastAsia="zh-CN"/>
        </w:rPr>
        <w:t>受疏附县财政局委托，中瑞诚会计师事务所（特殊普通合伙）喀什分所作为第三方评价机构于</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05</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eastAsia="zh-CN"/>
        </w:rPr>
        <w:t>日至202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07</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对</w:t>
      </w:r>
      <w:r>
        <w:rPr>
          <w:rFonts w:hint="eastAsia" w:ascii="仿宋_GB2312" w:hAnsi="仿宋_GB2312" w:eastAsia="仿宋_GB2312" w:cs="仿宋_GB2312"/>
          <w:color w:val="auto"/>
          <w:sz w:val="32"/>
          <w:szCs w:val="32"/>
          <w:highlight w:val="none"/>
          <w:lang w:val="en-US" w:eastAsia="zh-CN"/>
        </w:rPr>
        <w:t>新疆维吾尔自治区疏附县自然资源局负责实施</w:t>
      </w:r>
      <w:r>
        <w:rPr>
          <w:rFonts w:hint="eastAsia" w:ascii="仿宋_GB2312" w:hAnsi="仿宋_GB2312" w:eastAsia="仿宋_GB2312" w:cs="仿宋_GB2312"/>
          <w:color w:val="auto"/>
          <w:sz w:val="32"/>
          <w:szCs w:val="32"/>
          <w:highlight w:val="none"/>
        </w:rPr>
        <w:t>的</w:t>
      </w:r>
      <w:r>
        <w:rPr>
          <w:rFonts w:hint="eastAsia" w:ascii="仿宋_GB2312" w:hAnsi="仿宋_GB2312" w:eastAsia="仿宋_GB2312" w:cs="仿宋_GB2312"/>
          <w:color w:val="auto"/>
          <w:sz w:val="32"/>
          <w:szCs w:val="32"/>
          <w:highlight w:val="none"/>
          <w:lang w:eastAsia="zh-CN"/>
        </w:rPr>
        <w:t>生态护林员补助项目</w:t>
      </w:r>
      <w:r>
        <w:rPr>
          <w:rFonts w:hint="eastAsia" w:ascii="仿宋_GB2312" w:hAnsi="仿宋_GB2312" w:eastAsia="仿宋_GB2312" w:cs="仿宋_GB2312"/>
          <w:color w:val="auto"/>
          <w:sz w:val="32"/>
          <w:szCs w:val="32"/>
          <w:highlight w:val="none"/>
        </w:rPr>
        <w:t>（以下简称“该项目”）开展了绩效评价，评价情况如下：</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0" w:name="_Toc25763"/>
      <w:bookmarkStart w:id="1" w:name="_Toc1784"/>
      <w:r>
        <w:rPr>
          <w:rFonts w:hint="eastAsia" w:ascii="方正黑体_GBK" w:hAnsi="方正黑体_GBK" w:eastAsia="方正黑体_GBK" w:cs="方正黑体_GBK"/>
          <w:b w:val="0"/>
          <w:bCs w:val="0"/>
          <w:color w:val="auto"/>
          <w:sz w:val="32"/>
          <w:szCs w:val="32"/>
        </w:rPr>
        <w:t>一、项目概述</w:t>
      </w:r>
      <w:bookmarkEnd w:id="0"/>
      <w:bookmarkEnd w:id="1"/>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为全面贯彻党的</w:t>
      </w:r>
      <w:r>
        <w:rPr>
          <w:rFonts w:hint="eastAsia" w:ascii="仿宋_GB2312" w:hAnsi="仿宋_GB2312" w:eastAsia="仿宋_GB2312" w:cs="仿宋_GB2312"/>
          <w:color w:val="auto"/>
          <w:sz w:val="32"/>
          <w:szCs w:val="32"/>
          <w:highlight w:val="none"/>
          <w:lang w:val="en-US" w:eastAsia="zh-CN"/>
        </w:rPr>
        <w:t>二十</w:t>
      </w:r>
      <w:r>
        <w:rPr>
          <w:rFonts w:hint="eastAsia" w:ascii="仿宋_GB2312" w:hAnsi="仿宋_GB2312" w:eastAsia="仿宋_GB2312" w:cs="仿宋_GB2312"/>
          <w:color w:val="auto"/>
          <w:sz w:val="32"/>
          <w:szCs w:val="32"/>
          <w:highlight w:val="none"/>
          <w:lang w:eastAsia="zh-CN"/>
        </w:rPr>
        <w:t>大精神，</w:t>
      </w:r>
      <w:r>
        <w:rPr>
          <w:rFonts w:hint="eastAsia" w:ascii="仿宋_GB2312" w:hAnsi="仿宋_GB2312" w:eastAsia="仿宋_GB2312" w:cs="仿宋_GB2312"/>
          <w:color w:val="auto"/>
          <w:sz w:val="32"/>
          <w:szCs w:val="32"/>
          <w:highlight w:val="none"/>
          <w:lang w:val="en-US" w:eastAsia="zh-CN"/>
        </w:rPr>
        <w:t>贯彻</w:t>
      </w:r>
      <w:r>
        <w:rPr>
          <w:rFonts w:hint="eastAsia" w:ascii="仿宋_GB2312" w:hAnsi="仿宋_GB2312" w:eastAsia="仿宋_GB2312" w:cs="仿宋_GB2312"/>
          <w:color w:val="auto"/>
          <w:sz w:val="32"/>
          <w:szCs w:val="32"/>
          <w:highlight w:val="none"/>
          <w:lang w:eastAsia="zh-CN"/>
        </w:rPr>
        <w:t>习近平新时代中国特色社会主义思想，依据《自治区党委自治区人民政府关于全面实施预算绩效管理的实施意见》和《喀什地区关于全面实施预算绩效管理的实施意见》文件规定，项目计划补助资金</w:t>
      </w:r>
      <w:r>
        <w:rPr>
          <w:rFonts w:hint="eastAsia" w:ascii="仿宋_GB2312" w:hAnsi="仿宋_GB2312" w:eastAsia="仿宋_GB2312" w:cs="仿宋_GB2312"/>
          <w:color w:val="auto"/>
          <w:sz w:val="32"/>
          <w:szCs w:val="32"/>
          <w:highlight w:val="none"/>
          <w:lang w:val="en-US" w:eastAsia="zh-CN"/>
        </w:rPr>
        <w:t>1407</w:t>
      </w:r>
      <w:r>
        <w:rPr>
          <w:rFonts w:hint="eastAsia" w:ascii="仿宋_GB2312" w:hAnsi="仿宋_GB2312" w:eastAsia="仿宋_GB2312" w:cs="仿宋_GB2312"/>
          <w:color w:val="auto"/>
          <w:sz w:val="32"/>
          <w:szCs w:val="32"/>
          <w:highlight w:val="none"/>
          <w:lang w:eastAsia="zh-CN"/>
        </w:rPr>
        <w:t>万元，主要用于1407名生态护林员对林原进行管护，每年按1万元/人/年的标准给生态护林员发放补助，项目的实施提高生态护林员的生活质量，保障生态护林员的基本生活。</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2" w:name="_Toc9511"/>
      <w:bookmarkStart w:id="3" w:name="_Toc4382"/>
      <w:r>
        <w:rPr>
          <w:rFonts w:hint="eastAsia" w:ascii="方正黑体_GBK" w:hAnsi="方正黑体_GBK" w:eastAsia="方正黑体_GBK" w:cs="方正黑体_GBK"/>
          <w:b w:val="0"/>
          <w:bCs w:val="0"/>
          <w:color w:val="auto"/>
          <w:sz w:val="32"/>
          <w:szCs w:val="32"/>
        </w:rPr>
        <w:t>二、评价工作简述</w:t>
      </w:r>
      <w:bookmarkEnd w:id="2"/>
      <w:bookmarkEnd w:id="3"/>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sectPr>
          <w:footerReference r:id="rId4"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4" w:name="_Toc13087"/>
      <w:r>
        <w:rPr>
          <w:rFonts w:hint="eastAsia" w:ascii="仿宋_GB2312" w:hAnsi="仿宋_GB2312" w:eastAsia="仿宋_GB2312" w:cs="仿宋_GB2312"/>
          <w:color w:val="auto"/>
          <w:sz w:val="32"/>
          <w:szCs w:val="32"/>
          <w:highlight w:val="none"/>
        </w:rPr>
        <w:t>评价组自承接</w:t>
      </w:r>
      <w:r>
        <w:rPr>
          <w:rFonts w:hint="eastAsia" w:ascii="仿宋_GB2312" w:hAnsi="仿宋_GB2312" w:eastAsia="仿宋_GB2312" w:cs="仿宋_GB2312"/>
          <w:color w:val="auto"/>
          <w:sz w:val="32"/>
          <w:szCs w:val="32"/>
          <w:highlight w:val="none"/>
          <w:lang w:eastAsia="zh-CN"/>
        </w:rPr>
        <w:t>该项目</w:t>
      </w:r>
      <w:r>
        <w:rPr>
          <w:rFonts w:hint="eastAsia" w:ascii="仿宋_GB2312" w:hAnsi="仿宋_GB2312" w:eastAsia="仿宋_GB2312" w:cs="仿宋_GB2312"/>
          <w:color w:val="auto"/>
          <w:sz w:val="32"/>
          <w:szCs w:val="32"/>
          <w:highlight w:val="none"/>
        </w:rPr>
        <w:t>后，立足于</w:t>
      </w:r>
      <w:r>
        <w:rPr>
          <w:rFonts w:hint="eastAsia" w:ascii="仿宋_GB2312" w:hAnsi="仿宋_GB2312" w:eastAsia="仿宋_GB2312" w:cs="仿宋_GB2312"/>
          <w:color w:val="auto"/>
          <w:sz w:val="32"/>
          <w:szCs w:val="32"/>
          <w:highlight w:val="none"/>
          <w:lang w:eastAsia="zh-CN"/>
        </w:rPr>
        <w:t>该</w:t>
      </w:r>
      <w:r>
        <w:rPr>
          <w:rFonts w:hint="eastAsia" w:ascii="仿宋_GB2312" w:hAnsi="仿宋_GB2312" w:eastAsia="仿宋_GB2312" w:cs="仿宋_GB2312"/>
          <w:color w:val="auto"/>
          <w:sz w:val="32"/>
          <w:szCs w:val="32"/>
          <w:highlight w:val="none"/>
        </w:rPr>
        <w:t>项目特点，本次评价关注重点：一是针对预算编制、资金执行的相关情况评价项</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目预算编制、财务核算是否到位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二是评价</w:t>
      </w:r>
      <w:r>
        <w:rPr>
          <w:rFonts w:hint="eastAsia" w:ascii="仿宋_GB2312" w:hAnsi="仿宋_GB2312" w:eastAsia="仿宋_GB2312" w:cs="仿宋_GB2312"/>
          <w:color w:val="auto"/>
          <w:sz w:val="32"/>
          <w:szCs w:val="32"/>
          <w:highlight w:val="none"/>
          <w:lang w:eastAsia="zh-CN"/>
        </w:rPr>
        <w:t>项目实施</w:t>
      </w:r>
      <w:r>
        <w:rPr>
          <w:rFonts w:hint="eastAsia" w:ascii="仿宋_GB2312" w:hAnsi="仿宋_GB2312" w:eastAsia="仿宋_GB2312" w:cs="仿宋_GB2312"/>
          <w:color w:val="auto"/>
          <w:sz w:val="32"/>
          <w:szCs w:val="32"/>
          <w:highlight w:val="none"/>
        </w:rPr>
        <w:t>单位的管理制度、监管考核机制是否健全；三是评价项目是否按照目标执行，项目实施效果是否达到预期目标</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 w:name="_Toc25524"/>
      <w:r>
        <w:rPr>
          <w:rFonts w:hint="eastAsia" w:ascii="仿宋_GB2312" w:hAnsi="仿宋_GB2312" w:eastAsia="仿宋_GB2312" w:cs="仿宋_GB2312"/>
          <w:color w:val="auto"/>
          <w:sz w:val="32"/>
          <w:szCs w:val="32"/>
          <w:highlight w:val="none"/>
          <w:lang w:val="en-US" w:eastAsia="zh-CN"/>
        </w:rPr>
        <w:t>评价工作组通过前期调研，</w:t>
      </w:r>
      <w:r>
        <w:rPr>
          <w:rFonts w:hint="eastAsia" w:ascii="仿宋_GB2312" w:hAnsi="仿宋_GB2312" w:eastAsia="仿宋_GB2312" w:cs="仿宋_GB2312"/>
          <w:color w:val="auto"/>
          <w:sz w:val="32"/>
          <w:szCs w:val="32"/>
          <w:highlight w:val="none"/>
        </w:rPr>
        <w:t>了解项目管理流程及效果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从项目决策、项目过程、项目产出和项目效益四个维度制定了工作方案，明确了评价的目的、方法、原则、指标、标准、社会调查方案等，重点对该项目的实施情况及效益进行了核实；评价工作组本着科学规范的绩效评价原则，运用成本效益分析法、比较分析法等方法，严格按照工作方案，经过数据采集、问卷调查、实地调研、数据分析和报告撰写等环节，完成了绩效评价工作。</w:t>
      </w:r>
      <w:bookmarkEnd w:id="5"/>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6" w:name="_Toc7347"/>
      <w:r>
        <w:rPr>
          <w:rFonts w:hint="eastAsia" w:ascii="方正黑体_GBK" w:hAnsi="方正黑体_GBK" w:eastAsia="方正黑体_GBK" w:cs="方正黑体_GBK"/>
          <w:b w:val="0"/>
          <w:bCs w:val="0"/>
          <w:color w:val="auto"/>
          <w:sz w:val="32"/>
          <w:szCs w:val="32"/>
        </w:rPr>
        <w:t>三、绩效评价分析</w:t>
      </w:r>
      <w:bookmarkEnd w:id="4"/>
      <w:bookmarkEnd w:id="6"/>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财政部《项目支出绩效评价管理办法》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bookmarkStart w:id="7" w:name="_Toc29937"/>
      <w:bookmarkStart w:id="8" w:name="_Toc4082"/>
      <w:r>
        <w:rPr>
          <w:rFonts w:hint="eastAsia" w:ascii="方正黑体_GBK" w:hAnsi="方正黑体_GBK" w:eastAsia="方正黑体_GBK" w:cs="方正黑体_GBK"/>
          <w:b w:val="0"/>
          <w:bCs w:val="0"/>
          <w:color w:val="auto"/>
          <w:sz w:val="32"/>
          <w:szCs w:val="32"/>
          <w:highlight w:val="none"/>
        </w:rPr>
        <w:t>四、评价结论</w:t>
      </w:r>
      <w:bookmarkEnd w:id="7"/>
      <w:bookmarkEnd w:id="8"/>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经综合评价，项目得分为100分，其中：项目决策得分20分、项目过程得分20分，项目产出得分30分、项目效益得分30分，评价等级为优。</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项目立项较规范，绩效目标合理绩效指标明确，项目管理制度较健全。该项目预算资金</w:t>
      </w:r>
      <w:r>
        <w:rPr>
          <w:rFonts w:hint="eastAsia" w:ascii="仿宋_GB2312" w:hAnsi="仿宋_GB2312" w:eastAsia="仿宋_GB2312" w:cs="仿宋_GB2312"/>
          <w:color w:val="auto"/>
          <w:sz w:val="32"/>
          <w:szCs w:val="32"/>
          <w:highlight w:val="none"/>
          <w:lang w:val="en-US" w:eastAsia="zh-CN"/>
        </w:rPr>
        <w:t>为1407万元，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1407万元，</w:t>
      </w:r>
      <w:r>
        <w:rPr>
          <w:rFonts w:hint="eastAsia" w:ascii="仿宋_GB2312" w:hAnsi="仿宋_GB2312" w:eastAsia="仿宋_GB2312" w:cs="仿宋_GB2312"/>
          <w:color w:val="auto"/>
          <w:sz w:val="32"/>
          <w:szCs w:val="32"/>
          <w:highlight w:val="none"/>
        </w:rPr>
        <w:t>预算资金执行率</w:t>
      </w:r>
      <w:r>
        <w:rPr>
          <w:rFonts w:hint="eastAsia" w:ascii="仿宋_GB2312" w:hAnsi="仿宋_GB2312" w:eastAsia="仿宋_GB2312" w:cs="仿宋_GB2312"/>
          <w:color w:val="auto"/>
          <w:sz w:val="32"/>
          <w:szCs w:val="32"/>
          <w:highlight w:val="none"/>
          <w:lang w:val="en-US" w:eastAsia="zh-CN"/>
        </w:rPr>
        <w:t>100%。通过实施本项目提高了年度总收入，有效缓解了经济条件，提高了生态护林员的生活质量，保障了基本生活，生态护林员满意度达到了95%。</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r>
        <w:rPr>
          <w:rFonts w:hint="eastAsia" w:ascii="方正黑体_GBK" w:hAnsi="方正黑体_GBK" w:eastAsia="方正黑体_GBK" w:cs="方正黑体_GBK"/>
          <w:b w:val="0"/>
          <w:bCs w:val="0"/>
          <w:color w:val="auto"/>
          <w:sz w:val="32"/>
          <w:szCs w:val="32"/>
          <w:highlight w:val="none"/>
          <w:lang w:val="en-US" w:eastAsia="zh-CN"/>
        </w:rPr>
        <w:t>五、</w:t>
      </w:r>
      <w:r>
        <w:rPr>
          <w:rFonts w:hint="eastAsia" w:ascii="方正黑体_GBK" w:hAnsi="方正黑体_GBK" w:eastAsia="方正黑体_GBK" w:cs="方正黑体_GBK"/>
          <w:b w:val="0"/>
          <w:bCs w:val="0"/>
          <w:color w:val="auto"/>
          <w:sz w:val="32"/>
          <w:szCs w:val="32"/>
          <w:highlight w:val="none"/>
        </w:rPr>
        <w:t>问题建议</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ascii="Times New Roman" w:hAnsi="Times New Roman" w:eastAsia="仿宋_GB2312" w:cs="仿宋"/>
          <w:color w:val="auto"/>
          <w:sz w:val="32"/>
          <w:szCs w:val="32"/>
          <w:highlight w:val="none"/>
        </w:rPr>
      </w:pPr>
      <w:r>
        <w:rPr>
          <w:rFonts w:hint="eastAsia" w:ascii="Times New Roman" w:hAnsi="Times New Roman" w:eastAsia="仿宋_GB2312" w:cs="宋体"/>
          <w:b/>
          <w:bCs/>
          <w:color w:val="auto"/>
          <w:sz w:val="32"/>
          <w:szCs w:val="32"/>
          <w:highlight w:val="none"/>
        </w:rPr>
        <w:t>（一）问题</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ascii="Times New Roman" w:hAnsi="Times New Roman" w:eastAsia="仿宋_GB2312" w:cs="宋体"/>
          <w:b/>
          <w:bCs/>
          <w:color w:val="auto"/>
          <w:sz w:val="32"/>
          <w:szCs w:val="32"/>
          <w:highlight w:val="none"/>
        </w:rPr>
      </w:pPr>
      <w:r>
        <w:rPr>
          <w:rFonts w:hint="eastAsia" w:ascii="Times New Roman" w:hAnsi="Times New Roman" w:eastAsia="仿宋_GB2312" w:cs="宋体"/>
          <w:b/>
          <w:bCs/>
          <w:color w:val="auto"/>
          <w:sz w:val="32"/>
          <w:szCs w:val="32"/>
          <w:highlight w:val="none"/>
        </w:rPr>
        <w:t>（</w:t>
      </w:r>
      <w:r>
        <w:rPr>
          <w:rFonts w:hint="eastAsia" w:ascii="Times New Roman" w:hAnsi="Times New Roman" w:eastAsia="仿宋_GB2312" w:cs="宋体"/>
          <w:b/>
          <w:bCs/>
          <w:color w:val="auto"/>
          <w:sz w:val="32"/>
          <w:szCs w:val="32"/>
          <w:highlight w:val="none"/>
          <w:lang w:val="en-US" w:eastAsia="zh-CN"/>
        </w:rPr>
        <w:t>二</w:t>
      </w:r>
      <w:r>
        <w:rPr>
          <w:rFonts w:hint="eastAsia" w:ascii="Times New Roman" w:hAnsi="Times New Roman" w:eastAsia="仿宋_GB2312" w:cs="宋体"/>
          <w:b/>
          <w:bCs/>
          <w:color w:val="auto"/>
          <w:sz w:val="32"/>
          <w:szCs w:val="32"/>
          <w:highlight w:val="none"/>
        </w:rPr>
        <w:t>）意见和建议</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default" w:ascii="仿宋_GB2312" w:hAnsi="仿宋_GB2312" w:eastAsia="仿宋_GB2312" w:cs="仿宋_GB2312"/>
          <w:color w:val="auto"/>
          <w:sz w:val="32"/>
          <w:szCs w:val="32"/>
          <w:highlight w:val="none"/>
          <w:lang w:val="en-US" w:eastAsia="zh-CN"/>
        </w:rPr>
        <w:sectPr>
          <w:footerReference r:id="rId5"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ascii="仿宋_GB2312" w:hAnsi="仿宋_GB2312" w:eastAsia="仿宋_GB2312" w:cs="仿宋_GB2312"/>
          <w:color w:val="auto"/>
          <w:sz w:val="32"/>
          <w:szCs w:val="32"/>
          <w:highlight w:val="none"/>
          <w:lang w:val="en-US" w:eastAsia="zh-CN"/>
        </w:rPr>
        <w:t>无。</w:t>
      </w:r>
    </w:p>
    <w:p>
      <w:pPr>
        <w:jc w:val="center"/>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绩效评价工作组成员</w:t>
      </w:r>
    </w:p>
    <w:tbl>
      <w:tblPr>
        <w:tblStyle w:val="18"/>
        <w:tblW w:w="8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1295"/>
        <w:gridCol w:w="1560"/>
        <w:gridCol w:w="2736"/>
        <w:gridCol w:w="1723"/>
        <w:gridCol w:w="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467" w:type="dxa"/>
            <w:vAlign w:val="center"/>
          </w:tcPr>
          <w:p>
            <w:pPr>
              <w:pStyle w:val="12"/>
              <w:tabs>
                <w:tab w:val="right" w:leader="dot" w:pos="8302"/>
              </w:tabs>
              <w:spacing w:line="340" w:lineRule="exact"/>
              <w:jc w:val="both"/>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序号</w:t>
            </w:r>
          </w:p>
        </w:tc>
        <w:tc>
          <w:tcPr>
            <w:tcW w:w="1295"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项目职务</w:t>
            </w:r>
          </w:p>
        </w:tc>
        <w:tc>
          <w:tcPr>
            <w:tcW w:w="1560"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姓名</w:t>
            </w:r>
          </w:p>
        </w:tc>
        <w:tc>
          <w:tcPr>
            <w:tcW w:w="2736"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执业（从业）</w:t>
            </w:r>
          </w:p>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资格</w:t>
            </w:r>
          </w:p>
        </w:tc>
        <w:tc>
          <w:tcPr>
            <w:tcW w:w="1723"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职称</w:t>
            </w:r>
          </w:p>
        </w:tc>
        <w:tc>
          <w:tcPr>
            <w:tcW w:w="841"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0" w:hRule="atLeast"/>
        </w:trPr>
        <w:tc>
          <w:tcPr>
            <w:tcW w:w="46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1</w:t>
            </w:r>
          </w:p>
        </w:tc>
        <w:tc>
          <w:tcPr>
            <w:tcW w:w="1295"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color w:val="auto"/>
                <w:kern w:val="0"/>
                <w:sz w:val="24"/>
              </w:rPr>
              <w:t>项目</w:t>
            </w:r>
            <w:r>
              <w:rPr>
                <w:rFonts w:hint="eastAsia" w:eastAsia="仿宋_GB2312" w:cs="宋体"/>
                <w:color w:val="auto"/>
                <w:kern w:val="0"/>
                <w:sz w:val="24"/>
                <w:lang w:val="en-US" w:eastAsia="zh-CN"/>
              </w:rPr>
              <w:t>主评人</w:t>
            </w:r>
          </w:p>
        </w:tc>
        <w:tc>
          <w:tcPr>
            <w:tcW w:w="156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叶金玲</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tc>
        <w:tc>
          <w:tcPr>
            <w:tcW w:w="1723"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841" w:type="dxa"/>
            <w:vAlign w:val="center"/>
          </w:tcPr>
          <w:p>
            <w:pPr>
              <w:pStyle w:val="12"/>
              <w:tabs>
                <w:tab w:val="right" w:leader="dot" w:pos="8302"/>
              </w:tabs>
              <w:spacing w:line="340" w:lineRule="exact"/>
              <w:jc w:val="center"/>
              <w:rPr>
                <w:rFonts w:hint="eastAsia" w:eastAsia="仿宋_GB2312" w:cs="宋体"/>
                <w:color w:val="auto"/>
                <w:kern w:val="0"/>
                <w:sz w:val="24"/>
                <w:lang w:val="en-US" w:eastAsia="zh-CN"/>
              </w:rPr>
            </w:pPr>
            <w:r>
              <w:rPr>
                <w:rFonts w:hint="eastAsia" w:eastAsia="仿宋_GB2312" w:cs="宋体"/>
                <w:color w:val="auto"/>
                <w:kern w:val="0"/>
                <w:sz w:val="24"/>
                <w:lang w:val="en-US" w:eastAsia="zh-CN"/>
              </w:rPr>
              <w:t>项目主审</w:t>
            </w:r>
          </w:p>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0" w:hRule="atLeast"/>
        </w:trPr>
        <w:tc>
          <w:tcPr>
            <w:tcW w:w="46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2</w:t>
            </w:r>
          </w:p>
        </w:tc>
        <w:tc>
          <w:tcPr>
            <w:tcW w:w="129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项目财务专家</w:t>
            </w:r>
          </w:p>
        </w:tc>
        <w:tc>
          <w:tcPr>
            <w:tcW w:w="1560"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孟凯</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tc>
        <w:tc>
          <w:tcPr>
            <w:tcW w:w="1723"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841"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资金审查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9" w:hRule="atLeast"/>
        </w:trPr>
        <w:tc>
          <w:tcPr>
            <w:tcW w:w="46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3</w:t>
            </w:r>
          </w:p>
        </w:tc>
        <w:tc>
          <w:tcPr>
            <w:tcW w:w="129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项目行业专家</w:t>
            </w:r>
          </w:p>
        </w:tc>
        <w:tc>
          <w:tcPr>
            <w:tcW w:w="156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eastAsia="仿宋_GB2312" w:cs="宋体"/>
                <w:color w:val="auto"/>
                <w:kern w:val="0"/>
                <w:sz w:val="24"/>
                <w:lang w:val="en-US" w:eastAsia="zh-CN"/>
              </w:rPr>
              <w:t>曹唐哲</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风险稳定评估师、高级投资管理师、计算机辅助设计师、信息管理师、物流工程师</w:t>
            </w:r>
          </w:p>
        </w:tc>
        <w:tc>
          <w:tcPr>
            <w:tcW w:w="1723"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中级经济师</w:t>
            </w:r>
          </w:p>
        </w:tc>
        <w:tc>
          <w:tcPr>
            <w:tcW w:w="841"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3" w:hRule="atLeast"/>
        </w:trPr>
        <w:tc>
          <w:tcPr>
            <w:tcW w:w="46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5</w:t>
            </w:r>
          </w:p>
        </w:tc>
        <w:tc>
          <w:tcPr>
            <w:tcW w:w="1295"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rPr>
              <w:t>项目组成员</w:t>
            </w:r>
          </w:p>
        </w:tc>
        <w:tc>
          <w:tcPr>
            <w:tcW w:w="1560"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kern w:val="0"/>
                <w:sz w:val="24"/>
                <w:lang w:val="en-US" w:eastAsia="zh-CN"/>
              </w:rPr>
              <w:t>热孜亚</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723"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助理</w:t>
            </w:r>
            <w:r>
              <w:rPr>
                <w:rFonts w:hint="eastAsia" w:ascii="Times New Roman" w:hAnsi="Times New Roman" w:eastAsia="仿宋_GB2312" w:cs="宋体"/>
                <w:kern w:val="0"/>
                <w:sz w:val="24"/>
              </w:rPr>
              <w:t>会计师</w:t>
            </w:r>
          </w:p>
        </w:tc>
        <w:tc>
          <w:tcPr>
            <w:tcW w:w="841"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撰写报告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4" w:hRule="atLeast"/>
        </w:trPr>
        <w:tc>
          <w:tcPr>
            <w:tcW w:w="46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6</w:t>
            </w:r>
          </w:p>
        </w:tc>
        <w:tc>
          <w:tcPr>
            <w:tcW w:w="1295"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60"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kern w:val="0"/>
                <w:sz w:val="24"/>
                <w:lang w:val="en-US" w:eastAsia="zh-CN"/>
              </w:rPr>
              <w:t>古丽热依汗</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723"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841"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4" w:hRule="atLeast"/>
        </w:trPr>
        <w:tc>
          <w:tcPr>
            <w:tcW w:w="467"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lang w:val="en-US" w:eastAsia="zh-CN"/>
              </w:rPr>
              <w:t>7</w:t>
            </w:r>
          </w:p>
        </w:tc>
        <w:tc>
          <w:tcPr>
            <w:tcW w:w="129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项目组成员</w:t>
            </w:r>
          </w:p>
        </w:tc>
        <w:tc>
          <w:tcPr>
            <w:tcW w:w="156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eastAsia="仿宋_GB2312" w:cs="宋体"/>
                <w:kern w:val="0"/>
                <w:sz w:val="24"/>
                <w:lang w:val="en-US" w:eastAsia="zh-CN"/>
              </w:rPr>
              <w:t>阿布都海比尔</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723"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841"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6" w:hRule="atLeast"/>
        </w:trPr>
        <w:tc>
          <w:tcPr>
            <w:tcW w:w="467"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lang w:val="en-US" w:eastAsia="zh-CN"/>
              </w:rPr>
              <w:t>8</w:t>
            </w:r>
          </w:p>
        </w:tc>
        <w:tc>
          <w:tcPr>
            <w:tcW w:w="1295"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6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eastAsia="仿宋_GB2312" w:cs="宋体"/>
                <w:kern w:val="0"/>
                <w:sz w:val="24"/>
                <w:lang w:val="en-US" w:eastAsia="zh-CN"/>
              </w:rPr>
              <w:t>哈力米拉</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723"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841"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bl>
    <w:p>
      <w:pPr>
        <w:ind w:firstLine="640" w:firstLineChars="200"/>
        <w:rPr>
          <w:rFonts w:ascii="Times New Roman" w:hAnsi="Times New Roman" w:eastAsia="仿宋_GB2312"/>
          <w:color w:val="auto"/>
          <w:sz w:val="32"/>
          <w:szCs w:val="32"/>
        </w:rPr>
      </w:pPr>
    </w:p>
    <w:p>
      <w:pPr>
        <w:pStyle w:val="12"/>
        <w:tabs>
          <w:tab w:val="right" w:leader="dot" w:pos="8302"/>
        </w:tabs>
        <w:spacing w:line="340" w:lineRule="exact"/>
        <w:rPr>
          <w:rFonts w:ascii="Times New Roman" w:hAnsi="Times New Roman" w:eastAsia="仿宋_GB2312" w:cs="宋体"/>
          <w:color w:val="auto"/>
          <w:sz w:val="24"/>
        </w:rPr>
      </w:pPr>
    </w:p>
    <w:p>
      <w:pPr>
        <w:pStyle w:val="12"/>
        <w:tabs>
          <w:tab w:val="right" w:leader="dot" w:pos="8302"/>
        </w:tabs>
        <w:spacing w:line="340" w:lineRule="exact"/>
        <w:jc w:val="center"/>
        <w:rPr>
          <w:rFonts w:hint="eastAsia" w:ascii="Times New Roman" w:hAnsi="Times New Roman" w:eastAsia="仿宋_GB2312" w:cs="黑体"/>
          <w:b/>
          <w:color w:val="auto"/>
          <w:sz w:val="36"/>
          <w:szCs w:val="36"/>
        </w:rPr>
      </w:pPr>
    </w:p>
    <w:p>
      <w:pPr>
        <w:pStyle w:val="12"/>
        <w:tabs>
          <w:tab w:val="right" w:leader="dot" w:pos="8302"/>
        </w:tabs>
        <w:spacing w:line="340" w:lineRule="exact"/>
        <w:jc w:val="center"/>
        <w:rPr>
          <w:rFonts w:hint="eastAsia" w:ascii="Times New Roman" w:hAnsi="Times New Roman" w:eastAsia="仿宋_GB2312" w:cs="黑体"/>
          <w:b/>
          <w:color w:val="auto"/>
          <w:sz w:val="36"/>
          <w:szCs w:val="36"/>
        </w:rPr>
      </w:pPr>
    </w:p>
    <w:p>
      <w:pPr>
        <w:pStyle w:val="12"/>
        <w:tabs>
          <w:tab w:val="right" w:leader="dot" w:pos="8302"/>
        </w:tabs>
        <w:spacing w:line="340" w:lineRule="exact"/>
        <w:jc w:val="center"/>
        <w:rPr>
          <w:rFonts w:hint="eastAsia" w:ascii="Times New Roman" w:hAnsi="Times New Roman" w:eastAsia="仿宋_GB2312" w:cs="黑体"/>
          <w:b/>
          <w:color w:val="auto"/>
          <w:sz w:val="36"/>
          <w:szCs w:val="36"/>
        </w:rPr>
      </w:pPr>
    </w:p>
    <w:p>
      <w:pPr>
        <w:pStyle w:val="12"/>
        <w:tabs>
          <w:tab w:val="right" w:leader="dot" w:pos="8302"/>
        </w:tabs>
        <w:spacing w:line="340" w:lineRule="exact"/>
        <w:jc w:val="center"/>
        <w:rPr>
          <w:rFonts w:hint="eastAsia" w:ascii="黑体" w:hAnsi="黑体" w:eastAsia="黑体" w:cs="黑体"/>
          <w:b/>
          <w:color w:val="auto"/>
          <w:sz w:val="36"/>
          <w:szCs w:val="36"/>
        </w:rPr>
        <w:sectPr>
          <w:footerReference r:id="rId6"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rPr>
          <w:rFonts w:hint="eastAsia"/>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360" w:lineRule="exact"/>
        <w:jc w:val="center"/>
        <w:textAlignment w:val="auto"/>
        <w:rPr>
          <w:rFonts w:hint="eastAsia" w:ascii="黑体" w:hAnsi="黑体" w:eastAsia="黑体" w:cs="黑体"/>
          <w:b/>
          <w:color w:val="auto"/>
          <w:sz w:val="36"/>
          <w:szCs w:val="36"/>
        </w:rPr>
      </w:pPr>
      <w:r>
        <w:rPr>
          <w:rFonts w:hint="eastAsia" w:ascii="黑体" w:hAnsi="黑体" w:eastAsia="黑体" w:cs="黑体"/>
          <w:b/>
          <w:color w:val="auto"/>
          <w:sz w:val="36"/>
          <w:szCs w:val="36"/>
        </w:rPr>
        <w:t>目录</w:t>
      </w:r>
    </w:p>
    <w:sdt>
      <w:sdtPr>
        <w:rPr>
          <w:rFonts w:ascii="Times New Roman" w:hAnsi="Times New Roman" w:eastAsia="仿宋_GB2312" w:cstheme="minorBidi"/>
          <w:color w:val="auto"/>
          <w:kern w:val="2"/>
          <w:sz w:val="24"/>
          <w:szCs w:val="24"/>
          <w:lang w:val="en-US" w:eastAsia="zh-CN" w:bidi="ar-SA"/>
        </w:rPr>
        <w:id w:val="147475025"/>
        <w15:color w:val="DBDBDB"/>
        <w:docPartObj>
          <w:docPartGallery w:val="Table of Contents"/>
          <w:docPartUnique/>
        </w:docPartObj>
      </w:sdtPr>
      <w:sdtEndPr>
        <w:rPr>
          <w:rFonts w:ascii="Times New Roman" w:hAnsi="Times New Roman" w:eastAsia="仿宋_GB2312" w:cstheme="minorBidi"/>
          <w:b w:val="0"/>
          <w:bCs w:val="0"/>
          <w:color w:val="auto"/>
          <w:kern w:val="2"/>
          <w:sz w:val="21"/>
          <w:szCs w:val="24"/>
          <w:highlight w:val="none"/>
          <w:lang w:val="en-US" w:eastAsia="zh-CN" w:bidi="ar-SA"/>
        </w:rPr>
      </w:sdtEndPr>
      <w:sdtContent>
        <w:p>
          <w:pPr>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rPr>
              <w:rFonts w:ascii="Times New Roman" w:hAnsi="Times New Roman" w:eastAsia="仿宋_GB2312" w:cstheme="minorBidi"/>
              <w:b w:val="0"/>
              <w:bCs w:val="0"/>
              <w:color w:val="auto"/>
              <w:kern w:val="2"/>
              <w:sz w:val="24"/>
              <w:szCs w:val="24"/>
              <w:highlight w:val="none"/>
              <w:lang w:val="en-US" w:eastAsia="zh-CN" w:bidi="ar-SA"/>
            </w:rPr>
          </w:pPr>
          <w:r>
            <w:rPr>
              <w:rFonts w:ascii="Times New Roman" w:hAnsi="Times New Roman" w:eastAsia="仿宋_GB2312"/>
              <w:b w:val="0"/>
              <w:bCs w:val="0"/>
              <w:color w:val="auto"/>
              <w:sz w:val="24"/>
              <w:szCs w:val="24"/>
              <w:highlight w:val="none"/>
            </w:rPr>
            <w:fldChar w:fldCharType="begin"/>
          </w:r>
          <w:r>
            <w:rPr>
              <w:rFonts w:ascii="Times New Roman" w:hAnsi="Times New Roman" w:eastAsia="仿宋_GB2312"/>
              <w:b w:val="0"/>
              <w:bCs w:val="0"/>
              <w:color w:val="auto"/>
              <w:sz w:val="24"/>
              <w:szCs w:val="24"/>
              <w:highlight w:val="none"/>
            </w:rPr>
            <w:instrText xml:space="preserve">TOC \o "1-2" \h \u </w:instrText>
          </w:r>
          <w:r>
            <w:rPr>
              <w:rFonts w:ascii="Times New Roman" w:hAnsi="Times New Roman" w:eastAsia="仿宋_GB2312"/>
              <w:b w:val="0"/>
              <w:bCs w:val="0"/>
              <w:color w:val="auto"/>
              <w:sz w:val="24"/>
              <w:szCs w:val="24"/>
              <w:highlight w:val="none"/>
            </w:rPr>
            <w:fldChar w:fldCharType="separate"/>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_Toc4671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bCs/>
              <w:szCs w:val="32"/>
            </w:rPr>
            <w:t>一、项目概述</w:t>
          </w:r>
          <w:r>
            <w:tab/>
          </w:r>
          <w:r>
            <w:fldChar w:fldCharType="begin"/>
          </w:r>
          <w:r>
            <w:instrText xml:space="preserve"> PAGEREF _Toc4671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_Toc11427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（一）项目基本情况</w:t>
          </w:r>
          <w:r>
            <w:tab/>
          </w:r>
          <w:r>
            <w:fldChar w:fldCharType="begin"/>
          </w:r>
          <w:r>
            <w:instrText xml:space="preserve"> PAGEREF _Toc11427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_Toc17641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（二）项目资金情况</w:t>
          </w:r>
          <w:r>
            <w:tab/>
          </w:r>
          <w:r>
            <w:fldChar w:fldCharType="begin"/>
          </w:r>
          <w:r>
            <w:instrText xml:space="preserve"> PAGEREF _Toc17641 \h </w:instrText>
          </w:r>
          <w:r>
            <w:fldChar w:fldCharType="separate"/>
          </w:r>
          <w:r>
            <w:t>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_Toc6195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（三）绩效目标设置情况</w:t>
          </w:r>
          <w:r>
            <w:tab/>
          </w:r>
          <w:r>
            <w:fldChar w:fldCharType="begin"/>
          </w:r>
          <w:r>
            <w:instrText xml:space="preserve"> PAGEREF _Toc6195 \h </w:instrText>
          </w:r>
          <w:r>
            <w:fldChar w:fldCharType="separate"/>
          </w:r>
          <w:r>
            <w:t>3</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_Toc4790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rPr>
            <w:t>二、评价工作简述</w:t>
          </w:r>
          <w:r>
            <w:tab/>
          </w:r>
          <w:r>
            <w:fldChar w:fldCharType="begin"/>
          </w:r>
          <w:r>
            <w:instrText xml:space="preserve"> PAGEREF _Toc4790 \h </w:instrText>
          </w:r>
          <w:r>
            <w:fldChar w:fldCharType="separate"/>
          </w:r>
          <w:r>
            <w:t>5</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_Toc11258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（一）评价目的</w:t>
          </w:r>
          <w:r>
            <w:tab/>
          </w:r>
          <w:r>
            <w:fldChar w:fldCharType="begin"/>
          </w:r>
          <w:r>
            <w:instrText xml:space="preserve"> PAGEREF _Toc11258 \h </w:instrText>
          </w:r>
          <w:r>
            <w:fldChar w:fldCharType="separate"/>
          </w:r>
          <w:r>
            <w:t>5</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_Toc8446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（二）绩效评价工作</w:t>
          </w:r>
          <w:r>
            <w:rPr>
              <w:rFonts w:hint="eastAsia" w:ascii="Times New Roman" w:hAnsi="Times New Roman" w:eastAsia="仿宋_GB2312" w:cs="宋体"/>
              <w:bCs/>
              <w:szCs w:val="32"/>
              <w:lang w:val="en-US" w:eastAsia="zh-CN"/>
            </w:rPr>
            <w:t>的基本</w:t>
          </w:r>
          <w:r>
            <w:rPr>
              <w:rFonts w:hint="eastAsia" w:ascii="Times New Roman" w:hAnsi="Times New Roman" w:eastAsia="仿宋_GB2312" w:cs="宋体"/>
              <w:bCs/>
              <w:szCs w:val="32"/>
            </w:rPr>
            <w:t>思路</w:t>
          </w:r>
          <w:r>
            <w:tab/>
          </w:r>
          <w:r>
            <w:fldChar w:fldCharType="begin"/>
          </w:r>
          <w:r>
            <w:instrText xml:space="preserve"> PAGEREF _Toc8446 \h </w:instrText>
          </w:r>
          <w:r>
            <w:fldChar w:fldCharType="separate"/>
          </w:r>
          <w:r>
            <w:t>6</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_Toc19773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（三）评价原则</w:t>
          </w:r>
          <w:r>
            <w:tab/>
          </w:r>
          <w:r>
            <w:fldChar w:fldCharType="begin"/>
          </w:r>
          <w:r>
            <w:instrText xml:space="preserve"> PAGEREF _Toc19773 \h </w:instrText>
          </w:r>
          <w:r>
            <w:fldChar w:fldCharType="separate"/>
          </w:r>
          <w:r>
            <w:t>6</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_Toc25927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（四）评价方法</w:t>
          </w:r>
          <w:r>
            <w:tab/>
          </w:r>
          <w:r>
            <w:fldChar w:fldCharType="begin"/>
          </w:r>
          <w:r>
            <w:instrText xml:space="preserve"> PAGEREF _Toc25927 \h </w:instrText>
          </w:r>
          <w:r>
            <w:fldChar w:fldCharType="separate"/>
          </w:r>
          <w:r>
            <w:t>8</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_Toc5000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（五） 指标体系</w:t>
          </w:r>
          <w:r>
            <w:tab/>
          </w:r>
          <w:r>
            <w:fldChar w:fldCharType="begin"/>
          </w:r>
          <w:r>
            <w:instrText xml:space="preserve"> PAGEREF _Toc5000 \h </w:instrText>
          </w:r>
          <w:r>
            <w:fldChar w:fldCharType="separate"/>
          </w:r>
          <w:r>
            <w:t>8</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_Toc24973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（六）评价等级划分</w:t>
          </w:r>
          <w:r>
            <w:tab/>
          </w:r>
          <w:r>
            <w:fldChar w:fldCharType="begin"/>
          </w:r>
          <w:r>
            <w:instrText xml:space="preserve"> PAGEREF _Toc24973 \h </w:instrText>
          </w:r>
          <w:r>
            <w:fldChar w:fldCharType="separate"/>
          </w:r>
          <w:r>
            <w:t>8</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_Toc12476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（七）评价工作实施情况</w:t>
          </w:r>
          <w:r>
            <w:tab/>
          </w:r>
          <w:r>
            <w:fldChar w:fldCharType="begin"/>
          </w:r>
          <w:r>
            <w:instrText xml:space="preserve"> PAGEREF _Toc12476 \h </w:instrText>
          </w:r>
          <w:r>
            <w:fldChar w:fldCharType="separate"/>
          </w:r>
          <w:r>
            <w:t>10</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_Toc11911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三、绩效评价分析</w:t>
          </w:r>
          <w:r>
            <w:tab/>
          </w:r>
          <w:r>
            <w:fldChar w:fldCharType="begin"/>
          </w:r>
          <w:r>
            <w:instrText xml:space="preserve"> PAGEREF _Toc11911 \h </w:instrText>
          </w:r>
          <w:r>
            <w:fldChar w:fldCharType="separate"/>
          </w:r>
          <w:r>
            <w:t>11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_Toc21963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（一）项目决策分析</w:t>
          </w:r>
          <w:r>
            <w:tab/>
          </w:r>
          <w:r>
            <w:fldChar w:fldCharType="begin"/>
          </w:r>
          <w:r>
            <w:instrText xml:space="preserve"> PAGEREF _Toc21963 \h </w:instrText>
          </w:r>
          <w:r>
            <w:fldChar w:fldCharType="separate"/>
          </w:r>
          <w:r>
            <w:t>11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_Toc5632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（二）项目管理</w:t>
          </w:r>
          <w:r>
            <w:rPr>
              <w:rFonts w:hint="eastAsia" w:ascii="Times New Roman" w:hAnsi="Times New Roman" w:eastAsia="仿宋_GB2312" w:cs="宋体"/>
              <w:bCs/>
              <w:szCs w:val="32"/>
              <w:lang w:val="en-US" w:eastAsia="zh-CN"/>
            </w:rPr>
            <w:t>过程</w:t>
          </w:r>
          <w:r>
            <w:rPr>
              <w:rFonts w:hint="eastAsia" w:ascii="Times New Roman" w:hAnsi="Times New Roman" w:eastAsia="仿宋_GB2312" w:cs="宋体"/>
              <w:bCs/>
              <w:szCs w:val="32"/>
            </w:rPr>
            <w:t>情况分析</w:t>
          </w:r>
          <w:r>
            <w:tab/>
          </w:r>
          <w:r>
            <w:fldChar w:fldCharType="begin"/>
          </w:r>
          <w:r>
            <w:instrText xml:space="preserve"> PAGEREF _Toc5632 \h </w:instrText>
          </w:r>
          <w:r>
            <w:fldChar w:fldCharType="separate"/>
          </w:r>
          <w:r>
            <w:t>15</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_Toc11154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w:t>
          </w:r>
          <w:r>
            <w:rPr>
              <w:rFonts w:hint="eastAsia" w:ascii="Times New Roman" w:hAnsi="Times New Roman" w:eastAsia="仿宋_GB2312" w:cs="宋体"/>
              <w:bCs/>
              <w:szCs w:val="32"/>
              <w:lang w:val="en-US" w:eastAsia="zh-CN"/>
            </w:rPr>
            <w:t>三</w:t>
          </w:r>
          <w:r>
            <w:rPr>
              <w:rFonts w:hint="eastAsia" w:ascii="Times New Roman" w:hAnsi="Times New Roman" w:eastAsia="仿宋_GB2312" w:cs="宋体"/>
              <w:bCs/>
              <w:szCs w:val="32"/>
            </w:rPr>
            <w:t>）项目</w:t>
          </w:r>
          <w:r>
            <w:rPr>
              <w:rFonts w:hint="eastAsia" w:ascii="Times New Roman" w:hAnsi="Times New Roman" w:eastAsia="仿宋_GB2312" w:cs="宋体"/>
              <w:bCs/>
              <w:szCs w:val="32"/>
              <w:lang w:val="en-US" w:eastAsia="zh-CN"/>
            </w:rPr>
            <w:t>产出</w:t>
          </w:r>
          <w:r>
            <w:rPr>
              <w:rFonts w:hint="eastAsia" w:ascii="Times New Roman" w:hAnsi="Times New Roman" w:eastAsia="仿宋_GB2312" w:cs="宋体"/>
              <w:bCs/>
              <w:szCs w:val="32"/>
            </w:rPr>
            <w:t>情况分析</w:t>
          </w:r>
          <w:r>
            <w:tab/>
          </w:r>
          <w:r>
            <w:fldChar w:fldCharType="begin"/>
          </w:r>
          <w:r>
            <w:instrText xml:space="preserve"> PAGEREF _Toc11154 \h </w:instrText>
          </w:r>
          <w:r>
            <w:fldChar w:fldCharType="separate"/>
          </w:r>
          <w:r>
            <w:t>18</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_Toc15941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lang w:val="en-US" w:eastAsia="zh-CN"/>
            </w:rPr>
            <w:t>（四）项目效益评价分析</w:t>
          </w:r>
          <w:r>
            <w:tab/>
          </w:r>
          <w:r>
            <w:fldChar w:fldCharType="begin"/>
          </w:r>
          <w:r>
            <w:instrText xml:space="preserve"> PAGEREF _Toc15941 \h </w:instrText>
          </w:r>
          <w:r>
            <w:fldChar w:fldCharType="separate"/>
          </w:r>
          <w:r>
            <w:t>19</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_Toc9350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lang w:val="en-US" w:eastAsia="zh-CN"/>
            </w:rPr>
            <w:t>四、</w:t>
          </w:r>
          <w:r>
            <w:rPr>
              <w:rFonts w:hint="eastAsia" w:ascii="方正黑体_GBK" w:hAnsi="方正黑体_GBK" w:eastAsia="方正黑体_GBK" w:cs="方正黑体_GBK"/>
              <w:szCs w:val="32"/>
              <w:highlight w:val="none"/>
            </w:rPr>
            <w:t>评价结论</w:t>
          </w:r>
          <w:r>
            <w:tab/>
          </w:r>
          <w:r>
            <w:fldChar w:fldCharType="begin"/>
          </w:r>
          <w:r>
            <w:instrText xml:space="preserve"> PAGEREF _Toc9350 \h </w:instrText>
          </w:r>
          <w:r>
            <w:fldChar w:fldCharType="separate"/>
          </w:r>
          <w:r>
            <w:t>19</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_Toc21354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（一）评分结果</w:t>
          </w:r>
          <w:r>
            <w:tab/>
          </w:r>
          <w:r>
            <w:fldChar w:fldCharType="begin"/>
          </w:r>
          <w:r>
            <w:instrText xml:space="preserve"> PAGEREF _Toc21354 \h </w:instrText>
          </w:r>
          <w:r>
            <w:fldChar w:fldCharType="separate"/>
          </w:r>
          <w:r>
            <w:t>19</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_Toc19510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（二）项目总体评价结论</w:t>
          </w:r>
          <w:r>
            <w:tab/>
          </w:r>
          <w:r>
            <w:fldChar w:fldCharType="begin"/>
          </w:r>
          <w:r>
            <w:instrText xml:space="preserve"> PAGEREF _Toc19510 \h </w:instrText>
          </w:r>
          <w:r>
            <w:fldChar w:fldCharType="separate"/>
          </w:r>
          <w:r>
            <w:rPr>
              <w:b/>
            </w:rPr>
            <w:t>错误！未定义书签。</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_Toc4634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五、建议的问题</w:t>
          </w:r>
          <w:r>
            <w:tab/>
          </w:r>
          <w:r>
            <w:fldChar w:fldCharType="begin"/>
          </w:r>
          <w:r>
            <w:instrText xml:space="preserve"> PAGEREF _Toc4634 \h </w:instrText>
          </w:r>
          <w:r>
            <w:fldChar w:fldCharType="separate"/>
          </w:r>
          <w:r>
            <w:t>20</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_Toc11657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（一）问题</w:t>
          </w:r>
          <w:r>
            <w:tab/>
          </w:r>
          <w:r>
            <w:fldChar w:fldCharType="begin"/>
          </w:r>
          <w:r>
            <w:instrText xml:space="preserve"> PAGEREF _Toc11657 \h </w:instrText>
          </w:r>
          <w:r>
            <w:fldChar w:fldCharType="separate"/>
          </w:r>
          <w:r>
            <w:t>20</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_Toc17735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二</w:t>
          </w:r>
          <w:r>
            <w:rPr>
              <w:rFonts w:hint="eastAsia" w:ascii="Times New Roman" w:hAnsi="Times New Roman" w:eastAsia="仿宋_GB2312" w:cs="宋体"/>
              <w:bCs/>
              <w:szCs w:val="32"/>
              <w:highlight w:val="none"/>
            </w:rPr>
            <w:t>）意见和建议</w:t>
          </w:r>
          <w:r>
            <w:tab/>
          </w:r>
          <w:r>
            <w:fldChar w:fldCharType="begin"/>
          </w:r>
          <w:r>
            <w:instrText xml:space="preserve"> PAGEREF _Toc17735 \h </w:instrText>
          </w:r>
          <w:r>
            <w:fldChar w:fldCharType="separate"/>
          </w:r>
          <w:r>
            <w:t>20</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_Toc26541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六、主要经验及做法</w:t>
          </w:r>
          <w:r>
            <w:tab/>
          </w:r>
          <w:r>
            <w:fldChar w:fldCharType="begin"/>
          </w:r>
          <w:r>
            <w:instrText xml:space="preserve"> PAGEREF _Toc26541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_Toc9154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（一）项目实施过程有效</w:t>
          </w:r>
          <w:r>
            <w:rPr>
              <w:rFonts w:hint="eastAsia" w:ascii="Times New Roman" w:hAnsi="Times New Roman" w:eastAsia="仿宋_GB2312" w:cs="宋体"/>
              <w:bCs/>
              <w:szCs w:val="32"/>
              <w:lang w:val="en-US" w:eastAsia="zh-CN"/>
            </w:rPr>
            <w:t>监督</w:t>
          </w:r>
          <w:r>
            <w:tab/>
          </w:r>
          <w:r>
            <w:fldChar w:fldCharType="begin"/>
          </w:r>
          <w:r>
            <w:instrText xml:space="preserve"> PAGEREF _Toc9154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_Toc22794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（二）强化领导，明确职责，合理安排使用资金</w:t>
          </w:r>
          <w:r>
            <w:tab/>
          </w:r>
          <w:r>
            <w:fldChar w:fldCharType="begin"/>
          </w:r>
          <w:r>
            <w:instrText xml:space="preserve"> PAGEREF _Toc22794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szCs w:val="24"/>
              <w:highlight w:val="none"/>
            </w:rPr>
            <w:instrText xml:space="preserve"> HYPERLINK \l _Toc5434 </w:instrText>
          </w:r>
          <w:r>
            <w:rPr>
              <w:rFonts w:hint="eastAsia" w:ascii="方正黑体_GBK" w:hAnsi="方正黑体_GBK" w:eastAsia="方正黑体_GBK" w:cs="方正黑体_GBK"/>
              <w:bCs w:val="0"/>
              <w:szCs w:val="24"/>
              <w:highlight w:val="none"/>
            </w:rPr>
            <w:fldChar w:fldCharType="separate"/>
          </w:r>
          <w:r>
            <w:rPr>
              <w:rFonts w:hint="eastAsia" w:ascii="方正黑体_GBK" w:hAnsi="方正黑体_GBK" w:eastAsia="方正黑体_GBK" w:cs="方正黑体_GBK"/>
              <w:bCs/>
              <w:szCs w:val="32"/>
            </w:rPr>
            <w:t>七、评价结果应用建议</w:t>
          </w:r>
          <w:r>
            <w:rPr>
              <w:rFonts w:hint="eastAsia" w:ascii="方正黑体_GBK" w:hAnsi="方正黑体_GBK" w:eastAsia="方正黑体_GBK" w:cs="方正黑体_GBK"/>
            </w:rPr>
            <w:tab/>
          </w:r>
          <w:r>
            <w:rPr>
              <w:rFonts w:hint="eastAsia" w:ascii="方正黑体_GBK" w:hAnsi="方正黑体_GBK" w:eastAsia="方正黑体_GBK" w:cs="方正黑体_GBK"/>
            </w:rPr>
            <w:fldChar w:fldCharType="begin"/>
          </w:r>
          <w:r>
            <w:rPr>
              <w:rFonts w:hint="eastAsia" w:ascii="方正黑体_GBK" w:hAnsi="方正黑体_GBK" w:eastAsia="方正黑体_GBK" w:cs="方正黑体_GBK"/>
            </w:rPr>
            <w:instrText xml:space="preserve"> PAGEREF _Toc5434 \h </w:instrText>
          </w:r>
          <w:r>
            <w:rPr>
              <w:rFonts w:hint="eastAsia" w:ascii="方正黑体_GBK" w:hAnsi="方正黑体_GBK" w:eastAsia="方正黑体_GBK" w:cs="方正黑体_GBK"/>
            </w:rPr>
            <w:fldChar w:fldCharType="separate"/>
          </w:r>
          <w:r>
            <w:rPr>
              <w:rFonts w:hint="eastAsia" w:ascii="方正黑体_GBK" w:hAnsi="方正黑体_GBK" w:eastAsia="方正黑体_GBK" w:cs="方正黑体_GBK"/>
            </w:rPr>
            <w:t>21</w:t>
          </w:r>
          <w:r>
            <w:rPr>
              <w:rFonts w:hint="eastAsia" w:ascii="方正黑体_GBK" w:hAnsi="方正黑体_GBK" w:eastAsia="方正黑体_GBK" w:cs="方正黑体_GBK"/>
            </w:rPr>
            <w:fldChar w:fldCharType="end"/>
          </w:r>
          <w:r>
            <w:rPr>
              <w:rFonts w:hint="eastAsia" w:ascii="方正黑体_GBK" w:hAnsi="方正黑体_GBK" w:eastAsia="方正黑体_GBK" w:cs="方正黑体_GBK"/>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_Toc22942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（一）及时对发现的问题进行整改</w:t>
          </w:r>
          <w:r>
            <w:tab/>
          </w:r>
          <w:r>
            <w:fldChar w:fldCharType="begin"/>
          </w:r>
          <w:r>
            <w:instrText xml:space="preserve"> PAGEREF _Toc22942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_Toc21397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（二） 建立绩效评价结果应用制度</w:t>
          </w:r>
          <w:r>
            <w:tab/>
          </w:r>
          <w:r>
            <w:fldChar w:fldCharType="begin"/>
          </w:r>
          <w:r>
            <w:instrText xml:space="preserve"> PAGEREF _Toc21397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_Toc7306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（三）</w:t>
          </w:r>
          <w:r>
            <w:rPr>
              <w:rFonts w:hint="eastAsia" w:ascii="Times New Roman" w:hAnsi="Times New Roman" w:eastAsia="仿宋_GB2312" w:cs="Times New Roman"/>
              <w:bCs/>
              <w:szCs w:val="32"/>
              <w:lang w:val="en-US" w:eastAsia="zh-CN"/>
            </w:rPr>
            <w:t>强化</w:t>
          </w:r>
          <w:r>
            <w:rPr>
              <w:rFonts w:hint="eastAsia" w:ascii="Times New Roman" w:hAnsi="Times New Roman" w:eastAsia="仿宋_GB2312" w:cs="Times New Roman"/>
              <w:bCs/>
              <w:szCs w:val="32"/>
            </w:rPr>
            <w:t>绩效评价结果应用</w:t>
          </w:r>
          <w:r>
            <w:tab/>
          </w:r>
          <w:r>
            <w:fldChar w:fldCharType="begin"/>
          </w:r>
          <w:r>
            <w:instrText xml:space="preserve"> PAGEREF _Toc7306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_Toc28400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（四）评价结果公开</w:t>
          </w:r>
          <w:r>
            <w:tab/>
          </w:r>
          <w:r>
            <w:fldChar w:fldCharType="begin"/>
          </w:r>
          <w:r>
            <w:instrText xml:space="preserve"> PAGEREF _Toc28400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rPr>
              <w:rFonts w:hint="eastAsia" w:ascii="方正黑体_GBK" w:hAnsi="方正黑体_GBK" w:eastAsia="方正黑体_GBK" w:cs="方正黑体_GBK"/>
            </w:rPr>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szCs w:val="24"/>
              <w:highlight w:val="none"/>
            </w:rPr>
            <w:instrText xml:space="preserve"> HYPERLINK \l _Toc11417 </w:instrText>
          </w:r>
          <w:r>
            <w:rPr>
              <w:rFonts w:hint="eastAsia" w:ascii="方正黑体_GBK" w:hAnsi="方正黑体_GBK" w:eastAsia="方正黑体_GBK" w:cs="方正黑体_GBK"/>
              <w:bCs w:val="0"/>
              <w:szCs w:val="24"/>
              <w:highlight w:val="none"/>
            </w:rPr>
            <w:fldChar w:fldCharType="separate"/>
          </w:r>
          <w:r>
            <w:rPr>
              <w:rFonts w:hint="eastAsia" w:ascii="方正黑体_GBK" w:hAnsi="方正黑体_GBK" w:eastAsia="方正黑体_GBK" w:cs="方正黑体_GBK"/>
              <w:bCs/>
              <w:szCs w:val="32"/>
              <w:lang w:val="en-US" w:eastAsia="zh-CN"/>
            </w:rPr>
            <w:t>八、</w:t>
          </w:r>
          <w:r>
            <w:rPr>
              <w:rFonts w:hint="eastAsia" w:ascii="方正黑体_GBK" w:hAnsi="方正黑体_GBK" w:eastAsia="方正黑体_GBK" w:cs="方正黑体_GBK"/>
              <w:bCs/>
              <w:szCs w:val="32"/>
              <w:lang w:eastAsia="zh-CN"/>
            </w:rPr>
            <w:t>其他需要说明的问题</w:t>
          </w:r>
          <w:r>
            <w:rPr>
              <w:rFonts w:hint="eastAsia" w:ascii="方正黑体_GBK" w:hAnsi="方正黑体_GBK" w:eastAsia="方正黑体_GBK" w:cs="方正黑体_GBK"/>
            </w:rPr>
            <w:tab/>
          </w:r>
          <w:r>
            <w:rPr>
              <w:rFonts w:hint="eastAsia" w:ascii="方正黑体_GBK" w:hAnsi="方正黑体_GBK" w:eastAsia="方正黑体_GBK" w:cs="方正黑体_GBK"/>
            </w:rPr>
            <w:fldChar w:fldCharType="begin"/>
          </w:r>
          <w:r>
            <w:rPr>
              <w:rFonts w:hint="eastAsia" w:ascii="方正黑体_GBK" w:hAnsi="方正黑体_GBK" w:eastAsia="方正黑体_GBK" w:cs="方正黑体_GBK"/>
            </w:rPr>
            <w:instrText xml:space="preserve"> PAGEREF _Toc11417 \h </w:instrText>
          </w:r>
          <w:r>
            <w:rPr>
              <w:rFonts w:hint="eastAsia" w:ascii="方正黑体_GBK" w:hAnsi="方正黑体_GBK" w:eastAsia="方正黑体_GBK" w:cs="方正黑体_GBK"/>
            </w:rPr>
            <w:fldChar w:fldCharType="separate"/>
          </w:r>
          <w:r>
            <w:rPr>
              <w:rFonts w:hint="eastAsia" w:ascii="方正黑体_GBK" w:hAnsi="方正黑体_GBK" w:eastAsia="方正黑体_GBK" w:cs="方正黑体_GBK"/>
            </w:rPr>
            <w:t>23</w:t>
          </w:r>
          <w:r>
            <w:rPr>
              <w:rFonts w:hint="eastAsia" w:ascii="方正黑体_GBK" w:hAnsi="方正黑体_GBK" w:eastAsia="方正黑体_GBK" w:cs="方正黑体_GBK"/>
            </w:rPr>
            <w:fldChar w:fldCharType="end"/>
          </w:r>
          <w:r>
            <w:rPr>
              <w:rFonts w:hint="eastAsia" w:ascii="方正黑体_GBK" w:hAnsi="方正黑体_GBK" w:eastAsia="方正黑体_GBK" w:cs="方正黑体_GBK"/>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szCs w:val="24"/>
              <w:highlight w:val="none"/>
            </w:rPr>
            <w:instrText xml:space="preserve"> HYPERLINK \l _Toc24321 </w:instrText>
          </w:r>
          <w:r>
            <w:rPr>
              <w:rFonts w:hint="eastAsia" w:ascii="方正黑体_GBK" w:hAnsi="方正黑体_GBK" w:eastAsia="方正黑体_GBK" w:cs="方正黑体_GBK"/>
              <w:bCs w:val="0"/>
              <w:szCs w:val="24"/>
              <w:highlight w:val="none"/>
            </w:rPr>
            <w:fldChar w:fldCharType="separate"/>
          </w:r>
          <w:r>
            <w:rPr>
              <w:rFonts w:hint="eastAsia" w:ascii="方正黑体_GBK" w:hAnsi="方正黑体_GBK" w:eastAsia="方正黑体_GBK" w:cs="方正黑体_GBK"/>
              <w:bCs/>
              <w:szCs w:val="32"/>
            </w:rPr>
            <w:t>九、附件</w:t>
          </w:r>
          <w:r>
            <w:rPr>
              <w:rFonts w:hint="eastAsia" w:ascii="方正黑体_GBK" w:hAnsi="方正黑体_GBK" w:eastAsia="方正黑体_GBK" w:cs="方正黑体_GBK"/>
            </w:rPr>
            <w:tab/>
          </w:r>
          <w:r>
            <w:rPr>
              <w:rFonts w:hint="eastAsia" w:ascii="方正黑体_GBK" w:hAnsi="方正黑体_GBK" w:eastAsia="方正黑体_GBK" w:cs="方正黑体_GBK"/>
            </w:rPr>
            <w:fldChar w:fldCharType="begin"/>
          </w:r>
          <w:r>
            <w:rPr>
              <w:rFonts w:hint="eastAsia" w:ascii="方正黑体_GBK" w:hAnsi="方正黑体_GBK" w:eastAsia="方正黑体_GBK" w:cs="方正黑体_GBK"/>
            </w:rPr>
            <w:instrText xml:space="preserve"> PAGEREF _Toc24321 \h </w:instrText>
          </w:r>
          <w:r>
            <w:rPr>
              <w:rFonts w:hint="eastAsia" w:ascii="方正黑体_GBK" w:hAnsi="方正黑体_GBK" w:eastAsia="方正黑体_GBK" w:cs="方正黑体_GBK"/>
            </w:rPr>
            <w:fldChar w:fldCharType="separate"/>
          </w:r>
          <w:r>
            <w:rPr>
              <w:rFonts w:hint="eastAsia" w:ascii="方正黑体_GBK" w:hAnsi="方正黑体_GBK" w:eastAsia="方正黑体_GBK" w:cs="方正黑体_GBK"/>
            </w:rPr>
            <w:t>24</w:t>
          </w:r>
          <w:r>
            <w:rPr>
              <w:rFonts w:hint="eastAsia" w:ascii="方正黑体_GBK" w:hAnsi="方正黑体_GBK" w:eastAsia="方正黑体_GBK" w:cs="方正黑体_GBK"/>
            </w:rPr>
            <w:fldChar w:fldCharType="end"/>
          </w:r>
          <w:r>
            <w:rPr>
              <w:rFonts w:hint="eastAsia" w:ascii="方正黑体_GBK" w:hAnsi="方正黑体_GBK" w:eastAsia="方正黑体_GBK" w:cs="方正黑体_GBK"/>
              <w:bCs w:val="0"/>
              <w:color w:val="auto"/>
              <w:szCs w:val="24"/>
              <w:highlight w:val="none"/>
            </w:rPr>
            <w:fldChar w:fldCharType="end"/>
          </w:r>
        </w:p>
        <w:p>
          <w:pPr>
            <w:spacing w:before="0" w:beforeLines="0" w:after="0" w:afterLines="0" w:line="240" w:lineRule="auto"/>
            <w:ind w:left="0" w:leftChars="0" w:right="0" w:rightChars="0" w:firstLine="0" w:firstLineChars="0"/>
            <w:jc w:val="center"/>
            <w:rPr>
              <w:rFonts w:ascii="Times New Roman" w:hAnsi="Times New Roman" w:eastAsia="仿宋_GB2312"/>
              <w:b w:val="0"/>
              <w:bCs w:val="0"/>
              <w:color w:val="auto"/>
              <w:highlight w:val="none"/>
            </w:rPr>
          </w:pPr>
          <w:r>
            <w:rPr>
              <w:rFonts w:ascii="Times New Roman" w:hAnsi="Times New Roman" w:eastAsia="仿宋_GB2312"/>
              <w:b w:val="0"/>
              <w:bCs w:val="0"/>
              <w:color w:val="auto"/>
              <w:sz w:val="24"/>
              <w:szCs w:val="24"/>
              <w:highlight w:val="none"/>
            </w:rPr>
            <w:fldChar w:fldCharType="end"/>
          </w:r>
        </w:p>
      </w:sdtContent>
    </w:sdt>
    <w:p>
      <w:pPr>
        <w:spacing w:line="600" w:lineRule="exact"/>
        <w:jc w:val="center"/>
        <w:outlineLvl w:val="0"/>
        <w:rPr>
          <w:rFonts w:hint="eastAsia" w:ascii="方正黑体_GBK" w:hAnsi="方正黑体_GBK" w:eastAsia="方正黑体_GBK" w:cs="方正黑体_GBK"/>
          <w:b w:val="0"/>
          <w:bCs w:val="0"/>
          <w:color w:val="auto"/>
          <w:sz w:val="44"/>
          <w:szCs w:val="44"/>
          <w:lang w:val="en-US" w:eastAsia="zh-CN"/>
        </w:rPr>
        <w:sectPr>
          <w:footerReference r:id="rId7"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9" w:name="_Toc23072"/>
      <w:bookmarkStart w:id="10" w:name="_Toc5098"/>
      <w:bookmarkStart w:id="11" w:name="_Toc24217"/>
      <w:bookmarkStart w:id="12" w:name="_Toc27417"/>
      <w:bookmarkStart w:id="13" w:name="_Toc7526"/>
      <w:bookmarkStart w:id="14" w:name="_Toc18259"/>
      <w:bookmarkStart w:id="15" w:name="_Toc14396"/>
      <w:bookmarkStart w:id="16" w:name="_Toc17237"/>
      <w:bookmarkStart w:id="17" w:name="_Toc27835"/>
      <w:bookmarkStart w:id="18" w:name="_Toc16603"/>
      <w:bookmarkStart w:id="19" w:name="_Toc18687"/>
      <w:bookmarkStart w:id="20" w:name="_Toc7613"/>
    </w:p>
    <w:p>
      <w:pPr>
        <w:spacing w:line="600" w:lineRule="exact"/>
        <w:jc w:val="center"/>
        <w:outlineLvl w:val="0"/>
        <w:rPr>
          <w:rFonts w:hint="eastAsia" w:ascii="方正黑体_GBK" w:hAnsi="方正黑体_GBK" w:eastAsia="方正黑体_GBK" w:cs="方正黑体_GBK"/>
          <w:b w:val="0"/>
          <w:bCs w:val="0"/>
          <w:color w:val="auto"/>
          <w:sz w:val="44"/>
          <w:szCs w:val="44"/>
        </w:rPr>
      </w:pPr>
      <w:r>
        <w:rPr>
          <w:rFonts w:hint="eastAsia" w:ascii="方正黑体_GBK" w:hAnsi="方正黑体_GBK" w:eastAsia="方正黑体_GBK" w:cs="方正黑体_GBK"/>
          <w:b w:val="0"/>
          <w:bCs w:val="0"/>
          <w:color w:val="auto"/>
          <w:sz w:val="44"/>
          <w:szCs w:val="44"/>
          <w:lang w:val="en-US" w:eastAsia="zh-CN"/>
        </w:rPr>
        <w:t>疏附县</w:t>
      </w:r>
      <w:bookmarkEnd w:id="9"/>
      <w:bookmarkEnd w:id="10"/>
      <w:bookmarkEnd w:id="11"/>
      <w:bookmarkEnd w:id="12"/>
      <w:bookmarkEnd w:id="13"/>
      <w:bookmarkEnd w:id="14"/>
      <w:bookmarkEnd w:id="15"/>
      <w:bookmarkEnd w:id="16"/>
      <w:bookmarkEnd w:id="17"/>
      <w:bookmarkStart w:id="21" w:name="_Toc7636"/>
      <w:bookmarkStart w:id="22" w:name="_Toc12923"/>
      <w:bookmarkStart w:id="23" w:name="_Toc24347"/>
      <w:bookmarkStart w:id="24" w:name="_Toc19311"/>
      <w:bookmarkStart w:id="25" w:name="_Toc29218"/>
      <w:bookmarkStart w:id="26" w:name="_Toc14725"/>
      <w:bookmarkStart w:id="27" w:name="_Toc28273"/>
      <w:bookmarkStart w:id="28" w:name="_Toc31819"/>
      <w:bookmarkStart w:id="29" w:name="_Toc1397"/>
      <w:r>
        <w:rPr>
          <w:rFonts w:hint="eastAsia" w:ascii="方正黑体_GBK" w:hAnsi="方正黑体_GBK" w:eastAsia="方正黑体_GBK" w:cs="方正黑体_GBK"/>
          <w:b w:val="0"/>
          <w:bCs w:val="0"/>
          <w:color w:val="auto"/>
          <w:sz w:val="44"/>
          <w:szCs w:val="44"/>
          <w:lang w:val="en-US" w:eastAsia="zh-CN"/>
        </w:rPr>
        <w:t>生态护林员补助项目</w:t>
      </w:r>
      <w:r>
        <w:rPr>
          <w:rFonts w:hint="eastAsia" w:ascii="方正黑体_GBK" w:hAnsi="方正黑体_GBK" w:eastAsia="方正黑体_GBK" w:cs="方正黑体_GBK"/>
          <w:b w:val="0"/>
          <w:bCs w:val="0"/>
          <w:color w:val="auto"/>
          <w:sz w:val="44"/>
          <w:szCs w:val="44"/>
        </w:rPr>
        <w:t>绩效评价报告</w:t>
      </w:r>
      <w:bookmarkEnd w:id="18"/>
      <w:bookmarkEnd w:id="19"/>
      <w:bookmarkEnd w:id="20"/>
      <w:bookmarkEnd w:id="21"/>
      <w:bookmarkEnd w:id="22"/>
      <w:bookmarkEnd w:id="23"/>
      <w:bookmarkEnd w:id="24"/>
      <w:bookmarkEnd w:id="25"/>
      <w:bookmarkEnd w:id="26"/>
      <w:bookmarkEnd w:id="27"/>
      <w:bookmarkEnd w:id="28"/>
      <w:bookmarkEnd w:id="29"/>
    </w:p>
    <w:p>
      <w:pPr>
        <w:adjustRightInd w:val="0"/>
        <w:snapToGrid w:val="0"/>
        <w:spacing w:line="560" w:lineRule="exact"/>
        <w:ind w:firstLine="643" w:firstLineChars="200"/>
        <w:jc w:val="left"/>
        <w:outlineLvl w:val="0"/>
        <w:rPr>
          <w:rFonts w:hint="eastAsia" w:ascii="方正黑体_GBK" w:hAnsi="方正黑体_GBK" w:eastAsia="方正黑体_GBK" w:cs="方正黑体_GBK"/>
          <w:b/>
          <w:bCs/>
          <w:color w:val="auto"/>
          <w:sz w:val="32"/>
          <w:szCs w:val="32"/>
        </w:rPr>
      </w:pPr>
      <w:bookmarkStart w:id="30" w:name="_Toc4671"/>
      <w:r>
        <w:rPr>
          <w:rFonts w:hint="eastAsia" w:ascii="方正黑体_GBK" w:hAnsi="方正黑体_GBK" w:eastAsia="方正黑体_GBK" w:cs="方正黑体_GBK"/>
          <w:b/>
          <w:bCs/>
          <w:color w:val="auto"/>
          <w:sz w:val="32"/>
          <w:szCs w:val="32"/>
        </w:rPr>
        <w:t>一、项目概述</w:t>
      </w:r>
      <w:bookmarkEnd w:id="30"/>
    </w:p>
    <w:p>
      <w:pPr>
        <w:pStyle w:val="30"/>
        <w:numPr>
          <w:ilvl w:val="0"/>
          <w:numId w:val="3"/>
        </w:numPr>
        <w:adjustRightInd w:val="0"/>
        <w:snapToGrid w:val="0"/>
        <w:spacing w:line="560" w:lineRule="exact"/>
        <w:ind w:left="0" w:firstLine="643"/>
        <w:rPr>
          <w:rFonts w:ascii="Times New Roman" w:hAnsi="Times New Roman" w:eastAsia="仿宋_GB2312" w:cs="宋体"/>
          <w:b/>
          <w:bCs/>
          <w:vanish/>
          <w:color w:val="0000FF"/>
          <w:sz w:val="32"/>
          <w:szCs w:val="32"/>
        </w:rPr>
      </w:pPr>
      <w:bookmarkStart w:id="31" w:name="_Hlk24028365"/>
      <w:r>
        <w:rPr>
          <w:rFonts w:hint="eastAsia" w:ascii="Times New Roman" w:hAnsi="Times New Roman" w:eastAsia="仿宋_GB2312" w:cs="宋体"/>
          <w:b/>
          <w:bCs/>
          <w:vanish/>
          <w:color w:val="0000FF"/>
          <w:sz w:val="32"/>
          <w:szCs w:val="32"/>
        </w:rPr>
        <w:t>项目概述</w:t>
      </w:r>
    </w:p>
    <w:p>
      <w:pPr>
        <w:pStyle w:val="30"/>
        <w:adjustRightInd w:val="0"/>
        <w:snapToGrid w:val="0"/>
        <w:spacing w:line="560" w:lineRule="exact"/>
        <w:ind w:left="420" w:leftChars="200" w:firstLine="321" w:firstLineChars="100"/>
        <w:outlineLvl w:val="1"/>
        <w:rPr>
          <w:rFonts w:hint="eastAsia" w:ascii="方正楷体_GBK" w:hAnsi="方正楷体_GBK" w:eastAsia="方正楷体_GBK" w:cs="方正楷体_GBK"/>
          <w:b/>
          <w:bCs/>
          <w:color w:val="auto"/>
          <w:sz w:val="32"/>
          <w:szCs w:val="32"/>
          <w:highlight w:val="none"/>
        </w:rPr>
      </w:pPr>
      <w:bookmarkStart w:id="32" w:name="_Toc11427"/>
      <w:r>
        <w:rPr>
          <w:rFonts w:hint="eastAsia" w:ascii="方正楷体_GBK" w:hAnsi="方正楷体_GBK" w:eastAsia="方正楷体_GBK" w:cs="方正楷体_GBK"/>
          <w:b/>
          <w:bCs/>
          <w:color w:val="auto"/>
          <w:sz w:val="32"/>
          <w:szCs w:val="32"/>
          <w:highlight w:val="none"/>
        </w:rPr>
        <w:t>（一）项目基本情况</w:t>
      </w:r>
      <w:bookmarkEnd w:id="32"/>
    </w:p>
    <w:p>
      <w:pPr>
        <w:pStyle w:val="30"/>
        <w:tabs>
          <w:tab w:val="left" w:pos="1559"/>
        </w:tabs>
        <w:adjustRightInd w:val="0"/>
        <w:snapToGrid w:val="0"/>
        <w:spacing w:line="560" w:lineRule="exact"/>
        <w:ind w:firstLine="640"/>
        <w:outlineLvl w:val="2"/>
        <w:rPr>
          <w:rFonts w:hint="eastAsia" w:ascii="仿宋_GB2312" w:hAnsi="仿宋_GB2312" w:eastAsia="仿宋_GB2312" w:cs="仿宋_GB2312"/>
          <w:b/>
          <w:bCs w:val="0"/>
          <w:color w:val="0000FF"/>
          <w:sz w:val="32"/>
          <w:szCs w:val="32"/>
          <w:highlight w:val="none"/>
        </w:rPr>
      </w:pPr>
      <w:r>
        <w:rPr>
          <w:rFonts w:hint="eastAsia" w:ascii="仿宋_GB2312" w:hAnsi="仿宋_GB2312" w:eastAsia="仿宋_GB2312" w:cs="仿宋_GB2312"/>
          <w:b/>
          <w:bCs w:val="0"/>
          <w:color w:val="auto"/>
          <w:sz w:val="32"/>
          <w:szCs w:val="32"/>
          <w:highlight w:val="none"/>
        </w:rPr>
        <w:t>1.项目背景</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textAlignment w:val="auto"/>
        <w:outlineLvl w:val="2"/>
        <w:rPr>
          <w:rStyle w:val="20"/>
          <w:rFonts w:hint="eastAsia" w:ascii="仿宋" w:hAnsi="仿宋" w:eastAsia="仿宋" w:cs="仿宋"/>
          <w:b w:val="0"/>
          <w:bCs w:val="0"/>
          <w:spacing w:val="-4"/>
          <w:sz w:val="32"/>
          <w:szCs w:val="32"/>
        </w:rPr>
      </w:pPr>
      <w:r>
        <w:rPr>
          <w:rStyle w:val="20"/>
          <w:rFonts w:hint="eastAsia" w:ascii="仿宋" w:hAnsi="仿宋" w:eastAsia="仿宋" w:cs="仿宋"/>
          <w:b w:val="0"/>
          <w:bCs w:val="0"/>
          <w:spacing w:val="-4"/>
          <w:sz w:val="32"/>
          <w:szCs w:val="32"/>
        </w:rPr>
        <w:t>本项目遵循财政部《项目支出绩效评价管理办法》和自治区财政厅《自治区财政支出绩效评价管理暂行办法》等相关政策文件与规定，防护林体系建设是我国生态建设的组成部分，对防御自然灾害、改善人居环境、维护生态平衡具有十分重要的作用。长期以来，党中央、国务院高度重视林业生态建设，防护林体系建设取得了举世瞩目的成就，有效保障了国家生态安全。但是，近年来，人工营造防护普遍存在树种单一、结构简单、初植密度不合理、林分生长不良等情况，加之气候变化、自然灾害等因素影响，导致防护功能下降、病虫害加重、林木损失加大，影响林业生态建设作用的发挥。因此，加强退化林改造修复，科学做好退化防护林改造工作，保障防护林健康有序更替，直接关系我国生态修复成果的巩固，直接关系林业治理体系和治理能力现代化的提升，直接关系生态林业、民生林业强大功能的发挥，也将直接关系党的十九大关于建设生态文明战略部署的全面落实，任务艰巨、责任重大。</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lang w:val="en-US" w:eastAsia="zh-CN"/>
        </w:rPr>
        <w:t xml:space="preserve">    </w:t>
      </w:r>
      <w:r>
        <w:rPr>
          <w:rStyle w:val="20"/>
          <w:rFonts w:hint="eastAsia" w:ascii="仿宋" w:hAnsi="仿宋" w:eastAsia="仿宋" w:cs="仿宋"/>
          <w:b w:val="0"/>
          <w:bCs w:val="0"/>
          <w:spacing w:val="-4"/>
          <w:sz w:val="32"/>
          <w:szCs w:val="32"/>
        </w:rPr>
        <w:t>随着全县人民生活水平的日益提高，人们需要拥有一个空气清新、水源干净、居住条件舒适的外部环境，逐渐向往优美的环境，亲近绿色、回归自然的欲望和追求成为提高自身生活质量的一个重要内容，而人与自然和谐的关键是高质量的林业和优美舒适的自然环境。防护林是沙湾县森林的组成部分，防护林在满足人们对生态需求方面发挥着不可取代的作用，目前全县防护林退化严重，生态防护功能不高，这就必须在进行防护林建设的同时加快退化防护林修复改造。</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2.项目实施主体</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24" w:firstLineChars="200"/>
        <w:textAlignment w:val="auto"/>
        <w:outlineLvl w:val="2"/>
        <w:rPr>
          <w:rFonts w:hint="eastAsia" w:ascii="仿宋_GB2312" w:hAnsi="仿宋_GB2312" w:eastAsia="仿宋_GB2312" w:cs="仿宋_GB2312"/>
          <w:b/>
          <w:bCs w:val="0"/>
          <w:color w:val="auto"/>
          <w:sz w:val="32"/>
          <w:szCs w:val="32"/>
          <w:highlight w:val="none"/>
        </w:rPr>
      </w:pPr>
      <w:r>
        <w:rPr>
          <w:rStyle w:val="20"/>
          <w:rFonts w:hint="eastAsia" w:ascii="仿宋" w:hAnsi="仿宋" w:eastAsia="仿宋" w:cs="仿宋"/>
          <w:b w:val="0"/>
          <w:bCs w:val="0"/>
          <w:spacing w:val="-4"/>
          <w:sz w:val="32"/>
          <w:szCs w:val="32"/>
        </w:rPr>
        <w:t>该项目由疏附县自然资源局负责实施，主要职能是：</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rPr>
        <w:t>（1）负责组织、协调、监督管理疏附县荒漠化防治工作，监督管理沙化土地的开发利用。</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rPr>
        <w:t>（2）负责疏附县陆生野生动植物资源监督管理；监督管理陆生野生动植物猎捕或采集、驯养繁殖或培育、经营利用。</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rPr>
        <w:t>（3）负责监督管理疏附县各类自然保护地。</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rPr>
        <w:t>（4）负责推进林地和草原改革相关工作；依法开展退耕（牧）还林还草，负责天然林保护工作。</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rPr>
        <w:t>（5）指导疏附县林业和草原案件的查处；负责林业和草原相关行政执法监管工作；指导林区和草原社会治安治理工作。</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rPr>
        <w:t>（6）推动自然资源领域科技发展。</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rPr>
        <w:t>（7）负责贯彻执行党中央、国务院关于自然资源和国土空间规划的方针政策、决策部署、法律法规和自治区党委、自治区人民政府、地委、行署及县委、县人民政府工作要求。</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rPr>
        <w:t>（8）负责疏附县城乡规划管理工作。</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rPr>
        <w:t>（9）负责管理本行政区域内自然资源安全生产和法制宣传工作。</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lang w:val="en-US" w:eastAsia="zh-CN"/>
        </w:rPr>
        <w:t xml:space="preserve">    </w:t>
      </w:r>
      <w:r>
        <w:rPr>
          <w:rFonts w:hint="eastAsia" w:ascii="仿宋_GB2312" w:hAnsi="仿宋_GB2312" w:eastAsia="仿宋_GB2312" w:cs="仿宋_GB2312"/>
          <w:b/>
          <w:bCs w:val="0"/>
          <w:color w:val="auto"/>
          <w:sz w:val="32"/>
          <w:szCs w:val="32"/>
          <w:highlight w:val="none"/>
        </w:rPr>
        <w:t>3.项目内容</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24" w:firstLineChars="200"/>
        <w:textAlignment w:val="auto"/>
        <w:outlineLvl w:val="2"/>
        <w:rPr>
          <w:rFonts w:hint="eastAsia" w:ascii="仿宋_GB2312" w:hAnsi="仿宋_GB2312" w:eastAsia="仿宋_GB2312" w:cs="仿宋_GB2312"/>
          <w:b/>
          <w:bCs w:val="0"/>
          <w:color w:val="auto"/>
          <w:sz w:val="32"/>
          <w:szCs w:val="32"/>
          <w:highlight w:val="none"/>
        </w:rPr>
      </w:pPr>
      <w:r>
        <w:rPr>
          <w:rStyle w:val="20"/>
          <w:rFonts w:hint="eastAsia" w:ascii="仿宋" w:hAnsi="仿宋" w:eastAsia="仿宋" w:cs="仿宋"/>
          <w:b w:val="0"/>
          <w:bCs w:val="0"/>
          <w:spacing w:val="-4"/>
          <w:sz w:val="32"/>
          <w:szCs w:val="32"/>
        </w:rPr>
        <w:t>本项目总投资1407万元，</w:t>
      </w:r>
      <w:r>
        <w:rPr>
          <w:rStyle w:val="20"/>
          <w:rFonts w:hint="eastAsia" w:ascii="仿宋" w:hAnsi="仿宋" w:eastAsia="仿宋" w:cs="仿宋"/>
          <w:b w:val="0"/>
          <w:bCs w:val="0"/>
          <w:spacing w:val="-4"/>
          <w:sz w:val="32"/>
          <w:szCs w:val="32"/>
          <w:lang w:val="en-US" w:eastAsia="zh-CN"/>
        </w:rPr>
        <w:t>资金来源为中央直达资金</w:t>
      </w:r>
      <w:r>
        <w:rPr>
          <w:rStyle w:val="20"/>
          <w:rFonts w:hint="eastAsia" w:ascii="仿宋" w:hAnsi="仿宋" w:eastAsia="仿宋" w:cs="仿宋"/>
          <w:b w:val="0"/>
          <w:bCs w:val="0"/>
          <w:spacing w:val="-4"/>
          <w:sz w:val="32"/>
          <w:szCs w:val="32"/>
        </w:rPr>
        <w:t>。</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rPr>
        <w:t>本项目主要计划1407名生态护林员对林原进行管护，每年按1万元/人/年的标准给生态护林员发放补助，项目的实施提高生态护林员的生活质量，保障生态护林员的基本生活。</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lang w:val="en-US" w:eastAsia="zh-CN"/>
        </w:rPr>
        <w:t xml:space="preserve">   </w:t>
      </w:r>
      <w:r>
        <w:rPr>
          <w:rFonts w:hint="eastAsia" w:ascii="仿宋_GB2312" w:hAnsi="仿宋_GB2312" w:eastAsia="仿宋_GB2312" w:cs="仿宋_GB2312"/>
          <w:b/>
          <w:bCs w:val="0"/>
          <w:color w:val="auto"/>
          <w:sz w:val="32"/>
          <w:szCs w:val="32"/>
          <w:highlight w:val="none"/>
        </w:rPr>
        <w:t>4.立项依据</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24" w:firstLineChars="200"/>
        <w:textAlignment w:val="auto"/>
        <w:outlineLvl w:val="1"/>
        <w:rPr>
          <w:rFonts w:hint="eastAsia" w:ascii="方正楷体_GBK" w:hAnsi="方正楷体_GBK" w:eastAsia="方正楷体_GBK" w:cs="方正楷体_GBK"/>
          <w:b/>
          <w:bCs/>
          <w:color w:val="auto"/>
          <w:sz w:val="32"/>
          <w:szCs w:val="32"/>
          <w:highlight w:val="none"/>
        </w:rPr>
      </w:pPr>
      <w:bookmarkStart w:id="33" w:name="_Toc17641"/>
      <w:r>
        <w:rPr>
          <w:rStyle w:val="20"/>
          <w:rFonts w:hint="eastAsia" w:ascii="仿宋" w:hAnsi="仿宋" w:eastAsia="仿宋" w:cs="仿宋"/>
          <w:b w:val="0"/>
          <w:bCs w:val="0"/>
          <w:spacing w:val="-4"/>
          <w:sz w:val="32"/>
          <w:szCs w:val="32"/>
        </w:rPr>
        <w:t>为有效保护我城区生态公益林安全，根据《疏附县自然资源局生态护林员补助项目》，为落实中央“利用生态补偿和生态保护工程资金使用当地有劳动能力的部分贫困人口转为护林员等生态保护人员”的要求，我城区1407名生态护林员，严格按照每人每年按1万元标准发放补助。通过生态护林员将1407名脱贫人口转为生态护林员，实现脱贫人口就地就近就业，确保脱贫户每年增收1万元，有效促进巩固脱贫攻坚工作成效。</w:t>
      </w:r>
      <w:r>
        <w:rPr>
          <w:rStyle w:val="20"/>
          <w:rFonts w:hint="eastAsia" w:ascii="仿宋" w:hAnsi="仿宋" w:eastAsia="仿宋" w:cs="仿宋"/>
          <w:b w:val="0"/>
          <w:bCs w:val="0"/>
          <w:spacing w:val="-4"/>
          <w:sz w:val="32"/>
          <w:szCs w:val="32"/>
        </w:rPr>
        <w:br w:type="textWrapping"/>
      </w:r>
      <w:r>
        <w:rPr>
          <w:rStyle w:val="20"/>
          <w:rFonts w:hint="eastAsia" w:ascii="仿宋" w:hAnsi="仿宋" w:eastAsia="仿宋" w:cs="仿宋"/>
          <w:b w:val="0"/>
          <w:bCs w:val="0"/>
          <w:spacing w:val="-4"/>
          <w:sz w:val="32"/>
          <w:szCs w:val="32"/>
          <w:lang w:val="en-US" w:eastAsia="zh-CN"/>
        </w:rPr>
        <w:t xml:space="preserve">    </w:t>
      </w:r>
      <w:r>
        <w:rPr>
          <w:rFonts w:hint="eastAsia" w:ascii="方正楷体_GBK" w:hAnsi="方正楷体_GBK" w:eastAsia="方正楷体_GBK" w:cs="方正楷体_GBK"/>
          <w:b/>
          <w:bCs/>
          <w:color w:val="auto"/>
          <w:sz w:val="32"/>
          <w:szCs w:val="32"/>
          <w:highlight w:val="none"/>
        </w:rPr>
        <w:t>（二）项目资金情况</w:t>
      </w:r>
      <w:bookmarkEnd w:id="33"/>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afterAutospacing="0"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1.项目资金预算及来源</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24" w:firstLineChars="200"/>
        <w:textAlignment w:val="auto"/>
        <w:outlineLvl w:val="9"/>
        <w:rPr>
          <w:rFonts w:hint="eastAsia" w:ascii="仿宋_GB2312" w:hAnsi="仿宋_GB2312" w:eastAsia="仿宋_GB2312" w:cs="仿宋_GB2312"/>
          <w:color w:val="auto"/>
          <w:sz w:val="32"/>
          <w:szCs w:val="32"/>
          <w:highlight w:val="none"/>
          <w:lang w:val="en-US" w:eastAsia="zh-CN"/>
        </w:rPr>
      </w:pP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依据《关于疏附县生态护林员补助项目立项的复函》，于安排新疆维吾尔自治区疏附县自然资源局实施疏附县生态护林员补助项目，资金投入共计1407万元，资金来源为中央直达资金1407万元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资金到位率100%。</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afterAutospacing="0"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2.预算执行及结果</w:t>
      </w:r>
    </w:p>
    <w:p>
      <w:pPr>
        <w:pStyle w:val="30"/>
        <w:keepNext w:val="0"/>
        <w:keepLines w:val="0"/>
        <w:pageBreakBefore w:val="0"/>
        <w:widowControl w:val="0"/>
        <w:kinsoku/>
        <w:wordWrap/>
        <w:overflowPunct/>
        <w:topLinePunct w:val="0"/>
        <w:autoSpaceDE/>
        <w:autoSpaceDN/>
        <w:bidi w:val="0"/>
        <w:adjustRightInd w:val="0"/>
        <w:snapToGrid w:val="0"/>
        <w:spacing w:afterAutospacing="0" w:line="58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rPr>
      </w:pPr>
      <w:bookmarkStart w:id="34" w:name="_Toc6195"/>
      <w:r>
        <w:rPr>
          <w:rFonts w:hint="eastAsia" w:ascii="仿宋_GB2312" w:hAnsi="仿宋_GB2312" w:eastAsia="仿宋_GB2312" w:cs="仿宋_GB2312"/>
          <w:color w:val="auto"/>
          <w:sz w:val="32"/>
          <w:szCs w:val="32"/>
          <w:highlight w:val="none"/>
        </w:rPr>
        <w:t>截止绩效自评日，本项目通过1407名生态护林员对林原进行管护，已完成按照10000元/人/年的标准发放护林员生活补助，提高了年度总收入，有效缓解了经济条件，提高了生态护林员的生活质量，保障了基本生活，生态护林员满意度达到了95%。</w:t>
      </w:r>
    </w:p>
    <w:p>
      <w:pPr>
        <w:pStyle w:val="30"/>
        <w:keepNext w:val="0"/>
        <w:keepLines w:val="0"/>
        <w:pageBreakBefore w:val="0"/>
        <w:widowControl w:val="0"/>
        <w:kinsoku/>
        <w:wordWrap/>
        <w:overflowPunct/>
        <w:topLinePunct w:val="0"/>
        <w:autoSpaceDE/>
        <w:autoSpaceDN/>
        <w:bidi w:val="0"/>
        <w:adjustRightInd w:val="0"/>
        <w:snapToGrid w:val="0"/>
        <w:spacing w:afterAutospacing="0"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（三）绩效目标设置情况</w:t>
      </w:r>
      <w:bookmarkEnd w:id="34"/>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Autospacing="0" w:line="580" w:lineRule="exact"/>
        <w:ind w:left="0" w:leftChars="0" w:firstLine="640" w:firstLineChars="200"/>
        <w:textAlignment w:val="auto"/>
        <w:outlineLvl w:val="9"/>
        <w:rPr>
          <w:rFonts w:hint="eastAsia" w:ascii="Times New Roman" w:hAnsi="Times New Roman" w:eastAsia="仿宋_GB2312" w:cs="仿宋_GB2312"/>
          <w:color w:val="auto"/>
          <w:sz w:val="32"/>
          <w:szCs w:val="32"/>
          <w:highlight w:val="none"/>
          <w:lang w:eastAsia="zh-CN"/>
        </w:rPr>
      </w:pPr>
      <w:bookmarkStart w:id="35" w:name="_Toc26467"/>
      <w:bookmarkStart w:id="36" w:name="_Toc8400"/>
      <w:bookmarkStart w:id="37" w:name="_Toc1757"/>
      <w:r>
        <w:rPr>
          <w:rFonts w:hint="eastAsia" w:ascii="仿宋_GB2312" w:hAnsi="仿宋_GB2312" w:eastAsia="仿宋_GB2312" w:cs="仿宋_GB2312"/>
          <w:color w:val="auto"/>
          <w:sz w:val="32"/>
          <w:szCs w:val="32"/>
          <w:highlight w:val="none"/>
        </w:rPr>
        <w:t>该项目共设立一级指标3个，二级指标</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个，三级指标</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个，指标量化率</w:t>
      </w:r>
      <w:r>
        <w:rPr>
          <w:rFonts w:hint="eastAsia" w:ascii="仿宋_GB2312" w:hAnsi="仿宋_GB2312" w:eastAsia="仿宋_GB2312" w:cs="仿宋_GB2312"/>
          <w:color w:val="auto"/>
          <w:sz w:val="32"/>
          <w:szCs w:val="32"/>
          <w:highlight w:val="none"/>
          <w:lang w:val="en-US" w:eastAsia="zh-CN"/>
        </w:rPr>
        <w:t>80</w:t>
      </w:r>
      <w:r>
        <w:rPr>
          <w:rFonts w:hint="eastAsia" w:ascii="仿宋_GB2312" w:hAnsi="仿宋_GB2312" w:eastAsia="仿宋_GB2312" w:cs="仿宋_GB2312"/>
          <w:color w:val="auto"/>
          <w:sz w:val="32"/>
          <w:szCs w:val="32"/>
          <w:highlight w:val="none"/>
        </w:rPr>
        <w:t>%。绩效目标明确了项目产出数量和预期达到的效果，绩效目标指标制定明确、细化、量化。整体来看，目标设立合理清晰</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Autospacing="0" w:line="580" w:lineRule="exact"/>
        <w:ind w:left="0" w:leftChars="0" w:firstLine="643" w:firstLineChars="200"/>
        <w:textAlignment w:val="auto"/>
        <w:outlineLvl w:val="9"/>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lang w:val="en-US" w:eastAsia="zh-CN"/>
        </w:rPr>
        <w:t>1.</w:t>
      </w:r>
      <w:r>
        <w:rPr>
          <w:rFonts w:hint="eastAsia" w:ascii="仿宋_GB2312" w:hAnsi="仿宋_GB2312" w:eastAsia="仿宋_GB2312" w:cs="仿宋_GB2312"/>
          <w:b/>
          <w:bCs w:val="0"/>
          <w:color w:val="auto"/>
          <w:sz w:val="32"/>
          <w:szCs w:val="32"/>
          <w:highlight w:val="none"/>
        </w:rPr>
        <w:t>年度总目标</w:t>
      </w:r>
    </w:p>
    <w:bookmarkEnd w:id="35"/>
    <w:bookmarkEnd w:id="36"/>
    <w:bookmarkEnd w:id="37"/>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项目总投资1407万元，其中：下达直达资金1407万元。</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本项目主要1407名生态护林员对林原进行管护，每年按1万元/人/年的标准给生态护林员发放补助，项目的实施提高生态护林员的生活质量，保障生态护林员的基本生活，生态护林员满意度预计能达到95%。</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2.阶段性绩效目标</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依据财政部印发《项目支出绩效评价管理办法》项目管理办法文件要求，为了生态护林员补助项目的管理，提高资金使用效益；制定了《新疆维吾尔自治区疏附县自然资源局生态护林员补助项目实施方案》，结合该项目实际情况，设置的阶段性目标如下：</w:t>
      </w:r>
    </w:p>
    <w:p>
      <w:pPr>
        <w:pStyle w:val="30"/>
        <w:keepNext w:val="0"/>
        <w:keepLines w:val="0"/>
        <w:pageBreakBefore w:val="0"/>
        <w:widowControl w:val="0"/>
        <w:numPr>
          <w:ilvl w:val="0"/>
          <w:numId w:val="4"/>
        </w:numPr>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Times New Roman" w:hAnsi="Times New Roman" w:eastAsia="仿宋_GB2312" w:cs="仿宋_GB2312"/>
          <w:b/>
          <w:bCs w:val="0"/>
          <w:color w:val="auto"/>
          <w:sz w:val="32"/>
          <w:szCs w:val="32"/>
          <w:highlight w:val="none"/>
          <w:lang w:val="en-US" w:eastAsia="zh-CN"/>
        </w:rPr>
      </w:pPr>
      <w:r>
        <w:rPr>
          <w:rFonts w:hint="eastAsia" w:ascii="Times New Roman" w:hAnsi="Times New Roman" w:eastAsia="仿宋_GB2312" w:cs="仿宋_GB2312"/>
          <w:b/>
          <w:bCs w:val="0"/>
          <w:color w:val="auto"/>
          <w:sz w:val="32"/>
          <w:szCs w:val="32"/>
          <w:highlight w:val="none"/>
          <w:lang w:val="en-US" w:eastAsia="zh-CN"/>
        </w:rPr>
        <w:t>产出指标：</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主要用于</w:t>
      </w:r>
      <w:r>
        <w:rPr>
          <w:rStyle w:val="20"/>
          <w:rFonts w:hint="eastAsia" w:ascii="仿宋" w:hAnsi="仿宋" w:eastAsia="仿宋" w:cs="仿宋"/>
          <w:b w:val="0"/>
          <w:bCs w:val="0"/>
          <w:spacing w:val="-4"/>
          <w:sz w:val="32"/>
          <w:szCs w:val="32"/>
        </w:rPr>
        <w:t>1407名生态护林员对林原进行管护，每年按1万元/人/年的标准给生态护林员发放补助。</w:t>
      </w:r>
    </w:p>
    <w:p>
      <w:pPr>
        <w:pStyle w:val="30"/>
        <w:keepNext w:val="0"/>
        <w:keepLines w:val="0"/>
        <w:pageBreakBefore w:val="0"/>
        <w:widowControl w:val="0"/>
        <w:numPr>
          <w:ilvl w:val="0"/>
          <w:numId w:val="4"/>
        </w:numPr>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Times New Roman" w:hAnsi="Times New Roman" w:eastAsia="仿宋_GB2312" w:cs="仿宋_GB2312"/>
          <w:b/>
          <w:bCs/>
          <w:color w:val="auto"/>
          <w:kern w:val="2"/>
          <w:sz w:val="32"/>
          <w:szCs w:val="32"/>
          <w:lang w:val="en-US" w:eastAsia="zh-CN" w:bidi="ar-SA"/>
        </w:rPr>
      </w:pPr>
      <w:r>
        <w:rPr>
          <w:rFonts w:hint="eastAsia" w:ascii="Times New Roman" w:hAnsi="Times New Roman" w:eastAsia="仿宋_GB2312" w:cs="仿宋_GB2312"/>
          <w:b/>
          <w:bCs/>
          <w:color w:val="auto"/>
          <w:kern w:val="2"/>
          <w:sz w:val="32"/>
          <w:szCs w:val="32"/>
          <w:lang w:val="en-US" w:eastAsia="zh-CN" w:bidi="ar-SA"/>
        </w:rPr>
        <w:t>效益指标：</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该项目的实施</w:t>
      </w:r>
      <w:r>
        <w:rPr>
          <w:rStyle w:val="20"/>
          <w:rFonts w:hint="eastAsia" w:ascii="仿宋" w:hAnsi="仿宋" w:eastAsia="仿宋" w:cs="仿宋"/>
          <w:b w:val="0"/>
          <w:bCs w:val="0"/>
          <w:spacing w:val="-4"/>
          <w:sz w:val="32"/>
          <w:szCs w:val="32"/>
        </w:rPr>
        <w:t>提高生态护林员的生活质量，保障生态护林员的基本生活</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27" w:firstLineChars="200"/>
        <w:textAlignment w:val="auto"/>
        <w:rPr>
          <w:rStyle w:val="20"/>
          <w:rFonts w:hint="eastAsia" w:ascii="仿宋_GB2312" w:hAnsi="仿宋_GB2312" w:eastAsia="仿宋_GB2312" w:cs="仿宋_GB2312"/>
          <w:b/>
          <w:bCs/>
          <w:spacing w:val="-4"/>
          <w:sz w:val="32"/>
          <w:szCs w:val="32"/>
          <w:lang w:eastAsia="zh-CN"/>
        </w:rPr>
      </w:pPr>
      <w:r>
        <w:rPr>
          <w:rStyle w:val="20"/>
          <w:rFonts w:hint="eastAsia" w:ascii="仿宋_GB2312" w:hAnsi="仿宋_GB2312" w:eastAsia="仿宋_GB2312" w:cs="仿宋_GB2312"/>
          <w:b/>
          <w:bCs/>
          <w:spacing w:val="-4"/>
          <w:sz w:val="32"/>
          <w:szCs w:val="32"/>
          <w:lang w:eastAsia="zh-CN"/>
        </w:rPr>
        <w:t>（</w:t>
      </w:r>
      <w:r>
        <w:rPr>
          <w:rStyle w:val="20"/>
          <w:rFonts w:hint="eastAsia" w:ascii="仿宋_GB2312" w:hAnsi="仿宋_GB2312" w:eastAsia="仿宋_GB2312" w:cs="仿宋_GB2312"/>
          <w:b/>
          <w:bCs/>
          <w:spacing w:val="-4"/>
          <w:sz w:val="32"/>
          <w:szCs w:val="32"/>
          <w:lang w:val="en-US" w:eastAsia="zh-CN"/>
        </w:rPr>
        <w:t>3）</w:t>
      </w:r>
      <w:r>
        <w:rPr>
          <w:rStyle w:val="20"/>
          <w:rFonts w:hint="eastAsia" w:ascii="仿宋_GB2312" w:hAnsi="仿宋_GB2312" w:eastAsia="仿宋_GB2312" w:cs="仿宋_GB2312"/>
          <w:b/>
          <w:bCs/>
          <w:spacing w:val="-4"/>
          <w:sz w:val="32"/>
          <w:szCs w:val="32"/>
          <w:lang w:eastAsia="zh-CN"/>
        </w:rPr>
        <w:t>满意度指标：</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“生态护林员满意度”指标，预期指标值为“大于等于95%”。</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rPr>
      </w:pPr>
      <w:bookmarkStart w:id="38" w:name="_Toc4790"/>
      <w:r>
        <w:rPr>
          <w:rFonts w:hint="eastAsia" w:ascii="方正黑体_GBK" w:hAnsi="方正黑体_GBK" w:eastAsia="方正黑体_GBK" w:cs="方正黑体_GBK"/>
          <w:color w:val="auto"/>
          <w:sz w:val="32"/>
          <w:szCs w:val="32"/>
        </w:rPr>
        <w:t>二、评价工作简述</w:t>
      </w:r>
      <w:bookmarkEnd w:id="38"/>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39" w:name="_Toc19614"/>
      <w:bookmarkStart w:id="40" w:name="_Toc3416"/>
      <w:bookmarkStart w:id="41" w:name="_Toc7630"/>
      <w:r>
        <w:rPr>
          <w:rFonts w:hint="eastAsia" w:ascii="仿宋_GB2312" w:hAnsi="仿宋_GB2312" w:eastAsia="仿宋_GB2312" w:cs="仿宋_GB2312"/>
          <w:color w:val="auto"/>
          <w:sz w:val="32"/>
          <w:szCs w:val="32"/>
          <w:highlight w:val="none"/>
        </w:rPr>
        <w:t>受</w:t>
      </w:r>
      <w:r>
        <w:rPr>
          <w:rFonts w:hint="eastAsia" w:ascii="仿宋_GB2312" w:hAnsi="仿宋_GB2312" w:eastAsia="仿宋_GB2312" w:cs="仿宋_GB2312"/>
          <w:color w:val="auto"/>
          <w:sz w:val="32"/>
          <w:szCs w:val="32"/>
          <w:highlight w:val="none"/>
          <w:lang w:val="en-US" w:eastAsia="zh-CN"/>
        </w:rPr>
        <w:t>疏附</w:t>
      </w:r>
      <w:r>
        <w:rPr>
          <w:rFonts w:hint="eastAsia" w:ascii="仿宋_GB2312" w:hAnsi="仿宋_GB2312" w:eastAsia="仿宋_GB2312" w:cs="仿宋_GB2312"/>
          <w:color w:val="auto"/>
          <w:sz w:val="32"/>
          <w:szCs w:val="32"/>
          <w:highlight w:val="none"/>
        </w:rPr>
        <w:t>县财政局委托，</w:t>
      </w:r>
      <w:r>
        <w:rPr>
          <w:rFonts w:hint="eastAsia" w:ascii="仿宋_GB2312" w:hAnsi="仿宋_GB2312" w:eastAsia="仿宋_GB2312" w:cs="仿宋_GB2312"/>
          <w:color w:val="auto"/>
          <w:sz w:val="32"/>
          <w:szCs w:val="32"/>
          <w:highlight w:val="none"/>
          <w:lang w:eastAsia="zh-CN"/>
        </w:rPr>
        <w:t>中瑞诚会计师事务所（特殊普通合伙）喀什分所</w:t>
      </w:r>
      <w:r>
        <w:rPr>
          <w:rFonts w:hint="eastAsia" w:ascii="仿宋_GB2312" w:hAnsi="仿宋_GB2312" w:eastAsia="仿宋_GB2312" w:cs="仿宋_GB2312"/>
          <w:color w:val="auto"/>
          <w:sz w:val="32"/>
          <w:szCs w:val="32"/>
          <w:highlight w:val="none"/>
        </w:rPr>
        <w:t>（以下简称“评价机构”）承担</w:t>
      </w:r>
      <w:r>
        <w:rPr>
          <w:rFonts w:hint="eastAsia" w:ascii="仿宋_GB2312" w:hAnsi="仿宋_GB2312" w:eastAsia="仿宋_GB2312" w:cs="仿宋_GB2312"/>
          <w:color w:val="auto"/>
          <w:sz w:val="32"/>
          <w:szCs w:val="32"/>
          <w:highlight w:val="none"/>
          <w:lang w:val="en-US" w:eastAsia="zh-CN"/>
        </w:rPr>
        <w:t>疏附</w:t>
      </w:r>
      <w:r>
        <w:rPr>
          <w:rFonts w:hint="eastAsia" w:ascii="仿宋_GB2312" w:hAnsi="仿宋_GB2312" w:eastAsia="仿宋_GB2312" w:cs="仿宋_GB2312"/>
          <w:color w:val="auto"/>
          <w:sz w:val="32"/>
          <w:szCs w:val="32"/>
          <w:highlight w:val="none"/>
        </w:rPr>
        <w:t>县</w:t>
      </w:r>
      <w:r>
        <w:rPr>
          <w:rFonts w:hint="eastAsia" w:ascii="仿宋_GB2312" w:hAnsi="仿宋_GB2312" w:eastAsia="仿宋_GB2312" w:cs="仿宋_GB2312"/>
          <w:color w:val="auto"/>
          <w:sz w:val="32"/>
          <w:szCs w:val="32"/>
          <w:highlight w:val="none"/>
          <w:lang w:val="en-US" w:eastAsia="zh-CN"/>
        </w:rPr>
        <w:t>生态护林员补助项目</w:t>
      </w:r>
      <w:r>
        <w:rPr>
          <w:rFonts w:hint="eastAsia" w:ascii="仿宋_GB2312" w:hAnsi="仿宋_GB2312" w:eastAsia="仿宋_GB2312" w:cs="仿宋_GB2312"/>
          <w:color w:val="auto"/>
          <w:sz w:val="32"/>
          <w:szCs w:val="32"/>
          <w:highlight w:val="none"/>
        </w:rPr>
        <w:t>绩效评价工作。为更好地保障绩效评价工作的顺利实施，根据财政部颁发的</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项目支出绩效评价管理办法</w:t>
      </w:r>
      <w:r>
        <w:rPr>
          <w:rFonts w:hint="eastAsia" w:ascii="仿宋_GB2312" w:hAnsi="仿宋_GB2312" w:eastAsia="仿宋_GB2312" w:cs="仿宋_GB2312"/>
          <w:color w:val="auto"/>
          <w:sz w:val="32"/>
          <w:szCs w:val="32"/>
          <w:highlight w:val="none"/>
        </w:rPr>
        <w:t>》等文件规定，评价机构成立绩效评价工作组（以下简称“评价工作组”）对</w:t>
      </w:r>
      <w:r>
        <w:rPr>
          <w:rFonts w:hint="eastAsia" w:ascii="仿宋_GB2312" w:hAnsi="仿宋_GB2312" w:eastAsia="仿宋_GB2312" w:cs="仿宋_GB2312"/>
          <w:color w:val="auto"/>
          <w:sz w:val="32"/>
          <w:szCs w:val="32"/>
          <w:highlight w:val="none"/>
          <w:lang w:eastAsia="zh-CN"/>
        </w:rPr>
        <w:t>生态护林员补助项目资金</w:t>
      </w:r>
      <w:r>
        <w:rPr>
          <w:rFonts w:hint="eastAsia" w:ascii="仿宋_GB2312" w:hAnsi="仿宋_GB2312" w:eastAsia="仿宋_GB2312" w:cs="仿宋_GB2312"/>
          <w:color w:val="auto"/>
          <w:sz w:val="32"/>
          <w:szCs w:val="32"/>
          <w:highlight w:val="none"/>
        </w:rPr>
        <w:t>投入、资金使用</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rPr>
        <w:t>资金使用效益等方面进行了绩效评价。</w:t>
      </w:r>
      <w:bookmarkEnd w:id="39"/>
      <w:bookmarkEnd w:id="40"/>
      <w:bookmarkEnd w:id="41"/>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80" w:lineRule="exact"/>
        <w:ind w:left="0" w:leftChars="0"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评价工作简述</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42" w:name="_Toc11258"/>
      <w:r>
        <w:rPr>
          <w:rFonts w:hint="eastAsia" w:ascii="方正楷体_GBK" w:hAnsi="方正楷体_GBK" w:eastAsia="方正楷体_GBK" w:cs="方正楷体_GBK"/>
          <w:b/>
          <w:bCs/>
          <w:color w:val="auto"/>
          <w:sz w:val="32"/>
          <w:szCs w:val="32"/>
        </w:rPr>
        <w:t>（一）评价目的</w:t>
      </w:r>
      <w:bookmarkEnd w:id="42"/>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43" w:name="_Toc21493"/>
      <w:bookmarkStart w:id="44" w:name="_Toc18186"/>
      <w:r>
        <w:rPr>
          <w:rFonts w:hint="eastAsia" w:ascii="仿宋_GB2312" w:hAnsi="仿宋_GB2312" w:eastAsia="仿宋_GB2312" w:cs="仿宋_GB2312"/>
          <w:color w:val="auto"/>
          <w:sz w:val="32"/>
          <w:szCs w:val="32"/>
          <w:highlight w:val="none"/>
        </w:rPr>
        <w:t>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专项资金项目绩效管理，提高专项资金使用效益。</w:t>
      </w:r>
      <w:bookmarkEnd w:id="43"/>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45" w:name="_Toc5663"/>
      <w:r>
        <w:rPr>
          <w:rFonts w:hint="eastAsia" w:ascii="仿宋_GB2312" w:hAnsi="仿宋_GB2312" w:eastAsia="仿宋_GB2312" w:cs="仿宋_GB2312"/>
          <w:color w:val="auto"/>
          <w:sz w:val="32"/>
          <w:szCs w:val="32"/>
          <w:highlight w:val="none"/>
        </w:rPr>
        <w:t>绩效评价旨在通过评价改善预算部门的财政支出管理，优化资源配置及提高公共服务水平。为全面了解</w:t>
      </w:r>
      <w:r>
        <w:rPr>
          <w:rFonts w:hint="eastAsia" w:ascii="仿宋_GB2312" w:hAnsi="仿宋_GB2312" w:eastAsia="仿宋_GB2312" w:cs="仿宋_GB2312"/>
          <w:color w:val="auto"/>
          <w:sz w:val="32"/>
          <w:szCs w:val="32"/>
          <w:highlight w:val="none"/>
          <w:lang w:eastAsia="zh-CN"/>
        </w:rPr>
        <w:t>该项目</w:t>
      </w:r>
      <w:r>
        <w:rPr>
          <w:rFonts w:hint="eastAsia" w:ascii="仿宋_GB2312" w:hAnsi="仿宋_GB2312" w:eastAsia="仿宋_GB2312" w:cs="仿宋_GB2312"/>
          <w:color w:val="auto"/>
          <w:sz w:val="32"/>
          <w:szCs w:val="32"/>
          <w:highlight w:val="none"/>
        </w:rPr>
        <w:t>资金安排的科学性、预算编制合理性、资金使用合规性、规范性和使用效益、项目目标的实现情况、服务对象的满意度等。通过本次部门绩效评价来了解和掌握</w:t>
      </w:r>
      <w:r>
        <w:rPr>
          <w:rFonts w:hint="eastAsia" w:ascii="仿宋_GB2312" w:hAnsi="仿宋_GB2312" w:eastAsia="仿宋_GB2312" w:cs="仿宋_GB2312"/>
          <w:color w:val="auto"/>
          <w:sz w:val="32"/>
          <w:szCs w:val="32"/>
          <w:highlight w:val="none"/>
          <w:lang w:eastAsia="zh-CN"/>
        </w:rPr>
        <w:t>生态护林员补助项目</w:t>
      </w:r>
      <w:r>
        <w:rPr>
          <w:rFonts w:hint="eastAsia" w:ascii="仿宋_GB2312" w:hAnsi="仿宋_GB2312" w:eastAsia="仿宋_GB2312" w:cs="仿宋_GB2312"/>
          <w:color w:val="auto"/>
          <w:sz w:val="32"/>
          <w:szCs w:val="32"/>
          <w:highlight w:val="none"/>
        </w:rPr>
        <w:t>实施的具体情况，总结项目管理经验，促进项目成果转化和应用、完善项目管理办法、提高项目管理水平和资金使用效益。</w:t>
      </w:r>
      <w:r>
        <w:rPr>
          <w:rFonts w:hint="eastAsia" w:ascii="仿宋_GB2312" w:hAnsi="仿宋_GB2312" w:eastAsia="仿宋_GB2312" w:cs="仿宋_GB2312"/>
          <w:color w:val="auto"/>
          <w:sz w:val="32"/>
          <w:szCs w:val="32"/>
          <w:highlight w:val="none"/>
          <w:lang w:val="en-US" w:eastAsia="zh-CN"/>
        </w:rPr>
        <w:t>新疆维吾尔自治区疏附县自然资源局</w:t>
      </w:r>
      <w:r>
        <w:rPr>
          <w:rFonts w:hint="eastAsia" w:ascii="仿宋_GB2312" w:hAnsi="仿宋_GB2312" w:eastAsia="仿宋_GB2312" w:cs="仿宋_GB2312"/>
          <w:color w:val="auto"/>
          <w:sz w:val="32"/>
          <w:szCs w:val="32"/>
          <w:highlight w:val="none"/>
        </w:rPr>
        <w:t>可根据绩效评价中发现的问题，调整工作计划，完善绩效目标，加强项目管理，提高管理水平，同时为项目后续资金投入、分配和管理提供决策依据。为今后类似项目的绩效管理，提供可行性参考建议。</w:t>
      </w:r>
      <w:bookmarkEnd w:id="45"/>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46" w:name="_Toc8446"/>
      <w:r>
        <w:rPr>
          <w:rFonts w:hint="eastAsia" w:ascii="方正楷体_GBK" w:hAnsi="方正楷体_GBK" w:eastAsia="方正楷体_GBK" w:cs="方正楷体_GBK"/>
          <w:b/>
          <w:bCs/>
          <w:color w:val="auto"/>
          <w:sz w:val="32"/>
          <w:szCs w:val="32"/>
        </w:rPr>
        <w:t>（二）绩效评价工作</w:t>
      </w:r>
      <w:r>
        <w:rPr>
          <w:rFonts w:hint="eastAsia" w:ascii="方正楷体_GBK" w:hAnsi="方正楷体_GBK" w:eastAsia="方正楷体_GBK" w:cs="方正楷体_GBK"/>
          <w:b/>
          <w:bCs/>
          <w:color w:val="auto"/>
          <w:sz w:val="32"/>
          <w:szCs w:val="32"/>
          <w:lang w:val="en-US" w:eastAsia="zh-CN"/>
        </w:rPr>
        <w:t>的基本</w:t>
      </w:r>
      <w:r>
        <w:rPr>
          <w:rFonts w:hint="eastAsia" w:ascii="方正楷体_GBK" w:hAnsi="方正楷体_GBK" w:eastAsia="方正楷体_GBK" w:cs="方正楷体_GBK"/>
          <w:b/>
          <w:bCs/>
          <w:color w:val="auto"/>
          <w:sz w:val="32"/>
          <w:szCs w:val="32"/>
        </w:rPr>
        <w:t>思路</w:t>
      </w:r>
      <w:bookmarkEnd w:id="44"/>
      <w:bookmarkEnd w:id="46"/>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47" w:name="_Toc27651416"/>
      <w:bookmarkStart w:id="48" w:name="_Toc7209"/>
      <w:bookmarkStart w:id="49" w:name="_Toc27493321"/>
      <w:bookmarkStart w:id="50" w:name="_Toc14072"/>
      <w:bookmarkStart w:id="51" w:name="_Toc27648031"/>
      <w:r>
        <w:rPr>
          <w:rFonts w:hint="eastAsia" w:ascii="仿宋_GB2312" w:hAnsi="仿宋_GB2312" w:eastAsia="仿宋_GB2312" w:cs="仿宋_GB2312"/>
          <w:color w:val="auto"/>
          <w:sz w:val="32"/>
          <w:szCs w:val="32"/>
          <w:highlight w:val="none"/>
        </w:rPr>
        <w:t>本次评价从项目决策（包括</w:t>
      </w:r>
      <w:r>
        <w:rPr>
          <w:rFonts w:hint="eastAsia" w:ascii="仿宋_GB2312" w:hAnsi="仿宋_GB2312" w:eastAsia="仿宋_GB2312" w:cs="仿宋_GB2312"/>
          <w:color w:val="auto"/>
          <w:sz w:val="32"/>
          <w:szCs w:val="32"/>
          <w:highlight w:val="none"/>
          <w:lang w:val="en-US" w:eastAsia="zh-CN"/>
        </w:rPr>
        <w:t>项目立项依据的充分性和立项程序的规范性、</w:t>
      </w:r>
      <w:r>
        <w:rPr>
          <w:rFonts w:hint="eastAsia" w:ascii="仿宋_GB2312" w:hAnsi="仿宋_GB2312" w:eastAsia="仿宋_GB2312" w:cs="仿宋_GB2312"/>
          <w:color w:val="auto"/>
          <w:sz w:val="32"/>
          <w:szCs w:val="32"/>
          <w:highlight w:val="none"/>
        </w:rPr>
        <w:t>绩效目标的合理性</w:t>
      </w:r>
      <w:r>
        <w:rPr>
          <w:rFonts w:hint="eastAsia" w:ascii="仿宋_GB2312" w:hAnsi="仿宋_GB2312" w:eastAsia="仿宋_GB2312" w:cs="仿宋_GB2312"/>
          <w:color w:val="auto"/>
          <w:sz w:val="32"/>
          <w:szCs w:val="32"/>
          <w:highlight w:val="none"/>
          <w:lang w:val="en-US" w:eastAsia="zh-CN"/>
        </w:rPr>
        <w:t>和绩效指标的明确性</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预算编制的科学性和资金分配的合理性</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en-US" w:eastAsia="zh-CN"/>
        </w:rPr>
        <w:t>过程</w:t>
      </w:r>
      <w:r>
        <w:rPr>
          <w:rFonts w:hint="eastAsia" w:ascii="仿宋_GB2312" w:hAnsi="仿宋_GB2312" w:eastAsia="仿宋_GB2312" w:cs="仿宋_GB2312"/>
          <w:color w:val="auto"/>
          <w:sz w:val="32"/>
          <w:szCs w:val="32"/>
          <w:highlight w:val="none"/>
        </w:rPr>
        <w:t>（包括项目资金中的资金到位、</w:t>
      </w:r>
      <w:r>
        <w:rPr>
          <w:rFonts w:hint="eastAsia" w:ascii="仿宋_GB2312" w:hAnsi="仿宋_GB2312" w:eastAsia="仿宋_GB2312" w:cs="仿宋_GB2312"/>
          <w:color w:val="auto"/>
          <w:sz w:val="32"/>
          <w:szCs w:val="32"/>
          <w:highlight w:val="none"/>
          <w:lang w:val="en-US" w:eastAsia="zh-CN"/>
        </w:rPr>
        <w:t>预算执行、资金使用的合规性、管理制度的健全性和制度执行的有效性）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项目产出（</w:t>
      </w:r>
      <w:r>
        <w:rPr>
          <w:rFonts w:hint="eastAsia" w:ascii="仿宋_GB2312" w:hAnsi="仿宋_GB2312" w:eastAsia="仿宋_GB2312" w:cs="仿宋_GB2312"/>
          <w:color w:val="auto"/>
          <w:sz w:val="32"/>
          <w:szCs w:val="32"/>
          <w:highlight w:val="none"/>
        </w:rPr>
        <w:t>包括项目产出中的产出数量、产出质量、产出时效、产出成本</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和项目</w:t>
      </w:r>
      <w:r>
        <w:rPr>
          <w:rFonts w:hint="eastAsia" w:ascii="仿宋_GB2312" w:hAnsi="仿宋_GB2312" w:eastAsia="仿宋_GB2312" w:cs="仿宋_GB2312"/>
          <w:color w:val="auto"/>
          <w:sz w:val="32"/>
          <w:szCs w:val="32"/>
          <w:highlight w:val="none"/>
          <w:lang w:val="en-US" w:eastAsia="zh-CN"/>
        </w:rPr>
        <w:t>效益</w:t>
      </w:r>
      <w:r>
        <w:rPr>
          <w:rFonts w:hint="eastAsia" w:ascii="仿宋_GB2312" w:hAnsi="仿宋_GB2312" w:eastAsia="仿宋_GB2312" w:cs="仿宋_GB2312"/>
          <w:color w:val="auto"/>
          <w:sz w:val="32"/>
          <w:szCs w:val="32"/>
          <w:highlight w:val="none"/>
        </w:rPr>
        <w:t>（包括项目效果中的经济效益、社会效益、生态效益、可持续影响、服务对象满意度）</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rPr>
        <w:t>个维度进行评价。评价对象</w:t>
      </w:r>
      <w:r>
        <w:rPr>
          <w:rFonts w:hint="eastAsia" w:ascii="仿宋_GB2312" w:hAnsi="仿宋_GB2312" w:eastAsia="仿宋_GB2312" w:cs="仿宋_GB2312"/>
          <w:color w:val="auto"/>
          <w:sz w:val="32"/>
          <w:szCs w:val="32"/>
          <w:highlight w:val="none"/>
          <w:lang w:eastAsia="zh-CN"/>
        </w:rPr>
        <w:t>生态护林员补助项目</w:t>
      </w:r>
      <w:r>
        <w:rPr>
          <w:rFonts w:hint="eastAsia" w:ascii="仿宋_GB2312" w:hAnsi="仿宋_GB2312" w:eastAsia="仿宋_GB2312" w:cs="仿宋_GB2312"/>
          <w:color w:val="auto"/>
          <w:sz w:val="32"/>
          <w:szCs w:val="32"/>
          <w:highlight w:val="none"/>
        </w:rPr>
        <w:t>专项</w:t>
      </w:r>
      <w:r>
        <w:rPr>
          <w:rFonts w:hint="eastAsia" w:ascii="仿宋_GB2312" w:hAnsi="仿宋_GB2312" w:eastAsia="仿宋_GB2312" w:cs="仿宋_GB2312"/>
          <w:color w:val="auto"/>
          <w:sz w:val="32"/>
          <w:szCs w:val="32"/>
          <w:highlight w:val="none"/>
          <w:lang w:val="en-US" w:eastAsia="zh-CN"/>
        </w:rPr>
        <w:t>资金</w:t>
      </w:r>
      <w:r>
        <w:rPr>
          <w:rFonts w:hint="eastAsia" w:ascii="仿宋_GB2312" w:hAnsi="仿宋_GB2312" w:eastAsia="仿宋_GB2312" w:cs="仿宋_GB2312"/>
          <w:color w:val="auto"/>
          <w:sz w:val="32"/>
          <w:szCs w:val="32"/>
          <w:highlight w:val="none"/>
        </w:rPr>
        <w:t>，评价核心为专项资金的支出完成情况和效果。</w:t>
      </w:r>
      <w:bookmarkEnd w:id="47"/>
      <w:bookmarkEnd w:id="48"/>
      <w:bookmarkEnd w:id="49"/>
      <w:bookmarkEnd w:id="50"/>
      <w:bookmarkEnd w:id="51"/>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52" w:name="_Toc19773"/>
      <w:r>
        <w:rPr>
          <w:rFonts w:hint="eastAsia" w:ascii="方正楷体_GBK" w:hAnsi="方正楷体_GBK" w:eastAsia="方正楷体_GBK" w:cs="方正楷体_GBK"/>
          <w:b/>
          <w:bCs/>
          <w:color w:val="auto"/>
          <w:sz w:val="32"/>
          <w:szCs w:val="32"/>
        </w:rPr>
        <w:t>（三）评价原则</w:t>
      </w:r>
      <w:bookmarkEnd w:id="52"/>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3" w:name="_Toc24344"/>
      <w:r>
        <w:rPr>
          <w:rFonts w:hint="eastAsia" w:ascii="仿宋_GB2312" w:hAnsi="仿宋_GB2312" w:eastAsia="仿宋_GB2312" w:cs="仿宋_GB2312"/>
          <w:color w:val="auto"/>
          <w:sz w:val="32"/>
          <w:szCs w:val="32"/>
          <w:highlight w:val="none"/>
          <w:lang w:val="en-US" w:eastAsia="zh-CN"/>
        </w:rPr>
        <w:t>根据《中华人民共和国预算法》、《中共中央国务院关于全面实施预算绩效管理的意见》及《项目支出绩效评价管理办法》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bookmarkEnd w:id="53"/>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4" w:name="_Toc11824"/>
      <w:r>
        <w:rPr>
          <w:rFonts w:hint="eastAsia" w:ascii="仿宋_GB2312" w:hAnsi="仿宋_GB2312" w:eastAsia="仿宋_GB2312" w:cs="仿宋_GB2312"/>
          <w:color w:val="auto"/>
          <w:sz w:val="32"/>
          <w:szCs w:val="32"/>
          <w:highlight w:val="none"/>
          <w:lang w:val="en-US" w:eastAsia="zh-CN"/>
        </w:rPr>
        <w:t>（1）科学公正、科学规范原则。绩效评价应当运用科学合理的方法，按照规范的程序，对项目绩效进行客观、公正的反映，按照科学可行的要求，采用定量与定性分析相结合的方法。</w:t>
      </w:r>
      <w:bookmarkEnd w:id="54"/>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5" w:name="_Toc6555"/>
      <w:r>
        <w:rPr>
          <w:rFonts w:hint="eastAsia" w:ascii="仿宋_GB2312" w:hAnsi="仿宋_GB2312" w:eastAsia="仿宋_GB2312" w:cs="仿宋_GB2312"/>
          <w:color w:val="auto"/>
          <w:sz w:val="32"/>
          <w:szCs w:val="32"/>
          <w:highlight w:val="none"/>
          <w:lang w:val="en-US" w:eastAsia="zh-CN"/>
        </w:rPr>
        <w:t>（2）分级分类原则。根据“谁支出、谁自评”的原则，根据评价对象的特点分类组织实施绩效评价工作，与相关单位职责明确，各有侧重，相互衔接。</w:t>
      </w:r>
      <w:bookmarkEnd w:id="55"/>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6" w:name="_Toc22835"/>
      <w:r>
        <w:rPr>
          <w:rFonts w:hint="eastAsia" w:ascii="仿宋_GB2312" w:hAnsi="仿宋_GB2312" w:eastAsia="仿宋_GB2312" w:cs="仿宋_GB2312"/>
          <w:color w:val="auto"/>
          <w:sz w:val="32"/>
          <w:szCs w:val="32"/>
          <w:highlight w:val="none"/>
          <w:lang w:val="en-US" w:eastAsia="zh-CN"/>
        </w:rPr>
        <w:t>（3）绩效相关原则。绩效评价针对具体投入及其产出绩效进行，评价结果清晰反映了支出和产出绩效之间的紧密对应关系。</w:t>
      </w:r>
      <w:bookmarkEnd w:id="56"/>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7" w:name="_Toc12560"/>
      <w:r>
        <w:rPr>
          <w:rFonts w:hint="eastAsia" w:ascii="仿宋_GB2312" w:hAnsi="仿宋_GB2312" w:eastAsia="仿宋_GB2312" w:cs="仿宋_GB2312"/>
          <w:color w:val="auto"/>
          <w:sz w:val="32"/>
          <w:szCs w:val="32"/>
          <w:highlight w:val="none"/>
          <w:lang w:val="en-US" w:eastAsia="zh-CN"/>
        </w:rPr>
        <w:t>（4）公正公开、透明原则。绩效评价结果应当符合真实、客观、公正的要求，依法依规公开，并自觉接受社会监督。</w:t>
      </w:r>
      <w:bookmarkEnd w:id="57"/>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8" w:name="_Toc20733"/>
      <w:r>
        <w:rPr>
          <w:rFonts w:hint="eastAsia" w:ascii="仿宋_GB2312" w:hAnsi="仿宋_GB2312" w:eastAsia="仿宋_GB2312" w:cs="仿宋_GB2312"/>
          <w:color w:val="auto"/>
          <w:sz w:val="32"/>
          <w:szCs w:val="32"/>
          <w:highlight w:val="none"/>
          <w:lang w:val="en-US" w:eastAsia="zh-CN"/>
        </w:rPr>
        <w:t>根据以上原则，绩效评价应遵循如下要求：</w:t>
      </w:r>
      <w:bookmarkEnd w:id="58"/>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9" w:name="_Toc30810"/>
      <w:r>
        <w:rPr>
          <w:rFonts w:hint="eastAsia" w:ascii="仿宋_GB2312" w:hAnsi="仿宋_GB2312" w:eastAsia="仿宋_GB2312" w:cs="仿宋_GB2312"/>
          <w:color w:val="auto"/>
          <w:sz w:val="32"/>
          <w:szCs w:val="32"/>
          <w:highlight w:val="none"/>
          <w:lang w:val="en-US" w:eastAsia="zh-CN"/>
        </w:rPr>
        <w:t>（1）在数据采集时，采取客观数据，主管部门审查、社会中介组织复查，与问卷调查相结合的形式，以保证各项指标的真实性。</w:t>
      </w:r>
      <w:bookmarkEnd w:id="59"/>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60" w:name="_Toc13251"/>
      <w:r>
        <w:rPr>
          <w:rFonts w:hint="eastAsia" w:ascii="仿宋_GB2312" w:hAnsi="仿宋_GB2312" w:eastAsia="仿宋_GB2312" w:cs="仿宋_GB2312"/>
          <w:color w:val="auto"/>
          <w:sz w:val="32"/>
          <w:szCs w:val="32"/>
          <w:highlight w:val="none"/>
          <w:lang w:val="en-US" w:eastAsia="zh-CN"/>
        </w:rPr>
        <w:t>（2）保证评价结果的真实性、公正性，提高评价报告的公信力。</w:t>
      </w:r>
      <w:bookmarkEnd w:id="60"/>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61" w:name="_Toc22582"/>
      <w:r>
        <w:rPr>
          <w:rFonts w:hint="eastAsia" w:ascii="仿宋_GB2312" w:hAnsi="仿宋_GB2312" w:eastAsia="仿宋_GB2312" w:cs="仿宋_GB2312"/>
          <w:color w:val="auto"/>
          <w:sz w:val="32"/>
          <w:szCs w:val="32"/>
          <w:highlight w:val="none"/>
          <w:lang w:val="en-US" w:eastAsia="zh-CN"/>
        </w:rPr>
        <w:t>（3）绩效评价报告应当简明扼要，除了对绩效评价的过程、结果描述外，还应总结经验，指出问题，并就共性问题提出可操作性改进建议。</w:t>
      </w:r>
      <w:bookmarkEnd w:id="61"/>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62" w:name="_Toc25927"/>
      <w:r>
        <w:rPr>
          <w:rFonts w:hint="eastAsia" w:ascii="方正楷体_GBK" w:hAnsi="方正楷体_GBK" w:eastAsia="方正楷体_GBK" w:cs="方正楷体_GBK"/>
          <w:b/>
          <w:bCs/>
          <w:color w:val="auto"/>
          <w:sz w:val="32"/>
          <w:szCs w:val="32"/>
        </w:rPr>
        <w:t>（四）评价方法</w:t>
      </w:r>
      <w:bookmarkEnd w:id="62"/>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bookmarkStart w:id="63" w:name="_Toc5000"/>
      <w:r>
        <w:rPr>
          <w:rFonts w:hint="eastAsia" w:ascii="仿宋_GB2312" w:hAnsi="仿宋_GB2312" w:eastAsia="仿宋_GB2312" w:cs="仿宋_GB2312"/>
          <w:color w:val="auto"/>
          <w:kern w:val="2"/>
          <w:sz w:val="32"/>
          <w:szCs w:val="32"/>
          <w:highlight w:val="none"/>
          <w:lang w:val="en-US" w:eastAsia="zh-CN" w:bidi="ar-SA"/>
        </w:rPr>
        <w:t>本次绩效评价主要采用以下评价方法：</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1.比较法，通过对绩效目标与实施效果、历史与当期情况、不同部门和地区同类支出的比较，综合分析绩效目标实现程度。</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2.因素分析法，通过综合分析影响绩效目标实现、实施效果的内外因素，评价绩效目标实现程度。</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3.公众评判法，通过专家评估、公众问卷及抽样调查等对财政支出效果进行评判，评价绩效目标实现程度。</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根据项目特点，本次评价重点采用比较法和公众评判法，分析项目总预算和明细预算的内容、标准、计划是否经济合理，实际产出和效益是否达到预期。</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r>
        <w:rPr>
          <w:rFonts w:hint="eastAsia" w:ascii="方正楷体_GBK" w:hAnsi="方正楷体_GBK" w:eastAsia="方正楷体_GBK" w:cs="方正楷体_GBK"/>
          <w:b/>
          <w:bCs/>
          <w:color w:val="auto"/>
          <w:kern w:val="2"/>
          <w:sz w:val="32"/>
          <w:szCs w:val="32"/>
          <w:lang w:val="en-US" w:eastAsia="zh-CN" w:bidi="ar-SA"/>
        </w:rPr>
        <w:t>（五）</w:t>
      </w:r>
      <w:r>
        <w:rPr>
          <w:rFonts w:hint="eastAsia" w:ascii="方正楷体_GBK" w:hAnsi="方正楷体_GBK" w:eastAsia="方正楷体_GBK" w:cs="方正楷体_GBK"/>
          <w:b/>
          <w:bCs/>
          <w:color w:val="auto"/>
          <w:sz w:val="32"/>
          <w:szCs w:val="32"/>
        </w:rPr>
        <w:t>指标体系</w:t>
      </w:r>
      <w:bookmarkEnd w:id="63"/>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方正楷体_GBK" w:hAnsi="方正楷体_GBK" w:eastAsia="方正楷体_GBK" w:cs="方正楷体_GBK"/>
          <w:b/>
          <w:bCs/>
          <w:color w:val="auto"/>
          <w:sz w:val="32"/>
          <w:szCs w:val="32"/>
        </w:rPr>
      </w:pPr>
      <w:bookmarkStart w:id="64" w:name="_Toc16367"/>
      <w:bookmarkStart w:id="65" w:name="_Toc24973"/>
      <w:r>
        <w:rPr>
          <w:rFonts w:hint="eastAsia" w:ascii="仿宋_GB2312" w:hAnsi="仿宋_GB2312" w:eastAsia="仿宋_GB2312" w:cs="仿宋_GB2312"/>
          <w:color w:val="auto"/>
          <w:kern w:val="2"/>
          <w:sz w:val="32"/>
          <w:szCs w:val="32"/>
          <w:highlight w:val="none"/>
          <w:lang w:val="en-US" w:eastAsia="zh-CN" w:bidi="ar-SA"/>
        </w:rPr>
        <w:t>绩效评价指标体系根据《关于印发&lt;项目支出绩效评价管理办法&gt;的通知》等文件精神，结合专项特点，在与专家组、项目充分协商的基础上，评价工作组细化了该项目的绩效评价指标体系（详见附表1）：</w:t>
      </w:r>
      <w:r>
        <w:rPr>
          <w:rFonts w:hint="eastAsia" w:ascii="仿宋_GB2312" w:hAnsi="仿宋_GB2312" w:eastAsia="仿宋_GB2312" w:cs="仿宋_GB2312"/>
          <w:color w:val="auto"/>
          <w:kern w:val="2"/>
          <w:sz w:val="32"/>
          <w:szCs w:val="32"/>
          <w:highlight w:val="none"/>
          <w:lang w:val="en-US" w:eastAsia="zh-CN" w:bidi="ar-SA"/>
        </w:rPr>
        <w:br w:type="textWrapping"/>
      </w:r>
      <w:r>
        <w:rPr>
          <w:rFonts w:hint="eastAsia" w:ascii="仿宋_GB2312" w:hAnsi="仿宋_GB2312" w:eastAsia="仿宋_GB2312" w:cs="仿宋_GB2312"/>
          <w:color w:val="auto"/>
          <w:kern w:val="2"/>
          <w:sz w:val="32"/>
          <w:szCs w:val="32"/>
          <w:highlight w:val="none"/>
          <w:lang w:val="en-US" w:eastAsia="zh-CN" w:bidi="ar-SA"/>
        </w:rPr>
        <w:t>一级指标为：决策、过程、产出、效益。</w:t>
      </w:r>
      <w:r>
        <w:rPr>
          <w:rFonts w:hint="eastAsia" w:ascii="仿宋_GB2312" w:hAnsi="仿宋_GB2312" w:eastAsia="仿宋_GB2312" w:cs="仿宋_GB2312"/>
          <w:color w:val="auto"/>
          <w:kern w:val="2"/>
          <w:sz w:val="32"/>
          <w:szCs w:val="32"/>
          <w:highlight w:val="none"/>
          <w:lang w:val="en-US" w:eastAsia="zh-CN" w:bidi="ar-SA"/>
        </w:rPr>
        <w:br w:type="textWrapping"/>
      </w:r>
      <w:r>
        <w:rPr>
          <w:rFonts w:hint="eastAsia" w:ascii="仿宋_GB2312" w:hAnsi="仿宋_GB2312" w:eastAsia="仿宋_GB2312" w:cs="仿宋_GB2312"/>
          <w:color w:val="auto"/>
          <w:kern w:val="2"/>
          <w:sz w:val="32"/>
          <w:szCs w:val="32"/>
          <w:highlight w:val="none"/>
          <w:lang w:val="en-US" w:eastAsia="zh-CN" w:bidi="ar-SA"/>
        </w:rPr>
        <w:t>二级指标为：项目立项、绩效目标、资金投入、资金管理、组织实施、产出数量、产出质量、产出时效、产出成本、项目效益。</w:t>
      </w:r>
      <w:r>
        <w:rPr>
          <w:rFonts w:hint="eastAsia" w:ascii="仿宋_GB2312" w:hAnsi="仿宋_GB2312" w:eastAsia="仿宋_GB2312" w:cs="仿宋_GB2312"/>
          <w:color w:val="auto"/>
          <w:kern w:val="2"/>
          <w:sz w:val="32"/>
          <w:szCs w:val="32"/>
          <w:highlight w:val="none"/>
          <w:lang w:val="en-US" w:eastAsia="zh-CN" w:bidi="ar-SA"/>
        </w:rPr>
        <w:br w:type="textWrapping"/>
      </w:r>
      <w:r>
        <w:rPr>
          <w:rFonts w:hint="eastAsia" w:ascii="仿宋_GB2312" w:hAnsi="仿宋_GB2312" w:eastAsia="仿宋_GB2312" w:cs="仿宋_GB2312"/>
          <w:color w:val="auto"/>
          <w:kern w:val="2"/>
          <w:sz w:val="32"/>
          <w:szCs w:val="32"/>
          <w:highlight w:val="none"/>
          <w:lang w:val="en-US" w:eastAsia="zh-CN" w:bidi="ar-SA"/>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_GB2312" w:hAnsi="仿宋_GB2312" w:eastAsia="仿宋_GB2312" w:cs="仿宋_GB2312"/>
          <w:color w:val="auto"/>
          <w:kern w:val="2"/>
          <w:sz w:val="32"/>
          <w:szCs w:val="32"/>
          <w:highlight w:val="none"/>
          <w:lang w:val="en-US" w:eastAsia="zh-CN" w:bidi="ar-SA"/>
        </w:rPr>
        <w:br w:type="textWrapping"/>
      </w:r>
      <w:r>
        <w:rPr>
          <w:rFonts w:hint="eastAsia" w:ascii="方正楷体_GBK" w:hAnsi="方正楷体_GBK" w:eastAsia="方正楷体_GBK" w:cs="方正楷体_GBK"/>
          <w:b/>
          <w:bCs/>
          <w:color w:val="auto"/>
          <w:sz w:val="32"/>
          <w:szCs w:val="32"/>
        </w:rPr>
        <w:t>（六）评价等级划分</w:t>
      </w:r>
      <w:bookmarkEnd w:id="64"/>
      <w:bookmarkEnd w:id="65"/>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根据财政部颁发的《</w:t>
      </w:r>
      <w:r>
        <w:rPr>
          <w:rFonts w:hint="eastAsia" w:ascii="仿宋_GB2312" w:hAnsi="仿宋_GB2312" w:eastAsia="仿宋_GB2312" w:cs="仿宋_GB2312"/>
          <w:color w:val="auto"/>
          <w:sz w:val="32"/>
          <w:szCs w:val="32"/>
          <w:highlight w:val="none"/>
          <w:lang w:val="en-US" w:eastAsia="zh-CN"/>
        </w:rPr>
        <w:t>《中央财政衔接推进乡村振兴补助资金管理办法》、《新疆维吾尔自治区财政衔接推进乡村振兴补助资金管理办法》、《关于转发&lt;新疆维吾尔自治区财政衔接推进乡村振兴补助资金管理办法&gt;的通知》</w:t>
      </w:r>
      <w:r>
        <w:rPr>
          <w:rFonts w:hint="eastAsia" w:ascii="仿宋_GB2312" w:hAnsi="仿宋_GB2312" w:eastAsia="仿宋_GB2312" w:cs="仿宋_GB2312"/>
          <w:color w:val="auto"/>
          <w:sz w:val="32"/>
          <w:szCs w:val="32"/>
          <w:highlight w:val="none"/>
        </w:rPr>
        <w:t>等相关文件精神</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本次绩效评价</w:t>
      </w:r>
      <w:r>
        <w:rPr>
          <w:rFonts w:hint="eastAsia" w:ascii="仿宋_GB2312" w:hAnsi="仿宋_GB2312" w:eastAsia="仿宋_GB2312" w:cs="仿宋_GB2312"/>
          <w:color w:val="auto"/>
          <w:sz w:val="32"/>
          <w:szCs w:val="32"/>
          <w:highlight w:val="none"/>
          <w:lang w:val="en-US" w:eastAsia="zh-CN"/>
        </w:rPr>
        <w:t>结果</w:t>
      </w:r>
      <w:r>
        <w:rPr>
          <w:rFonts w:hint="eastAsia" w:ascii="仿宋_GB2312" w:hAnsi="仿宋_GB2312" w:eastAsia="仿宋_GB2312" w:cs="仿宋_GB2312"/>
          <w:color w:val="auto"/>
          <w:sz w:val="32"/>
          <w:szCs w:val="32"/>
          <w:highlight w:val="none"/>
        </w:rPr>
        <w:t>主要</w:t>
      </w:r>
      <w:r>
        <w:rPr>
          <w:rFonts w:hint="eastAsia" w:ascii="仿宋_GB2312" w:hAnsi="仿宋_GB2312" w:eastAsia="仿宋_GB2312" w:cs="仿宋_GB2312"/>
          <w:color w:val="auto"/>
          <w:sz w:val="32"/>
          <w:szCs w:val="32"/>
          <w:highlight w:val="none"/>
          <w:lang w:val="en-US" w:eastAsia="zh-CN"/>
        </w:rPr>
        <w:t>采取评分和评级相结合的方式</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具体分值和等级可根据不同评价的内容设定。总分一般设置为</w:t>
      </w:r>
      <w:r>
        <w:rPr>
          <w:rFonts w:hint="eastAsia" w:ascii="仿宋_GB2312" w:hAnsi="仿宋_GB2312" w:eastAsia="仿宋_GB2312" w:cs="仿宋_GB2312"/>
          <w:color w:val="auto"/>
          <w:sz w:val="32"/>
          <w:szCs w:val="32"/>
          <w:highlight w:val="none"/>
        </w:rPr>
        <w:t>100分，其中项目决策2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项目管理</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en-US" w:eastAsia="zh-CN"/>
        </w:rPr>
        <w:t>产出30分、项目</w:t>
      </w:r>
      <w:r>
        <w:rPr>
          <w:rFonts w:hint="eastAsia" w:ascii="仿宋_GB2312" w:hAnsi="仿宋_GB2312" w:eastAsia="仿宋_GB2312" w:cs="仿宋_GB2312"/>
          <w:color w:val="auto"/>
          <w:sz w:val="32"/>
          <w:szCs w:val="32"/>
          <w:highlight w:val="none"/>
        </w:rPr>
        <w:t>绩效</w:t>
      </w:r>
      <w:r>
        <w:rPr>
          <w:rFonts w:hint="eastAsia"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rPr>
        <w:t>分。评价结果分为优、良、中、差四个等级：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优（90分（含）—100分）；</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良（80分（含）—90分）；</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0分（含）—80分）；</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差（0分—</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0分）。</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对在项目进行绩效评价的过程中，如果实施单位有弄虚作假、瞒报谎报情况之行为，绩效评价组将如实上报至</w:t>
      </w:r>
      <w:r>
        <w:rPr>
          <w:rFonts w:hint="eastAsia" w:ascii="仿宋_GB2312" w:hAnsi="仿宋_GB2312" w:eastAsia="仿宋_GB2312" w:cs="仿宋_GB2312"/>
          <w:color w:val="auto"/>
          <w:sz w:val="32"/>
          <w:szCs w:val="32"/>
          <w:highlight w:val="none"/>
          <w:lang w:val="en-US" w:eastAsia="zh-CN"/>
        </w:rPr>
        <w:t>疏附</w:t>
      </w:r>
      <w:r>
        <w:rPr>
          <w:rFonts w:hint="eastAsia" w:ascii="仿宋_GB2312" w:hAnsi="仿宋_GB2312" w:eastAsia="仿宋_GB2312" w:cs="仿宋_GB2312"/>
          <w:color w:val="auto"/>
          <w:sz w:val="32"/>
          <w:szCs w:val="32"/>
          <w:highlight w:val="none"/>
        </w:rPr>
        <w:t>县财政局，并予以通报批评；情节严重的，绩效评价结果将直接判定为不合格等级。</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66" w:name="_Toc12476"/>
      <w:r>
        <w:rPr>
          <w:rFonts w:hint="eastAsia" w:ascii="方正楷体_GBK" w:hAnsi="方正楷体_GBK" w:eastAsia="方正楷体_GBK" w:cs="方正楷体_GBK"/>
          <w:b/>
          <w:bCs/>
          <w:color w:val="auto"/>
          <w:sz w:val="32"/>
          <w:szCs w:val="32"/>
        </w:rPr>
        <w:t>（七）评价工作实施情况</w:t>
      </w:r>
      <w:bookmarkEnd w:id="66"/>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rPr>
      </w:pPr>
      <w:bookmarkStart w:id="67" w:name="_Toc8898"/>
      <w:bookmarkStart w:id="68" w:name="_Toc12973"/>
      <w:r>
        <w:rPr>
          <w:rFonts w:hint="eastAsia" w:ascii="仿宋_GB2312" w:hAnsi="仿宋_GB2312" w:eastAsia="仿宋_GB2312" w:cs="仿宋_GB2312"/>
          <w:b/>
          <w:bCs w:val="0"/>
          <w:color w:val="auto"/>
          <w:sz w:val="32"/>
          <w:szCs w:val="32"/>
        </w:rPr>
        <w:t>1.评价工作程序和时间安排</w:t>
      </w:r>
      <w:bookmarkEnd w:id="67"/>
      <w:bookmarkEnd w:id="68"/>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本次绩效自评各阶段具体工作内容及时间进度安排详见下表：</w:t>
      </w:r>
    </w:p>
    <w:p>
      <w:pPr>
        <w:pStyle w:val="30"/>
        <w:spacing w:after="156" w:afterLines="50"/>
        <w:ind w:left="425" w:firstLine="0" w:firstLineChars="0"/>
        <w:jc w:val="center"/>
        <w:rPr>
          <w:rFonts w:hint="eastAsia" w:ascii="黑体" w:hAnsi="黑体" w:eastAsia="黑体" w:cs="黑体"/>
          <w:color w:val="auto"/>
          <w:sz w:val="32"/>
          <w:szCs w:val="32"/>
        </w:rPr>
      </w:pPr>
      <w:bookmarkStart w:id="69" w:name="_Toc9542_WPSOffice_Level2"/>
      <w:bookmarkStart w:id="70" w:name="_Toc427_WPSOffice_Level2"/>
      <w:bookmarkStart w:id="71" w:name="_Toc3615"/>
      <w:bookmarkStart w:id="72" w:name="_Toc28992"/>
      <w:r>
        <w:rPr>
          <w:rFonts w:hint="eastAsia" w:ascii="黑体" w:hAnsi="黑体" w:eastAsia="黑体" w:cs="黑体"/>
          <w:color w:val="auto"/>
          <w:sz w:val="32"/>
          <w:szCs w:val="32"/>
        </w:rPr>
        <w:t>绩效评价工作程序和时间安排表</w:t>
      </w:r>
      <w:bookmarkEnd w:id="69"/>
      <w:bookmarkEnd w:id="70"/>
    </w:p>
    <w:tbl>
      <w:tblPr>
        <w:tblStyle w:val="17"/>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535"/>
        <w:gridCol w:w="4292"/>
        <w:gridCol w:w="1814"/>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688" w:type="dxa"/>
            <w:shd w:val="clear" w:color="auto" w:fill="C0C0C0"/>
            <w:vAlign w:val="center"/>
          </w:tcPr>
          <w:p>
            <w:pPr>
              <w:adjustRightInd w:val="0"/>
              <w:snapToGrid w:val="0"/>
              <w:jc w:val="distribute"/>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阶段</w:t>
            </w:r>
          </w:p>
          <w:p>
            <w:pPr>
              <w:adjustRightInd w:val="0"/>
              <w:snapToGrid w:val="0"/>
              <w:jc w:val="distribute"/>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安排</w:t>
            </w:r>
          </w:p>
        </w:tc>
        <w:tc>
          <w:tcPr>
            <w:tcW w:w="4827" w:type="dxa"/>
            <w:gridSpan w:val="2"/>
            <w:shd w:val="clear" w:color="auto" w:fill="C0C0C0"/>
            <w:vAlign w:val="center"/>
          </w:tcPr>
          <w:p>
            <w:pPr>
              <w:adjustRightInd w:val="0"/>
              <w:snapToGrid w:val="0"/>
              <w:jc w:val="center"/>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工作内容</w:t>
            </w:r>
          </w:p>
        </w:tc>
        <w:tc>
          <w:tcPr>
            <w:tcW w:w="1814" w:type="dxa"/>
            <w:shd w:val="clear" w:color="auto" w:fill="C0C0C0"/>
            <w:vAlign w:val="center"/>
          </w:tcPr>
          <w:p>
            <w:pPr>
              <w:adjustRightInd w:val="0"/>
              <w:snapToGrid w:val="0"/>
              <w:jc w:val="center"/>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进度安排</w:t>
            </w:r>
          </w:p>
        </w:tc>
        <w:tc>
          <w:tcPr>
            <w:tcW w:w="1175" w:type="dxa"/>
            <w:shd w:val="clear" w:color="auto" w:fill="C0C0C0"/>
            <w:vAlign w:val="center"/>
          </w:tcPr>
          <w:p>
            <w:pPr>
              <w:adjustRightInd w:val="0"/>
              <w:snapToGrid w:val="0"/>
              <w:jc w:val="center"/>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参与方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jc w:val="center"/>
        </w:trPr>
        <w:tc>
          <w:tcPr>
            <w:tcW w:w="688" w:type="dxa"/>
            <w:vMerge w:val="restart"/>
            <w:vAlign w:val="center"/>
          </w:tcPr>
          <w:p>
            <w:pPr>
              <w:adjustRightInd w:val="0"/>
              <w:snapToGrid w:val="0"/>
              <w:jc w:val="center"/>
              <w:rPr>
                <w:rFonts w:hint="eastAsia" w:ascii="Times New Roman" w:hAnsi="Times New Roman" w:eastAsia="仿宋_GB2312" w:cs="仿宋"/>
                <w:b/>
                <w:bCs/>
                <w:sz w:val="20"/>
                <w:szCs w:val="20"/>
              </w:rPr>
            </w:pPr>
            <w:r>
              <w:rPr>
                <w:rFonts w:hint="eastAsia" w:ascii="Times New Roman" w:hAnsi="Times New Roman" w:eastAsia="仿宋_GB2312" w:cs="仿宋"/>
                <w:b/>
                <w:bCs/>
                <w:spacing w:val="40"/>
                <w:sz w:val="20"/>
                <w:szCs w:val="20"/>
              </w:rPr>
              <w:t>评价准备阶段</w:t>
            </w:r>
          </w:p>
        </w:tc>
        <w:tc>
          <w:tcPr>
            <w:tcW w:w="4827" w:type="dxa"/>
            <w:gridSpan w:val="2"/>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sz w:val="20"/>
                <w:szCs w:val="20"/>
              </w:rPr>
              <w:t>制定《项目实施工作方案》，收集并研究分析项目政策资料，编制指标评价体系和资料清单，并发送被评价单位准备资料。</w:t>
            </w:r>
          </w:p>
        </w:tc>
        <w:tc>
          <w:tcPr>
            <w:tcW w:w="1814" w:type="dxa"/>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5</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20</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b/>
                <w:bCs/>
                <w:sz w:val="20"/>
                <w:szCs w:val="20"/>
              </w:rPr>
            </w:pPr>
            <w:r>
              <w:rPr>
                <w:rFonts w:hint="eastAsia" w:ascii="Times New Roman" w:hAnsi="Times New Roman" w:eastAsia="仿宋_GB2312" w:cs="仿宋"/>
                <w:sz w:val="20"/>
                <w:szCs w:val="20"/>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jc w:val="center"/>
        </w:trPr>
        <w:tc>
          <w:tcPr>
            <w:tcW w:w="688" w:type="dxa"/>
            <w:vMerge w:val="continue"/>
            <w:vAlign w:val="center"/>
          </w:tcPr>
          <w:p>
            <w:pPr>
              <w:adjustRightInd w:val="0"/>
              <w:snapToGrid w:val="0"/>
              <w:ind w:firstLine="560" w:firstLineChars="200"/>
              <w:jc w:val="center"/>
              <w:rPr>
                <w:rFonts w:hint="eastAsia" w:ascii="Times New Roman" w:hAnsi="Times New Roman" w:eastAsia="仿宋_GB2312" w:cs="仿宋"/>
                <w:spacing w:val="40"/>
                <w:sz w:val="20"/>
                <w:szCs w:val="20"/>
              </w:rPr>
            </w:pPr>
          </w:p>
        </w:tc>
        <w:tc>
          <w:tcPr>
            <w:tcW w:w="535" w:type="dxa"/>
            <w:vMerge w:val="restart"/>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编写相关文本</w:t>
            </w:r>
          </w:p>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b/>
                <w:bCs/>
                <w:sz w:val="20"/>
                <w:szCs w:val="20"/>
              </w:rPr>
              <w:t>准备资料</w:t>
            </w:r>
          </w:p>
        </w:tc>
        <w:tc>
          <w:tcPr>
            <w:tcW w:w="4292" w:type="dxa"/>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首轮提交文本及资料：</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sz w:val="20"/>
                <w:szCs w:val="20"/>
              </w:rPr>
              <w:t>1.项目单位提交自评绩效报告；</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sz w:val="20"/>
                <w:szCs w:val="20"/>
              </w:rPr>
              <w:t>2.项目单位按照资料清单要求准备相关资料，提交评价工作组。</w:t>
            </w:r>
          </w:p>
        </w:tc>
        <w:tc>
          <w:tcPr>
            <w:tcW w:w="1814"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5</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26</w:t>
            </w:r>
            <w:r>
              <w:rPr>
                <w:rFonts w:hint="eastAsia" w:ascii="Times New Roman" w:hAnsi="Times New Roman" w:eastAsia="仿宋_GB2312" w:cs="仿宋"/>
                <w:sz w:val="20"/>
                <w:szCs w:val="20"/>
              </w:rPr>
              <w:t>日</w:t>
            </w:r>
          </w:p>
        </w:tc>
        <w:tc>
          <w:tcPr>
            <w:tcW w:w="1175" w:type="dxa"/>
            <w:vMerge w:val="restart"/>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688" w:type="dxa"/>
            <w:vMerge w:val="continue"/>
            <w:vAlign w:val="center"/>
          </w:tcPr>
          <w:p>
            <w:pPr>
              <w:adjustRightInd w:val="0"/>
              <w:snapToGrid w:val="0"/>
              <w:ind w:firstLine="560" w:firstLineChars="200"/>
              <w:jc w:val="center"/>
              <w:rPr>
                <w:rFonts w:hint="eastAsia" w:ascii="Times New Roman" w:hAnsi="Times New Roman" w:eastAsia="仿宋_GB2312" w:cs="仿宋"/>
                <w:spacing w:val="40"/>
                <w:sz w:val="20"/>
                <w:szCs w:val="20"/>
              </w:rPr>
            </w:pPr>
          </w:p>
        </w:tc>
        <w:tc>
          <w:tcPr>
            <w:tcW w:w="535" w:type="dxa"/>
            <w:vMerge w:val="continue"/>
            <w:vAlign w:val="center"/>
          </w:tcPr>
          <w:p>
            <w:pPr>
              <w:adjustRightInd w:val="0"/>
              <w:snapToGrid w:val="0"/>
              <w:jc w:val="left"/>
              <w:rPr>
                <w:rFonts w:hint="eastAsia" w:ascii="Times New Roman" w:hAnsi="Times New Roman" w:eastAsia="仿宋_GB2312" w:cs="仿宋"/>
                <w:sz w:val="20"/>
                <w:szCs w:val="20"/>
              </w:rPr>
            </w:pPr>
          </w:p>
        </w:tc>
        <w:tc>
          <w:tcPr>
            <w:tcW w:w="4292" w:type="dxa"/>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修改文本及补充资料：</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sz w:val="20"/>
                <w:szCs w:val="20"/>
              </w:rPr>
              <w:t>1.评价工作组提出绩效报告修改意见，并反馈项目单位进行修改；</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sz w:val="20"/>
                <w:szCs w:val="20"/>
              </w:rPr>
              <w:t>2.评价工作组对资料进行审核，提出补充修改意见。</w:t>
            </w:r>
          </w:p>
        </w:tc>
        <w:tc>
          <w:tcPr>
            <w:tcW w:w="1814"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5</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28</w:t>
            </w:r>
            <w:r>
              <w:rPr>
                <w:rFonts w:hint="eastAsia" w:ascii="Times New Roman" w:hAnsi="Times New Roman" w:eastAsia="仿宋_GB2312" w:cs="仿宋"/>
                <w:sz w:val="20"/>
                <w:szCs w:val="20"/>
              </w:rPr>
              <w:t>日</w:t>
            </w:r>
          </w:p>
        </w:tc>
        <w:tc>
          <w:tcPr>
            <w:tcW w:w="1175" w:type="dxa"/>
            <w:vMerge w:val="continue"/>
            <w:vAlign w:val="center"/>
          </w:tcPr>
          <w:p>
            <w:pPr>
              <w:adjustRightInd w:val="0"/>
              <w:snapToGrid w:val="0"/>
              <w:jc w:val="center"/>
              <w:rPr>
                <w:rFonts w:hint="eastAsia" w:ascii="Times New Roman" w:hAnsi="Times New Roman" w:eastAsia="仿宋_GB2312"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7"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Times New Roman" w:hAnsi="Times New Roman" w:eastAsia="仿宋_GB2312" w:cs="仿宋"/>
                <w:spacing w:val="40"/>
                <w:sz w:val="20"/>
                <w:szCs w:val="20"/>
              </w:rPr>
            </w:pPr>
          </w:p>
        </w:tc>
        <w:tc>
          <w:tcPr>
            <w:tcW w:w="535" w:type="dxa"/>
            <w:vMerge w:val="continue"/>
            <w:shd w:val="clear" w:color="auto" w:fill="auto"/>
            <w:vAlign w:val="center"/>
          </w:tcPr>
          <w:p>
            <w:pPr>
              <w:adjustRightInd w:val="0"/>
              <w:snapToGrid w:val="0"/>
              <w:spacing w:after="120"/>
              <w:jc w:val="left"/>
              <w:rPr>
                <w:rFonts w:hint="eastAsia" w:ascii="Times New Roman" w:hAnsi="Times New Roman" w:eastAsia="仿宋_GB2312" w:cs="仿宋"/>
                <w:b/>
                <w:bCs/>
                <w:sz w:val="20"/>
                <w:szCs w:val="20"/>
              </w:rPr>
            </w:pPr>
          </w:p>
        </w:tc>
        <w:tc>
          <w:tcPr>
            <w:tcW w:w="4292" w:type="dxa"/>
            <w:shd w:val="clear" w:color="auto" w:fill="auto"/>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确定终版文本及资料：</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sz w:val="20"/>
                <w:szCs w:val="20"/>
              </w:rPr>
              <w:t>1.评价工作组再次审核绩效报告，项目单位参照修改意见进行修改并定稿；</w:t>
            </w:r>
          </w:p>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sz w:val="20"/>
                <w:szCs w:val="20"/>
              </w:rPr>
              <w:t>2.项目单位按照补充修改意见完善资料，并将终版资料提交评价工作组，并签署资料确认单。</w:t>
            </w:r>
          </w:p>
        </w:tc>
        <w:tc>
          <w:tcPr>
            <w:tcW w:w="1814" w:type="dxa"/>
            <w:shd w:val="clear" w:color="auto" w:fill="auto"/>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5</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30</w:t>
            </w:r>
            <w:r>
              <w:rPr>
                <w:rFonts w:hint="eastAsia" w:ascii="Times New Roman" w:hAnsi="Times New Roman" w:eastAsia="仿宋_GB2312" w:cs="仿宋"/>
                <w:sz w:val="20"/>
                <w:szCs w:val="20"/>
              </w:rPr>
              <w:t>日</w:t>
            </w:r>
          </w:p>
        </w:tc>
        <w:tc>
          <w:tcPr>
            <w:tcW w:w="1175" w:type="dxa"/>
            <w:vMerge w:val="continue"/>
            <w:vAlign w:val="center"/>
          </w:tcPr>
          <w:p>
            <w:pPr>
              <w:adjustRightInd w:val="0"/>
              <w:snapToGrid w:val="0"/>
              <w:jc w:val="center"/>
              <w:rPr>
                <w:rFonts w:hint="eastAsia" w:ascii="Times New Roman" w:hAnsi="Times New Roman" w:eastAsia="仿宋_GB2312"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688" w:type="dxa"/>
            <w:vMerge w:val="continue"/>
            <w:textDirection w:val="tbRlV"/>
            <w:vAlign w:val="center"/>
          </w:tcPr>
          <w:p>
            <w:pPr>
              <w:adjustRightInd w:val="0"/>
              <w:snapToGrid w:val="0"/>
              <w:ind w:firstLine="560" w:firstLineChars="200"/>
              <w:jc w:val="center"/>
              <w:rPr>
                <w:rFonts w:hint="eastAsia" w:ascii="Times New Roman" w:hAnsi="Times New Roman" w:eastAsia="仿宋_GB2312" w:cs="仿宋"/>
                <w:spacing w:val="40"/>
                <w:sz w:val="20"/>
                <w:szCs w:val="20"/>
              </w:rPr>
            </w:pPr>
          </w:p>
        </w:tc>
        <w:tc>
          <w:tcPr>
            <w:tcW w:w="4827" w:type="dxa"/>
            <w:gridSpan w:val="2"/>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整理、分析资料：</w:t>
            </w:r>
            <w:r>
              <w:rPr>
                <w:rFonts w:hint="eastAsia" w:ascii="Times New Roman" w:hAnsi="Times New Roman" w:eastAsia="仿宋_GB2312" w:cs="仿宋"/>
                <w:sz w:val="20"/>
                <w:szCs w:val="20"/>
              </w:rPr>
              <w:t>评价工作组对所收集资料进行整理、对资金支出情况进行分析，就有关问题与项目单位核实。</w:t>
            </w:r>
          </w:p>
        </w:tc>
        <w:tc>
          <w:tcPr>
            <w:tcW w:w="1814"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6</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05</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688" w:type="dxa"/>
            <w:vMerge w:val="continue"/>
            <w:textDirection w:val="tbRlV"/>
            <w:vAlign w:val="center"/>
          </w:tcPr>
          <w:p>
            <w:pPr>
              <w:adjustRightInd w:val="0"/>
              <w:snapToGrid w:val="0"/>
              <w:ind w:left="113" w:firstLine="560" w:firstLineChars="200"/>
              <w:jc w:val="center"/>
              <w:rPr>
                <w:rFonts w:hint="eastAsia" w:ascii="Times New Roman" w:hAnsi="Times New Roman" w:eastAsia="仿宋_GB2312" w:cs="仿宋"/>
                <w:spacing w:val="40"/>
                <w:sz w:val="20"/>
                <w:szCs w:val="20"/>
              </w:rPr>
            </w:pPr>
          </w:p>
        </w:tc>
        <w:tc>
          <w:tcPr>
            <w:tcW w:w="4827"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成立评价工作小组：</w:t>
            </w:r>
            <w:r>
              <w:rPr>
                <w:rFonts w:hint="eastAsia" w:ascii="Times New Roman" w:hAnsi="Times New Roman" w:eastAsia="仿宋_GB2312" w:cs="仿宋"/>
                <w:sz w:val="20"/>
                <w:szCs w:val="20"/>
              </w:rPr>
              <w:t>遴选相关业务、财务、管理等组成评价工作小组，并对小组成员进行培训。</w:t>
            </w:r>
          </w:p>
        </w:tc>
        <w:tc>
          <w:tcPr>
            <w:tcW w:w="1814" w:type="dxa"/>
            <w:tcBorders>
              <w:bottom w:val="single" w:color="auto" w:sz="4" w:space="0"/>
            </w:tcBorders>
            <w:vAlign w:val="center"/>
          </w:tcPr>
          <w:p>
            <w:pPr>
              <w:adjustRightInd w:val="0"/>
              <w:snapToGrid w:val="0"/>
              <w:spacing w:before="120" w:after="12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6</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07</w:t>
            </w:r>
            <w:r>
              <w:rPr>
                <w:rFonts w:hint="eastAsia" w:ascii="Times New Roman" w:hAnsi="Times New Roman" w:eastAsia="仿宋_GB2312" w:cs="仿宋"/>
                <w:sz w:val="20"/>
                <w:szCs w:val="20"/>
              </w:rPr>
              <w:t>日</w:t>
            </w:r>
          </w:p>
        </w:tc>
        <w:tc>
          <w:tcPr>
            <w:tcW w:w="1175"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jc w:val="center"/>
        </w:trPr>
        <w:tc>
          <w:tcPr>
            <w:tcW w:w="688" w:type="dxa"/>
            <w:vMerge w:val="restart"/>
            <w:textDirection w:val="tbRlV"/>
            <w:vAlign w:val="center"/>
          </w:tcPr>
          <w:p>
            <w:pPr>
              <w:adjustRightInd w:val="0"/>
              <w:snapToGrid w:val="0"/>
              <w:ind w:firstLine="281" w:firstLineChars="100"/>
              <w:rPr>
                <w:rFonts w:hint="eastAsia" w:ascii="Times New Roman" w:hAnsi="Times New Roman" w:eastAsia="仿宋_GB2312" w:cs="仿宋"/>
                <w:spacing w:val="40"/>
                <w:sz w:val="20"/>
                <w:szCs w:val="20"/>
              </w:rPr>
            </w:pPr>
            <w:r>
              <w:rPr>
                <w:rFonts w:hint="eastAsia" w:ascii="Times New Roman" w:hAnsi="Times New Roman" w:eastAsia="仿宋_GB2312" w:cs="仿宋"/>
                <w:b/>
                <w:bCs/>
                <w:spacing w:val="40"/>
                <w:sz w:val="20"/>
                <w:szCs w:val="20"/>
              </w:rPr>
              <w:t>评价实施阶段</w:t>
            </w:r>
          </w:p>
        </w:tc>
        <w:tc>
          <w:tcPr>
            <w:tcW w:w="4827"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b/>
                <w:bCs/>
                <w:sz w:val="20"/>
                <w:szCs w:val="20"/>
              </w:rPr>
              <w:t>现场调研：</w:t>
            </w:r>
            <w:r>
              <w:rPr>
                <w:rFonts w:hint="eastAsia" w:ascii="Times New Roman" w:hAnsi="Times New Roman" w:eastAsia="仿宋_GB2312" w:cs="仿宋"/>
                <w:sz w:val="20"/>
                <w:szCs w:val="20"/>
              </w:rPr>
              <w:t>根据项目情况，评价工作组对项目现场进行调研，核实项目完成情况及效益实现情况。</w:t>
            </w:r>
          </w:p>
        </w:tc>
        <w:tc>
          <w:tcPr>
            <w:tcW w:w="1814" w:type="dxa"/>
            <w:tcBorders>
              <w:bottom w:val="single" w:color="auto" w:sz="4" w:space="0"/>
            </w:tcBorders>
            <w:vAlign w:val="center"/>
          </w:tcPr>
          <w:p>
            <w:pPr>
              <w:adjustRightInd w:val="0"/>
              <w:snapToGrid w:val="0"/>
              <w:spacing w:before="120" w:after="12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6</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11</w:t>
            </w:r>
            <w:r>
              <w:rPr>
                <w:rFonts w:hint="eastAsia" w:ascii="Times New Roman" w:hAnsi="Times New Roman" w:eastAsia="仿宋_GB2312" w:cs="仿宋"/>
                <w:sz w:val="20"/>
                <w:szCs w:val="20"/>
              </w:rPr>
              <w:t>日</w:t>
            </w:r>
          </w:p>
        </w:tc>
        <w:tc>
          <w:tcPr>
            <w:tcW w:w="1175"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Times New Roman" w:hAnsi="Times New Roman" w:eastAsia="仿宋_GB2312" w:cs="仿宋"/>
                <w:sz w:val="20"/>
                <w:szCs w:val="20"/>
              </w:rPr>
            </w:pPr>
          </w:p>
        </w:tc>
        <w:tc>
          <w:tcPr>
            <w:tcW w:w="4827" w:type="dxa"/>
            <w:gridSpan w:val="2"/>
            <w:shd w:val="clear" w:color="auto" w:fill="auto"/>
            <w:vAlign w:val="center"/>
          </w:tcPr>
          <w:p>
            <w:pPr>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组织针对性培训：</w:t>
            </w:r>
            <w:r>
              <w:rPr>
                <w:rFonts w:hint="eastAsia" w:ascii="Times New Roman" w:hAnsi="Times New Roman" w:eastAsia="仿宋_GB2312" w:cs="仿宋"/>
                <w:sz w:val="20"/>
                <w:szCs w:val="20"/>
              </w:rPr>
              <w:t>评价工作组根据预算部门（单位）的不同需求，开展有针对性的培训工作。</w:t>
            </w:r>
          </w:p>
        </w:tc>
        <w:tc>
          <w:tcPr>
            <w:tcW w:w="1814" w:type="dxa"/>
            <w:shd w:val="clear" w:color="auto" w:fill="auto"/>
            <w:vAlign w:val="center"/>
          </w:tcPr>
          <w:p>
            <w:pPr>
              <w:adjustRightInd w:val="0"/>
              <w:snapToGrid w:val="0"/>
              <w:spacing w:before="120" w:after="12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6</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12</w:t>
            </w:r>
            <w:r>
              <w:rPr>
                <w:rFonts w:hint="eastAsia" w:ascii="Times New Roman" w:hAnsi="Times New Roman" w:eastAsia="仿宋_GB2312" w:cs="仿宋"/>
                <w:sz w:val="20"/>
                <w:szCs w:val="20"/>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688" w:type="dxa"/>
            <w:vMerge w:val="continue"/>
            <w:textDirection w:val="tbRlV"/>
            <w:vAlign w:val="center"/>
          </w:tcPr>
          <w:p>
            <w:pPr>
              <w:adjustRightInd w:val="0"/>
              <w:snapToGrid w:val="0"/>
              <w:ind w:firstLine="400" w:firstLineChars="200"/>
              <w:jc w:val="center"/>
              <w:rPr>
                <w:rFonts w:hint="eastAsia" w:ascii="Times New Roman" w:hAnsi="Times New Roman" w:eastAsia="仿宋_GB2312" w:cs="仿宋"/>
                <w:sz w:val="20"/>
                <w:szCs w:val="20"/>
              </w:rPr>
            </w:pPr>
          </w:p>
        </w:tc>
        <w:tc>
          <w:tcPr>
            <w:tcW w:w="4827" w:type="dxa"/>
            <w:gridSpan w:val="2"/>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现场评价会：</w:t>
            </w:r>
            <w:r>
              <w:rPr>
                <w:rFonts w:hint="eastAsia" w:ascii="Times New Roman" w:hAnsi="Times New Roman" w:eastAsia="仿宋_GB2312" w:cs="仿宋"/>
                <w:sz w:val="20"/>
                <w:szCs w:val="20"/>
              </w:rPr>
              <w:t>召开现场评价会议，核实项目执行情况，出具评价意见。</w:t>
            </w:r>
          </w:p>
        </w:tc>
        <w:tc>
          <w:tcPr>
            <w:tcW w:w="1814" w:type="dxa"/>
            <w:vAlign w:val="center"/>
          </w:tcPr>
          <w:p>
            <w:pPr>
              <w:adjustRightInd w:val="0"/>
              <w:snapToGrid w:val="0"/>
              <w:spacing w:before="120" w:after="12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6</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14</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 w:hRule="atLeast"/>
          <w:jc w:val="center"/>
        </w:trPr>
        <w:tc>
          <w:tcPr>
            <w:tcW w:w="688" w:type="dxa"/>
            <w:vMerge w:val="restart"/>
            <w:textDirection w:val="tbRlV"/>
            <w:vAlign w:val="center"/>
          </w:tcPr>
          <w:p>
            <w:pPr>
              <w:adjustRightInd w:val="0"/>
              <w:snapToGrid w:val="0"/>
              <w:ind w:firstLine="120" w:firstLineChars="50"/>
              <w:rPr>
                <w:rFonts w:hint="eastAsia" w:ascii="Times New Roman" w:hAnsi="Times New Roman" w:eastAsia="仿宋_GB2312" w:cs="仿宋"/>
                <w:spacing w:val="20"/>
                <w:sz w:val="20"/>
                <w:szCs w:val="20"/>
              </w:rPr>
            </w:pPr>
            <w:r>
              <w:rPr>
                <w:rFonts w:hint="eastAsia" w:ascii="Times New Roman" w:hAnsi="Times New Roman" w:eastAsia="仿宋_GB2312" w:cs="仿宋"/>
                <w:b/>
                <w:bCs/>
                <w:spacing w:val="20"/>
                <w:sz w:val="20"/>
                <w:szCs w:val="20"/>
              </w:rPr>
              <w:t>形成报告阶段</w:t>
            </w:r>
          </w:p>
        </w:tc>
        <w:tc>
          <w:tcPr>
            <w:tcW w:w="4827" w:type="dxa"/>
            <w:gridSpan w:val="2"/>
            <w:vAlign w:val="center"/>
          </w:tcPr>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b/>
                <w:bCs/>
                <w:sz w:val="20"/>
                <w:szCs w:val="20"/>
              </w:rPr>
              <w:t>撰写报告：</w:t>
            </w:r>
            <w:r>
              <w:rPr>
                <w:rFonts w:hint="eastAsia" w:ascii="Times New Roman" w:hAnsi="Times New Roman" w:eastAsia="仿宋_GB2312" w:cs="仿宋"/>
                <w:sz w:val="20"/>
                <w:szCs w:val="20"/>
              </w:rPr>
              <w:t>评价工作组撰写项目绩效评价报告。</w:t>
            </w:r>
          </w:p>
        </w:tc>
        <w:tc>
          <w:tcPr>
            <w:tcW w:w="1814"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6</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15</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688" w:type="dxa"/>
            <w:vMerge w:val="continue"/>
            <w:vAlign w:val="center"/>
          </w:tcPr>
          <w:p>
            <w:pPr>
              <w:adjustRightInd w:val="0"/>
              <w:snapToGrid w:val="0"/>
              <w:ind w:firstLine="400" w:firstLineChars="200"/>
              <w:jc w:val="center"/>
              <w:rPr>
                <w:rFonts w:hint="eastAsia" w:ascii="Times New Roman" w:hAnsi="Times New Roman" w:eastAsia="仿宋_GB2312" w:cs="仿宋"/>
                <w:sz w:val="20"/>
                <w:szCs w:val="20"/>
              </w:rPr>
            </w:pPr>
          </w:p>
        </w:tc>
        <w:tc>
          <w:tcPr>
            <w:tcW w:w="4827"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color w:val="auto"/>
                <w:sz w:val="20"/>
                <w:szCs w:val="20"/>
                <w:highlight w:val="none"/>
                <w:lang w:val="en-US" w:eastAsia="zh-CN"/>
              </w:rPr>
              <w:t>专家评审会：</w:t>
            </w:r>
            <w:r>
              <w:rPr>
                <w:rFonts w:hint="eastAsia" w:ascii="Times New Roman" w:hAnsi="Times New Roman" w:eastAsia="仿宋_GB2312" w:cs="仿宋"/>
                <w:color w:val="auto"/>
                <w:sz w:val="20"/>
                <w:szCs w:val="20"/>
                <w:highlight w:val="none"/>
                <w:lang w:val="en-US" w:eastAsia="zh-CN"/>
              </w:rPr>
              <w:t>行业专家，第三方专家以及财政部门，邀请人大代表监督全过程，对报告提出整改意见和需修改完善的内容，评价工作组及时作出整改。</w:t>
            </w:r>
          </w:p>
        </w:tc>
        <w:tc>
          <w:tcPr>
            <w:tcW w:w="1814"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lang w:eastAsia="zh-CN"/>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01</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highlight w:val="none"/>
                <w:lang w:val="en-US" w:eastAsia="zh-CN"/>
              </w:rPr>
              <w:t>邀请专家评价机构项目单位委托单位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688" w:type="dxa"/>
            <w:vMerge w:val="continue"/>
            <w:vAlign w:val="center"/>
          </w:tcPr>
          <w:p>
            <w:pPr>
              <w:adjustRightInd w:val="0"/>
              <w:snapToGrid w:val="0"/>
              <w:ind w:firstLine="400" w:firstLineChars="200"/>
              <w:jc w:val="center"/>
              <w:rPr>
                <w:rFonts w:hint="eastAsia" w:ascii="Times New Roman" w:hAnsi="Times New Roman" w:eastAsia="仿宋_GB2312" w:cs="仿宋"/>
                <w:sz w:val="20"/>
                <w:szCs w:val="20"/>
              </w:rPr>
            </w:pPr>
          </w:p>
        </w:tc>
        <w:tc>
          <w:tcPr>
            <w:tcW w:w="4827"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b/>
                <w:bCs/>
                <w:sz w:val="20"/>
                <w:szCs w:val="20"/>
              </w:rPr>
              <w:t>报告征求意见：</w:t>
            </w:r>
            <w:r>
              <w:rPr>
                <w:rFonts w:hint="eastAsia" w:ascii="Times New Roman" w:hAnsi="Times New Roman" w:eastAsia="仿宋_GB2312" w:cs="仿宋"/>
                <w:sz w:val="20"/>
                <w:szCs w:val="20"/>
              </w:rPr>
              <w:t>评价报告经评价机构三级审核后，送交委托方及项目单位征求意见。</w:t>
            </w:r>
          </w:p>
        </w:tc>
        <w:tc>
          <w:tcPr>
            <w:tcW w:w="1814"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07</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02</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8"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Times New Roman" w:hAnsi="Times New Roman" w:eastAsia="仿宋_GB2312" w:cs="仿宋"/>
                <w:sz w:val="20"/>
                <w:szCs w:val="20"/>
              </w:rPr>
            </w:pPr>
          </w:p>
        </w:tc>
        <w:tc>
          <w:tcPr>
            <w:tcW w:w="4827" w:type="dxa"/>
            <w:gridSpan w:val="2"/>
            <w:shd w:val="clear" w:color="auto" w:fill="auto"/>
            <w:vAlign w:val="center"/>
          </w:tcPr>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b/>
                <w:bCs/>
                <w:sz w:val="20"/>
                <w:szCs w:val="20"/>
              </w:rPr>
              <w:t>报送报告：</w:t>
            </w:r>
            <w:r>
              <w:rPr>
                <w:rFonts w:hint="eastAsia" w:ascii="Times New Roman" w:hAnsi="Times New Roman" w:eastAsia="仿宋_GB2312" w:cs="仿宋"/>
                <w:sz w:val="20"/>
                <w:szCs w:val="20"/>
              </w:rPr>
              <w:t>根据委托方意见修改报告，在规定时间内正式向委托方报送绩效评价报告。</w:t>
            </w:r>
          </w:p>
        </w:tc>
        <w:tc>
          <w:tcPr>
            <w:tcW w:w="1814" w:type="dxa"/>
            <w:shd w:val="clear" w:color="auto" w:fill="auto"/>
            <w:vAlign w:val="center"/>
          </w:tcPr>
          <w:p>
            <w:pPr>
              <w:adjustRightInd w:val="0"/>
              <w:snapToGrid w:val="0"/>
              <w:spacing w:after="12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07</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10</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委托单位</w:t>
            </w:r>
          </w:p>
        </w:tc>
      </w:tr>
    </w:tbl>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2.实地调研概况</w:t>
      </w:r>
      <w:bookmarkEnd w:id="71"/>
      <w:bookmarkEnd w:id="72"/>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走访调查：采取现场走访调查的形式，了解项目实际情况。到项目实施单位及实施现场，深入实地进行调研和分析，严格按照项目实施方案进行管理，了解前期工作及项目实施情况。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研读文件：通过检查实施单位自评（总结）报告、研读相关制度文件等，了解在项目实施过程中，作为项目主管单位，是否对项目实施进行协调监督管理，是否制定相关、有效的监督管理制度，是否监督落实项目建设质量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审阅项目财务收支情况：审阅该项目实施单位记录资金收支的凭证、后附单据及相关文件，审阅该项目的相关规定，</w:t>
      </w:r>
      <w:r>
        <w:rPr>
          <w:rFonts w:hint="eastAsia" w:ascii="仿宋_GB2312" w:hAnsi="仿宋_GB2312" w:eastAsia="仿宋_GB2312" w:cs="仿宋_GB2312"/>
          <w:color w:val="auto"/>
          <w:sz w:val="32"/>
          <w:szCs w:val="32"/>
          <w:highlight w:val="none"/>
          <w:lang w:val="en-US" w:eastAsia="zh-CN"/>
        </w:rPr>
        <w:t>审核</w:t>
      </w:r>
      <w:r>
        <w:rPr>
          <w:rFonts w:hint="eastAsia" w:ascii="仿宋_GB2312" w:hAnsi="仿宋_GB2312" w:eastAsia="仿宋_GB2312" w:cs="仿宋_GB2312"/>
          <w:color w:val="auto"/>
          <w:sz w:val="32"/>
          <w:szCs w:val="32"/>
          <w:highlight w:val="none"/>
        </w:rPr>
        <w:t>资金收支是否合规等。</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73" w:name="_Toc11911"/>
      <w:r>
        <w:rPr>
          <w:rFonts w:hint="eastAsia" w:ascii="方正黑体_GBK" w:hAnsi="方正黑体_GBK" w:eastAsia="方正黑体_GBK" w:cs="方正黑体_GBK"/>
          <w:color w:val="auto"/>
          <w:sz w:val="32"/>
          <w:szCs w:val="32"/>
          <w:highlight w:val="none"/>
        </w:rPr>
        <w:t>三、绩效评价分析</w:t>
      </w:r>
      <w:bookmarkEnd w:id="73"/>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80" w:lineRule="exact"/>
        <w:ind w:left="0" w:leftChars="0" w:firstLine="643" w:firstLineChars="200"/>
        <w:textAlignment w:val="auto"/>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绩效评价分析</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74" w:name="_Toc21963"/>
      <w:r>
        <w:rPr>
          <w:rFonts w:hint="eastAsia" w:ascii="方正楷体_GBK" w:hAnsi="方正楷体_GBK" w:eastAsia="方正楷体_GBK" w:cs="方正楷体_GBK"/>
          <w:b/>
          <w:bCs/>
          <w:color w:val="auto"/>
          <w:sz w:val="32"/>
          <w:szCs w:val="32"/>
          <w:highlight w:val="none"/>
        </w:rPr>
        <w:t>（一）项目决策分析</w:t>
      </w:r>
      <w:bookmarkEnd w:id="74"/>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75" w:name="_Toc27861"/>
      <w:r>
        <w:rPr>
          <w:rFonts w:hint="eastAsia" w:ascii="仿宋_GB2312" w:hAnsi="仿宋_GB2312" w:eastAsia="仿宋_GB2312" w:cs="仿宋_GB2312"/>
          <w:b/>
          <w:bCs w:val="0"/>
          <w:color w:val="auto"/>
          <w:sz w:val="32"/>
          <w:szCs w:val="32"/>
          <w:highlight w:val="none"/>
        </w:rPr>
        <w:t>1.</w:t>
      </w:r>
      <w:r>
        <w:rPr>
          <w:rFonts w:hint="eastAsia" w:ascii="仿宋_GB2312" w:hAnsi="仿宋_GB2312" w:eastAsia="仿宋_GB2312" w:cs="仿宋_GB2312"/>
          <w:b/>
          <w:bCs w:val="0"/>
          <w:color w:val="auto"/>
          <w:sz w:val="32"/>
          <w:szCs w:val="32"/>
          <w:highlight w:val="none"/>
          <w:lang w:val="en-US" w:eastAsia="zh-CN"/>
        </w:rPr>
        <w:t>项目立项情况</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lang w:val="en-US" w:eastAsia="zh-CN"/>
        </w:rPr>
        <w:t>1</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lang w:val="en-US" w:eastAsia="zh-CN"/>
        </w:rPr>
        <w:t>立项依据的充分性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w:t>
      </w:r>
      <w:r>
        <w:rPr>
          <w:rStyle w:val="20"/>
          <w:rFonts w:hint="eastAsia" w:ascii="仿宋" w:hAnsi="仿宋" w:eastAsia="仿宋" w:cs="仿宋"/>
          <w:b w:val="0"/>
          <w:bCs w:val="0"/>
          <w:spacing w:val="-4"/>
          <w:sz w:val="32"/>
          <w:szCs w:val="32"/>
        </w:rPr>
        <w:t>该项目符合《新疆维吾尔自治区国民经济和社会发展第十四个五年规划和2035年远景目标纲要》“推行林长制，开展大规模国土绿化行动，提升生态系统碳汇能力。深入实施三北防护林体系建设，巩固防沙治沙成果。加强公益林和天然林保护修复，继续实施退耕还林还草、退牧还草、退地还水，逐步实施草原禁牧和草畜平衡，健全耕地休耕轮作制度。”的要求,同时是全面贯彻落实中央、自治区、喀什地区关于乡村振兴决策部署，符合疏附县自然资源局“负责良种选育推广，管理林木苗木、草种生产经营行为，监管林木种苗、草种质量”职能</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②该项目立项依据符合《自治区财政资金使用</w:t>
      </w:r>
      <w:bookmarkStart w:id="132" w:name="_GoBack"/>
      <w:bookmarkEnd w:id="132"/>
      <w:r>
        <w:rPr>
          <w:rFonts w:hint="eastAsia" w:ascii="仿宋_GB2312" w:hAnsi="仿宋_GB2312" w:eastAsia="仿宋_GB2312" w:cs="仿宋_GB2312"/>
          <w:color w:val="auto"/>
          <w:sz w:val="32"/>
          <w:szCs w:val="32"/>
          <w:highlight w:val="none"/>
          <w:lang w:val="en-US" w:eastAsia="zh-CN"/>
        </w:rPr>
        <w:t>反馈管理暂行办法》、《自治区党委自治区人民政府关于全面实施预算绩效管理的实施意见》、《自治区全面实施预算绩效管理的工作方案》、《关于印发〈自治区财政支出绩效评价管理暂行办法〉的通知》、《财政部关于印发&lt;项目支出绩效评价管理办法&gt;》等文件精神，符合部门或行业发展规划和政策要求；符合社会经济发展规划，是全面贯彻落实中央、自治区、喀什地区关于巩固拓展脱贫攻坚的决策部署。符合自治区、喀什地区以及疏附县巩固拓展脱贫攻坚工作相关文件要求。</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该项目立项与部门职责范围相符，属于部门履职所需；与新疆维吾尔自治区疏附县自然资源局“贯彻执行《中华人民共和国社会保险法》，有效减轻返乡在乡的脱贫户和帮扶家庭劳动力经济压力，保障脱贫户和帮扶家庭劳动力持续受益，进一步巩固拓展脱贫攻坚成果；</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④项目属于公共财政支持范围，符合中央、地方事权支出责任划分原则；</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⑤项目未与相关部门同类项目或部门内部相关项目重复。总之，该项目立项依据充分，相关总体要求，项目申报、批复程序符合相关管理办法并围绕疏附县年度工作和工作计划制定经费预算；根据评分标准，该指标分值为5分，实际得分5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立项程序规范性</w:t>
      </w:r>
    </w:p>
    <w:bookmarkEnd w:id="75"/>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决策依据情况：</w:t>
      </w:r>
      <w:r>
        <w:rPr>
          <w:rFonts w:hint="eastAsia" w:ascii="仿宋_GB2312" w:hAnsi="仿宋_GB2312" w:eastAsia="仿宋_GB2312" w:cs="仿宋_GB2312"/>
          <w:color w:val="auto"/>
          <w:sz w:val="32"/>
          <w:szCs w:val="32"/>
          <w:highlight w:val="none"/>
          <w:lang w:val="en-US" w:eastAsia="zh-CN"/>
        </w:rPr>
        <w:t>该</w:t>
      </w:r>
      <w:r>
        <w:rPr>
          <w:rFonts w:hint="eastAsia" w:ascii="仿宋_GB2312" w:hAnsi="仿宋_GB2312" w:eastAsia="仿宋_GB2312" w:cs="仿宋_GB2312"/>
          <w:color w:val="auto"/>
          <w:sz w:val="32"/>
          <w:szCs w:val="32"/>
          <w:highlight w:val="none"/>
        </w:rPr>
        <w:t>项目符合经济社会发展规划和部门年度工作计划。为全面贯彻落实中央、自治区、地区关于巩固拓展脱贫攻坚的决策部署，落实地委关于喀什地区巩固拓展脱贫攻坚工作的相关安排部署，项目单位委托专业单位编制了制定了《</w:t>
      </w:r>
      <w:r>
        <w:rPr>
          <w:rFonts w:hint="eastAsia" w:ascii="仿宋_GB2312" w:hAnsi="仿宋_GB2312" w:eastAsia="仿宋_GB2312" w:cs="仿宋_GB2312"/>
          <w:color w:val="auto"/>
          <w:sz w:val="32"/>
          <w:szCs w:val="32"/>
          <w:highlight w:val="none"/>
          <w:lang w:eastAsia="zh-CN"/>
        </w:rPr>
        <w:t>生态护林员补助项目</w:t>
      </w:r>
      <w:r>
        <w:rPr>
          <w:rFonts w:hint="eastAsia" w:ascii="仿宋_GB2312" w:hAnsi="仿宋_GB2312" w:eastAsia="仿宋_GB2312" w:cs="仿宋_GB2312"/>
          <w:color w:val="auto"/>
          <w:sz w:val="32"/>
          <w:szCs w:val="32"/>
          <w:highlight w:val="none"/>
        </w:rPr>
        <w:t>实施方案》，由</w:t>
      </w:r>
      <w:r>
        <w:rPr>
          <w:rFonts w:hint="eastAsia" w:ascii="仿宋_GB2312" w:hAnsi="仿宋_GB2312" w:eastAsia="仿宋_GB2312" w:cs="仿宋_GB2312"/>
          <w:color w:val="auto"/>
          <w:sz w:val="32"/>
          <w:szCs w:val="32"/>
          <w:highlight w:val="none"/>
          <w:lang w:eastAsia="zh-CN"/>
        </w:rPr>
        <w:t>新疆维吾尔自治区疏附县自然资源局</w:t>
      </w:r>
      <w:r>
        <w:rPr>
          <w:rFonts w:hint="eastAsia" w:ascii="仿宋_GB2312" w:hAnsi="仿宋_GB2312" w:eastAsia="仿宋_GB2312" w:cs="仿宋_GB2312"/>
          <w:color w:val="auto"/>
          <w:sz w:val="32"/>
          <w:szCs w:val="32"/>
          <w:highlight w:val="none"/>
        </w:rPr>
        <w:t>对该项目进行立项申请，取得发改委批复后实施。</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决策程序情况：通过对项目前期工作进行调研和对项目可行性进行研究分析，并结合项目实施方案，成立了项目管理领导小组，对项目加强管理。由</w:t>
      </w:r>
      <w:r>
        <w:rPr>
          <w:rStyle w:val="20"/>
          <w:rFonts w:hint="eastAsia" w:ascii="方正仿宋_GBK" w:hAnsi="方正仿宋_GBK" w:eastAsia="方正仿宋_GBK" w:cs="方正仿宋_GBK"/>
          <w:b w:val="0"/>
          <w:bCs w:val="0"/>
          <w:color w:val="auto"/>
          <w:spacing w:val="-4"/>
          <w:sz w:val="32"/>
          <w:szCs w:val="32"/>
          <w:highlight w:val="none"/>
          <w:lang w:val="en-US" w:eastAsia="zh-CN"/>
        </w:rPr>
        <w:t>苏建新</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新疆维吾尔自治区疏附县自然资源局</w:t>
      </w:r>
      <w:r>
        <w:rPr>
          <w:rFonts w:hint="eastAsia" w:ascii="仿宋_GB2312" w:hAnsi="仿宋_GB2312" w:eastAsia="仿宋_GB2312" w:cs="仿宋_GB2312"/>
          <w:color w:val="auto"/>
          <w:sz w:val="32"/>
          <w:szCs w:val="32"/>
          <w:highlight w:val="none"/>
        </w:rPr>
        <w:t>）任组长，加强对</w:t>
      </w:r>
      <w:r>
        <w:rPr>
          <w:rFonts w:hint="eastAsia" w:ascii="仿宋_GB2312" w:hAnsi="仿宋_GB2312" w:eastAsia="仿宋_GB2312" w:cs="仿宋_GB2312"/>
          <w:color w:val="auto"/>
          <w:sz w:val="32"/>
          <w:szCs w:val="32"/>
          <w:highlight w:val="none"/>
          <w:lang w:eastAsia="zh-CN"/>
        </w:rPr>
        <w:t>生态护林员补助项目</w:t>
      </w:r>
      <w:r>
        <w:rPr>
          <w:rFonts w:hint="eastAsia" w:ascii="仿宋_GB2312" w:hAnsi="仿宋_GB2312" w:eastAsia="仿宋_GB2312" w:cs="仿宋_GB2312"/>
          <w:color w:val="auto"/>
          <w:sz w:val="32"/>
          <w:szCs w:val="32"/>
          <w:highlight w:val="none"/>
        </w:rPr>
        <w:t>管理工作的组织领导，并将</w:t>
      </w:r>
      <w:r>
        <w:rPr>
          <w:rFonts w:hint="eastAsia" w:ascii="仿宋_GB2312" w:hAnsi="仿宋_GB2312" w:eastAsia="仿宋_GB2312" w:cs="仿宋_GB2312"/>
          <w:color w:val="auto"/>
          <w:sz w:val="32"/>
          <w:szCs w:val="32"/>
          <w:highlight w:val="none"/>
          <w:lang w:eastAsia="zh-CN"/>
        </w:rPr>
        <w:t>生态护林员补助项目</w:t>
      </w:r>
      <w:r>
        <w:rPr>
          <w:rFonts w:hint="eastAsia" w:ascii="仿宋_GB2312" w:hAnsi="仿宋_GB2312" w:eastAsia="仿宋_GB2312" w:cs="仿宋_GB2312"/>
          <w:color w:val="auto"/>
          <w:sz w:val="32"/>
          <w:szCs w:val="32"/>
          <w:highlight w:val="none"/>
        </w:rPr>
        <w:t>作为</w:t>
      </w:r>
      <w:r>
        <w:rPr>
          <w:rFonts w:hint="eastAsia" w:ascii="仿宋_GB2312" w:hAnsi="仿宋_GB2312" w:eastAsia="仿宋_GB2312" w:cs="仿宋_GB2312"/>
          <w:color w:val="auto"/>
          <w:sz w:val="32"/>
          <w:szCs w:val="32"/>
          <w:highlight w:val="none"/>
          <w:lang w:eastAsia="zh-CN"/>
        </w:rPr>
        <w:t>新疆维吾尔自治区疏附县自然资源局</w:t>
      </w:r>
      <w:r>
        <w:rPr>
          <w:rFonts w:hint="eastAsia" w:ascii="仿宋_GB2312" w:hAnsi="仿宋_GB2312" w:eastAsia="仿宋_GB2312" w:cs="仿宋_GB2312"/>
          <w:color w:val="auto"/>
          <w:sz w:val="32"/>
          <w:szCs w:val="32"/>
          <w:highlight w:val="none"/>
        </w:rPr>
        <w:t>单位考评和绩效考核工作的重要内容。</w:t>
      </w:r>
      <w:r>
        <w:rPr>
          <w:rFonts w:hint="eastAsia" w:ascii="仿宋_GB2312" w:hAnsi="仿宋_GB2312" w:eastAsia="仿宋_GB2312" w:cs="仿宋_GB2312"/>
          <w:color w:val="auto"/>
          <w:sz w:val="32"/>
          <w:szCs w:val="32"/>
          <w:highlight w:val="none"/>
          <w:lang w:eastAsia="zh-CN"/>
        </w:rPr>
        <w:t>该项目</w:t>
      </w:r>
      <w:r>
        <w:rPr>
          <w:rFonts w:hint="eastAsia" w:ascii="仿宋_GB2312" w:hAnsi="仿宋_GB2312" w:eastAsia="仿宋_GB2312" w:cs="仿宋_GB2312"/>
          <w:color w:val="auto"/>
          <w:sz w:val="32"/>
          <w:szCs w:val="32"/>
          <w:highlight w:val="none"/>
        </w:rPr>
        <w:t>属于补助类项目，由</w:t>
      </w:r>
      <w:r>
        <w:rPr>
          <w:rFonts w:hint="eastAsia" w:ascii="仿宋_GB2312" w:hAnsi="仿宋_GB2312" w:eastAsia="仿宋_GB2312" w:cs="仿宋_GB2312"/>
          <w:color w:val="auto"/>
          <w:sz w:val="32"/>
          <w:szCs w:val="32"/>
          <w:highlight w:val="none"/>
          <w:lang w:eastAsia="zh-CN"/>
        </w:rPr>
        <w:t>新疆维吾尔自治区疏附县自然资源局</w:t>
      </w:r>
      <w:r>
        <w:rPr>
          <w:rFonts w:hint="eastAsia" w:ascii="仿宋_GB2312" w:hAnsi="仿宋_GB2312" w:eastAsia="仿宋_GB2312" w:cs="仿宋_GB2312"/>
          <w:color w:val="auto"/>
          <w:sz w:val="32"/>
          <w:szCs w:val="32"/>
          <w:highlight w:val="none"/>
        </w:rPr>
        <w:t>自行实施，实施过程均按照本单位制定的管理制度执行。</w:t>
      </w:r>
      <w:r>
        <w:rPr>
          <w:rFonts w:hint="eastAsia" w:ascii="仿宋_GB2312" w:hAnsi="仿宋_GB2312" w:eastAsia="仿宋_GB2312" w:cs="仿宋_GB2312"/>
          <w:color w:val="auto"/>
          <w:sz w:val="32"/>
          <w:szCs w:val="32"/>
          <w:highlight w:val="none"/>
          <w:lang w:eastAsia="zh-CN"/>
        </w:rPr>
        <w:t>该项目</w:t>
      </w:r>
      <w:r>
        <w:rPr>
          <w:rFonts w:hint="eastAsia" w:ascii="仿宋_GB2312" w:hAnsi="仿宋_GB2312" w:eastAsia="仿宋_GB2312" w:cs="仿宋_GB2312"/>
          <w:color w:val="auto"/>
          <w:sz w:val="32"/>
          <w:szCs w:val="32"/>
          <w:highlight w:val="none"/>
        </w:rPr>
        <w:t>按照规定的程序申请设立，审批文件、材料符合相关要求，项目决策程序比较规范</w:t>
      </w:r>
      <w:r>
        <w:rPr>
          <w:rFonts w:hint="eastAsia" w:ascii="仿宋_GB2312" w:hAnsi="仿宋_GB2312" w:eastAsia="仿宋_GB2312" w:cs="仿宋_GB2312"/>
          <w:color w:val="auto"/>
          <w:sz w:val="32"/>
          <w:szCs w:val="32"/>
          <w:highlight w:val="none"/>
          <w:lang w:val="en-US" w:eastAsia="zh-CN"/>
        </w:rPr>
        <w:t>；根据评分标准，该指标分值为3分，实际得分3分。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kern w:val="2"/>
          <w:sz w:val="32"/>
          <w:szCs w:val="32"/>
          <w:lang w:val="en-US" w:eastAsia="zh-CN" w:bidi="ar-SA"/>
        </w:rPr>
      </w:pPr>
      <w:r>
        <w:rPr>
          <w:rFonts w:hint="eastAsia" w:ascii="仿宋_GB2312" w:hAnsi="仿宋_GB2312" w:eastAsia="仿宋_GB2312" w:cs="仿宋_GB2312"/>
          <w:b/>
          <w:bCs w:val="0"/>
          <w:color w:val="auto"/>
          <w:kern w:val="2"/>
          <w:sz w:val="32"/>
          <w:szCs w:val="32"/>
          <w:lang w:val="en-US" w:eastAsia="zh-CN" w:bidi="ar-SA"/>
        </w:rPr>
        <w:t>2.绩效目标设立情况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绩效目标合理性</w:t>
      </w:r>
      <w:r>
        <w:rPr>
          <w:rFonts w:hint="eastAsia" w:ascii="仿宋_GB2312" w:hAnsi="仿宋_GB2312" w:eastAsia="仿宋_GB2312" w:cs="仿宋_GB2312"/>
          <w:color w:val="auto"/>
          <w:sz w:val="32"/>
          <w:szCs w:val="32"/>
          <w:highlight w:val="none"/>
          <w:lang w:eastAsia="zh-CN"/>
        </w:rPr>
        <w:t>：该项目已设定绩效目标；项目设定一级指标3个，二级指标7个，三级指标</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eastAsia="zh-CN"/>
        </w:rPr>
        <w:t>个。项目绩效目标与实际工作内容具有相关性;项目预期产出效益和效果符合正常的业绩水平；与预算确定的项目投资额或资金量相匹配并明确了总体思路及目标、对任务进行了详细分解，对目标进行了细化。</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绩效指标明确性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项目实施有明确的年度目标，且将绩效目标细化为一级指标3个，二级指标7个，三级指标10个。</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数量指标：生态护林员人数1407人；</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质量指标：生态护林员补助发放准确率100%，生态护林员完成率100%；</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时效指标：生态护林员补助发放及时率100%，项目完成及时率100%，生态护林员完成工作时限30天；</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成本指标：生态护林员补助标准1万元/人/年；</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社会效益指标：提高生态护林员的生活质量 有效提高。</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可持续影响指标：保障生态护林员基本生活持续保障；</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服务对象满意度指标：生态护林员满意度95%；</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②绩效指标通过清晰、可衡量的指标值予以体现；通过指标设定数与实际完成数对比，指标均已完成。</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③与项目目标任务数或计划数相对应,绩效指标明确;</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总之，</w:t>
      </w:r>
      <w:r>
        <w:rPr>
          <w:rFonts w:hint="eastAsia" w:ascii="仿宋_GB2312" w:hAnsi="仿宋_GB2312" w:eastAsia="仿宋_GB2312" w:cs="仿宋_GB2312"/>
          <w:color w:val="auto"/>
          <w:sz w:val="32"/>
          <w:szCs w:val="32"/>
          <w:highlight w:val="none"/>
        </w:rPr>
        <w:t>绩效指标</w:t>
      </w:r>
      <w:r>
        <w:rPr>
          <w:rFonts w:hint="eastAsia" w:ascii="仿宋_GB2312" w:hAnsi="仿宋_GB2312" w:eastAsia="仿宋_GB2312" w:cs="仿宋_GB2312"/>
          <w:color w:val="auto"/>
          <w:sz w:val="32"/>
          <w:szCs w:val="32"/>
          <w:highlight w:val="none"/>
          <w:lang w:val="en-US" w:eastAsia="zh-CN"/>
        </w:rPr>
        <w:t>的内涵</w:t>
      </w:r>
      <w:r>
        <w:rPr>
          <w:rFonts w:hint="eastAsia" w:ascii="仿宋_GB2312" w:hAnsi="仿宋_GB2312" w:eastAsia="仿宋_GB2312" w:cs="仿宋_GB2312"/>
          <w:color w:val="auto"/>
          <w:sz w:val="32"/>
          <w:szCs w:val="32"/>
          <w:highlight w:val="none"/>
        </w:rPr>
        <w:t>明确、</w:t>
      </w:r>
      <w:r>
        <w:rPr>
          <w:rFonts w:hint="eastAsia" w:ascii="仿宋_GB2312" w:hAnsi="仿宋_GB2312" w:eastAsia="仿宋_GB2312" w:cs="仿宋_GB2312"/>
          <w:color w:val="auto"/>
          <w:sz w:val="32"/>
          <w:szCs w:val="32"/>
          <w:highlight w:val="none"/>
          <w:lang w:val="en-US" w:eastAsia="zh-CN"/>
        </w:rPr>
        <w:t>具体、可衡量</w:t>
      </w:r>
      <w:r>
        <w:rPr>
          <w:rFonts w:hint="eastAsia" w:ascii="仿宋_GB2312" w:hAnsi="仿宋_GB2312" w:eastAsia="仿宋_GB2312" w:cs="仿宋_GB2312"/>
          <w:color w:val="auto"/>
          <w:sz w:val="32"/>
          <w:szCs w:val="32"/>
          <w:highlight w:val="none"/>
        </w:rPr>
        <w:t>。所</w:t>
      </w:r>
      <w:r>
        <w:rPr>
          <w:rFonts w:hint="eastAsia" w:ascii="仿宋_GB2312" w:hAnsi="仿宋_GB2312" w:eastAsia="仿宋_GB2312" w:cs="仿宋_GB2312"/>
          <w:color w:val="auto"/>
          <w:sz w:val="32"/>
          <w:szCs w:val="32"/>
          <w:highlight w:val="none"/>
          <w:lang w:val="en-US" w:eastAsia="zh-CN"/>
        </w:rPr>
        <w:t>设立</w:t>
      </w:r>
      <w:r>
        <w:rPr>
          <w:rFonts w:hint="eastAsia" w:ascii="仿宋_GB2312" w:hAnsi="仿宋_GB2312" w:eastAsia="仿宋_GB2312" w:cs="仿宋_GB2312"/>
          <w:color w:val="auto"/>
          <w:sz w:val="32"/>
          <w:szCs w:val="32"/>
          <w:highlight w:val="none"/>
        </w:rPr>
        <w:t>的绩效指标可以考核并能够指导具体业务工作。</w:t>
      </w:r>
      <w:r>
        <w:rPr>
          <w:rFonts w:hint="eastAsia" w:ascii="仿宋_GB2312" w:hAnsi="仿宋_GB2312" w:eastAsia="仿宋_GB2312" w:cs="仿宋_GB2312"/>
          <w:color w:val="auto"/>
          <w:sz w:val="32"/>
          <w:szCs w:val="32"/>
          <w:highlight w:val="none"/>
          <w:lang w:val="en-US" w:eastAsia="zh-CN"/>
        </w:rPr>
        <w:t>指标与评价对象密切相关，全面反映项目决策、项目和资金管理、产出和效益的核心指标，</w:t>
      </w:r>
      <w:r>
        <w:rPr>
          <w:rFonts w:hint="eastAsia" w:ascii="仿宋_GB2312" w:hAnsi="仿宋_GB2312" w:eastAsia="仿宋_GB2312" w:cs="仿宋_GB2312"/>
          <w:color w:val="auto"/>
          <w:sz w:val="32"/>
          <w:szCs w:val="32"/>
          <w:highlight w:val="none"/>
        </w:rPr>
        <w:t>绩效目标</w:t>
      </w:r>
      <w:r>
        <w:rPr>
          <w:rFonts w:hint="eastAsia" w:ascii="仿宋_GB2312" w:hAnsi="仿宋_GB2312" w:eastAsia="仿宋_GB2312" w:cs="仿宋_GB2312"/>
          <w:color w:val="auto"/>
          <w:sz w:val="32"/>
          <w:szCs w:val="32"/>
          <w:highlight w:val="none"/>
          <w:lang w:val="en-US" w:eastAsia="zh-CN"/>
        </w:rPr>
        <w:t>设立</w:t>
      </w:r>
      <w:r>
        <w:rPr>
          <w:rFonts w:hint="eastAsia" w:ascii="仿宋_GB2312" w:hAnsi="仿宋_GB2312" w:eastAsia="仿宋_GB2312" w:cs="仿宋_GB2312"/>
          <w:color w:val="auto"/>
          <w:sz w:val="32"/>
          <w:szCs w:val="32"/>
          <w:highlight w:val="none"/>
        </w:rPr>
        <w:t>符合相关政策要求和单位工作计划，明确了项目产出数量和预期达到的效果。整体来看，</w:t>
      </w:r>
      <w:r>
        <w:rPr>
          <w:rFonts w:hint="eastAsia" w:ascii="仿宋_GB2312" w:hAnsi="仿宋_GB2312" w:eastAsia="仿宋_GB2312" w:cs="仿宋_GB2312"/>
          <w:color w:val="auto"/>
          <w:sz w:val="32"/>
          <w:szCs w:val="32"/>
          <w:highlight w:val="none"/>
          <w:lang w:val="en-US" w:eastAsia="zh-CN"/>
        </w:rPr>
        <w:t>绩效</w:t>
      </w:r>
      <w:r>
        <w:rPr>
          <w:rFonts w:hint="eastAsia" w:ascii="仿宋_GB2312" w:hAnsi="仿宋_GB2312" w:eastAsia="仿宋_GB2312" w:cs="仿宋_GB2312"/>
          <w:color w:val="auto"/>
          <w:sz w:val="32"/>
          <w:szCs w:val="32"/>
          <w:highlight w:val="none"/>
        </w:rPr>
        <w:t>目标</w:t>
      </w:r>
      <w:r>
        <w:rPr>
          <w:rFonts w:hint="eastAsia" w:ascii="仿宋_GB2312" w:hAnsi="仿宋_GB2312" w:eastAsia="仿宋_GB2312" w:cs="仿宋_GB2312"/>
          <w:color w:val="auto"/>
          <w:sz w:val="32"/>
          <w:szCs w:val="32"/>
          <w:highlight w:val="none"/>
          <w:lang w:val="en-US" w:eastAsia="zh-CN"/>
        </w:rPr>
        <w:t>设立</w:t>
      </w:r>
      <w:r>
        <w:rPr>
          <w:rFonts w:hint="eastAsia" w:ascii="仿宋_GB2312" w:hAnsi="仿宋_GB2312" w:eastAsia="仿宋_GB2312" w:cs="仿宋_GB2312"/>
          <w:color w:val="auto"/>
          <w:sz w:val="32"/>
          <w:szCs w:val="32"/>
          <w:highlight w:val="none"/>
        </w:rPr>
        <w:t>比较明确。</w:t>
      </w:r>
      <w:r>
        <w:rPr>
          <w:rFonts w:hint="eastAsia" w:ascii="仿宋_GB2312" w:hAnsi="仿宋_GB2312" w:eastAsia="仿宋_GB2312" w:cs="仿宋_GB2312"/>
          <w:color w:val="auto"/>
          <w:sz w:val="32"/>
          <w:szCs w:val="32"/>
          <w:highlight w:val="none"/>
          <w:lang w:val="en-US" w:eastAsia="zh-CN"/>
        </w:rPr>
        <w:t>根据评分标准，该指标分值为2分，实际得分2分。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kern w:val="2"/>
          <w:sz w:val="32"/>
          <w:szCs w:val="32"/>
          <w:lang w:val="en-US" w:eastAsia="zh-CN" w:bidi="ar-SA"/>
        </w:rPr>
      </w:pPr>
      <w:r>
        <w:rPr>
          <w:rFonts w:hint="eastAsia" w:ascii="仿宋_GB2312" w:hAnsi="仿宋_GB2312" w:eastAsia="仿宋_GB2312" w:cs="仿宋_GB2312"/>
          <w:b/>
          <w:bCs w:val="0"/>
          <w:color w:val="auto"/>
          <w:kern w:val="2"/>
          <w:sz w:val="32"/>
          <w:szCs w:val="32"/>
          <w:lang w:val="en-US" w:eastAsia="zh-CN" w:bidi="ar-SA"/>
        </w:rPr>
        <w:t>3.资金投入情况</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）预算编制科学性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该项目预算资金为1407</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val="en-US" w:eastAsia="zh-CN"/>
        </w:rPr>
        <w:t>，项目预算编制经过科学论证、明确标准，资金额度与年度目标相适应，制定了明确详细的项目资金支出计划和进度，体现了该项目预算编制的科学性和合理性。根据评分标准，该指标分值为5分，实际得分5分。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）资金分配合理性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该项目预算资金分配额度合理，与工作任务相匹配，充分体现了资金分配的合理性。根据评分标准，该指标分值为2分，实际得分2分。</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76" w:name="_Toc5632"/>
      <w:r>
        <w:rPr>
          <w:rFonts w:hint="eastAsia" w:ascii="方正楷体_GBK" w:hAnsi="方正楷体_GBK" w:eastAsia="方正楷体_GBK" w:cs="方正楷体_GBK"/>
          <w:b/>
          <w:bCs/>
          <w:color w:val="auto"/>
          <w:sz w:val="32"/>
          <w:szCs w:val="32"/>
        </w:rPr>
        <w:t>（二）项目管理</w:t>
      </w:r>
      <w:r>
        <w:rPr>
          <w:rFonts w:hint="eastAsia" w:ascii="方正楷体_GBK" w:hAnsi="方正楷体_GBK" w:eastAsia="方正楷体_GBK" w:cs="方正楷体_GBK"/>
          <w:b/>
          <w:bCs/>
          <w:color w:val="auto"/>
          <w:sz w:val="32"/>
          <w:szCs w:val="32"/>
          <w:lang w:val="en-US" w:eastAsia="zh-CN"/>
        </w:rPr>
        <w:t>过程</w:t>
      </w:r>
      <w:r>
        <w:rPr>
          <w:rFonts w:hint="eastAsia" w:ascii="方正楷体_GBK" w:hAnsi="方正楷体_GBK" w:eastAsia="方正楷体_GBK" w:cs="方正楷体_GBK"/>
          <w:b/>
          <w:bCs/>
          <w:color w:val="auto"/>
          <w:sz w:val="32"/>
          <w:szCs w:val="32"/>
        </w:rPr>
        <w:t>情况分析</w:t>
      </w:r>
      <w:bookmarkEnd w:id="76"/>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bookmarkStart w:id="77" w:name="_Toc11398"/>
      <w:r>
        <w:rPr>
          <w:rFonts w:hint="eastAsia" w:ascii="仿宋_GB2312" w:hAnsi="仿宋_GB2312" w:eastAsia="仿宋_GB2312" w:cs="仿宋_GB2312"/>
          <w:b/>
          <w:bCs w:val="0"/>
          <w:color w:val="auto"/>
          <w:sz w:val="32"/>
          <w:szCs w:val="32"/>
        </w:rPr>
        <w:t>1.项目资金</w:t>
      </w:r>
      <w:bookmarkEnd w:id="77"/>
      <w:r>
        <w:rPr>
          <w:rFonts w:hint="eastAsia" w:ascii="仿宋_GB2312" w:hAnsi="仿宋_GB2312" w:eastAsia="仿宋_GB2312" w:cs="仿宋_GB2312"/>
          <w:b/>
          <w:bCs w:val="0"/>
          <w:color w:val="auto"/>
          <w:sz w:val="32"/>
          <w:szCs w:val="32"/>
          <w:lang w:val="en-US" w:eastAsia="zh-CN"/>
        </w:rPr>
        <w:t>情况</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w:t>
      </w:r>
      <w:r>
        <w:rPr>
          <w:rFonts w:hint="eastAsia" w:ascii="仿宋_GB2312" w:hAnsi="仿宋_GB2312" w:eastAsia="仿宋_GB2312" w:cs="仿宋_GB2312"/>
          <w:b/>
          <w:bCs w:val="0"/>
          <w:color w:val="auto"/>
          <w:sz w:val="32"/>
          <w:szCs w:val="32"/>
          <w:lang w:val="en-US" w:eastAsia="zh-CN"/>
        </w:rPr>
        <w:t>1</w:t>
      </w:r>
      <w:r>
        <w:rPr>
          <w:rFonts w:hint="eastAsia" w:ascii="仿宋_GB2312" w:hAnsi="仿宋_GB2312" w:eastAsia="仿宋_GB2312" w:cs="仿宋_GB2312"/>
          <w:b/>
          <w:bCs w:val="0"/>
          <w:color w:val="auto"/>
          <w:sz w:val="32"/>
          <w:szCs w:val="32"/>
        </w:rPr>
        <w:t>）资金到位情况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该项目预算安排总额为1407万元，到位资金1407万元，资金到位率100%。根据评分标准，该指标分值为2分，实际得分2分。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）预算管理情况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预算执行与预算编制基本一致，项目预算</w:t>
      </w:r>
      <w:r>
        <w:rPr>
          <w:rFonts w:hint="eastAsia" w:ascii="仿宋_GB2312" w:hAnsi="仿宋_GB2312" w:eastAsia="仿宋_GB2312" w:cs="仿宋_GB2312"/>
          <w:color w:val="auto"/>
          <w:sz w:val="32"/>
          <w:szCs w:val="32"/>
          <w:highlight w:val="none"/>
          <w:lang w:val="en-US" w:eastAsia="zh-CN"/>
        </w:rPr>
        <w:t>1407</w:t>
      </w:r>
      <w:r>
        <w:rPr>
          <w:rFonts w:hint="eastAsia" w:ascii="仿宋_GB2312" w:hAnsi="仿宋_GB2312" w:eastAsia="仿宋_GB2312" w:cs="仿宋_GB2312"/>
          <w:color w:val="auto"/>
          <w:sz w:val="32"/>
          <w:szCs w:val="32"/>
          <w:highlight w:val="none"/>
        </w:rPr>
        <w:t>万元，实际支出</w:t>
      </w:r>
      <w:r>
        <w:rPr>
          <w:rFonts w:hint="eastAsia" w:ascii="仿宋_GB2312" w:hAnsi="仿宋_GB2312" w:eastAsia="仿宋_GB2312" w:cs="仿宋_GB2312"/>
          <w:color w:val="auto"/>
          <w:sz w:val="32"/>
          <w:szCs w:val="32"/>
          <w:highlight w:val="none"/>
          <w:lang w:val="en-US" w:eastAsia="zh-CN"/>
        </w:rPr>
        <w:t>1407</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预算执行率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根据评分标准，该指标分值为5分，实际得分5分。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3" w:firstLineChars="200"/>
        <w:textAlignment w:val="auto"/>
        <w:outlineLvl w:val="9"/>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(3)资金使用合规性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该项目由新疆维吾尔自治区疏附县自然资源局主管并具体负责实施。</w:t>
      </w:r>
      <w:r>
        <w:rPr>
          <w:rFonts w:hint="eastAsia" w:ascii="仿宋_GB2312" w:hAnsi="仿宋_GB2312" w:eastAsia="仿宋_GB2312" w:cs="仿宋_GB2312"/>
          <w:color w:val="auto"/>
          <w:kern w:val="2"/>
          <w:sz w:val="32"/>
          <w:szCs w:val="32"/>
          <w:lang w:val="en-US" w:eastAsia="zh-CN" w:bidi="ar-SA"/>
        </w:rPr>
        <w:t>该项目资金严格按照项目资金管理办法和地区财政资金管理制度支付资金;项目实施单位依据项目计划和实施进度提出支付申请并提供相关真实、合规的印证材料，制定资金使用计划，经审核后按照国库集中支付管理制度的规定和程序及时支付资金。项目资金支付后，在审计或检查中发现资金使用存在违法违规问题的，及时追回、收回。对资金使用严格监管，防止资金使用不精准、虚报冒领。资金的支付有完整的审批程序和手续，符合制度要求;项目资金进行单独核算，财务手续基本合理、完整，未发现财政资金有截留、挤占、挪用、虚列开支等情况。</w:t>
      </w:r>
      <w:r>
        <w:rPr>
          <w:rFonts w:hint="eastAsia" w:ascii="仿宋_GB2312" w:hAnsi="仿宋_GB2312" w:eastAsia="仿宋_GB2312" w:cs="仿宋_GB2312"/>
          <w:color w:val="auto"/>
          <w:sz w:val="32"/>
          <w:szCs w:val="32"/>
          <w:highlight w:val="none"/>
          <w:lang w:val="en-US" w:eastAsia="zh-CN"/>
        </w:rPr>
        <w:t>根据评分标准，该指标分值为5分，实际得分5分。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w:t>
      </w:r>
      <w:r>
        <w:rPr>
          <w:rFonts w:hint="eastAsia" w:ascii="仿宋_GB2312" w:hAnsi="仿宋_GB2312" w:eastAsia="仿宋_GB2312" w:cs="仿宋_GB2312"/>
          <w:b/>
          <w:bCs w:val="0"/>
          <w:color w:val="auto"/>
          <w:sz w:val="32"/>
          <w:szCs w:val="32"/>
        </w:rPr>
        <w:t>.</w:t>
      </w:r>
      <w:r>
        <w:rPr>
          <w:rFonts w:hint="eastAsia" w:ascii="仿宋_GB2312" w:hAnsi="仿宋_GB2312" w:eastAsia="仿宋_GB2312" w:cs="仿宋_GB2312"/>
          <w:b/>
          <w:bCs w:val="0"/>
          <w:color w:val="auto"/>
          <w:sz w:val="32"/>
          <w:szCs w:val="32"/>
          <w:lang w:val="en-US" w:eastAsia="zh-CN"/>
        </w:rPr>
        <w:t>组织实施情况</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lang w:eastAsia="zh-CN"/>
        </w:rPr>
        <w:t>（</w:t>
      </w:r>
      <w:r>
        <w:rPr>
          <w:rFonts w:hint="eastAsia" w:ascii="仿宋_GB2312" w:hAnsi="仿宋_GB2312" w:eastAsia="仿宋_GB2312" w:cs="仿宋_GB2312"/>
          <w:b/>
          <w:bCs w:val="0"/>
          <w:color w:val="auto"/>
          <w:sz w:val="32"/>
          <w:szCs w:val="32"/>
          <w:highlight w:val="none"/>
          <w:lang w:val="en-US" w:eastAsia="zh-CN"/>
        </w:rPr>
        <w:t>1</w:t>
      </w:r>
      <w:r>
        <w:rPr>
          <w:rFonts w:hint="eastAsia" w:ascii="仿宋_GB2312" w:hAnsi="仿宋_GB2312" w:eastAsia="仿宋_GB2312" w:cs="仿宋_GB2312"/>
          <w:b/>
          <w:bCs w:val="0"/>
          <w:color w:val="auto"/>
          <w:sz w:val="32"/>
          <w:szCs w:val="32"/>
          <w:highlight w:val="none"/>
          <w:lang w:eastAsia="zh-CN"/>
        </w:rPr>
        <w:t>）</w:t>
      </w:r>
      <w:r>
        <w:rPr>
          <w:rFonts w:hint="eastAsia" w:ascii="仿宋_GB2312" w:hAnsi="仿宋_GB2312" w:eastAsia="仿宋_GB2312" w:cs="仿宋_GB2312"/>
          <w:b/>
          <w:bCs w:val="0"/>
          <w:color w:val="auto"/>
          <w:sz w:val="32"/>
          <w:szCs w:val="32"/>
          <w:highlight w:val="none"/>
        </w:rPr>
        <w:t>管理制度健全性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该项目按照《中央财政衔接推进乡村振兴补助资金管理办法》、《新疆维吾尔自治区财政衔接推进乡村振兴补助资金管理办法》、《关于转发&lt;新疆维吾尔自治区财政衔接推进乡村振兴补助资金管理办法&gt;的通知》等文件，规范了项目资金使用等过程在相关标准，确保项目实施单位的资金预算申请、资金执行、资金调整、监督检查、验收制度和流程的有效监督管控，同时，该单位预算资金设立专项账户，并指定专人管理。建立健全内部财务管理制度，加强会计日常核算和监督，加强资金的预算、控制、分析和检查工作，做好项目财务管理基础工作；项目实行审计制度，由相关部门对项目采取审计。根据评分标准，该指标分值为4分，实际得分4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highlight w:val="cya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制度执行有效性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方正楷体_GBK" w:hAnsi="方正楷体_GBK" w:eastAsia="方正楷体_GBK" w:cs="方正楷体_GBK"/>
          <w:b/>
          <w:bCs/>
          <w:color w:val="auto"/>
          <w:sz w:val="32"/>
          <w:szCs w:val="32"/>
        </w:rPr>
      </w:pPr>
      <w:r>
        <w:rPr>
          <w:rFonts w:hint="eastAsia" w:ascii="仿宋_GB2312" w:hAnsi="仿宋_GB2312" w:eastAsia="仿宋_GB2312" w:cs="仿宋_GB2312"/>
          <w:color w:val="auto"/>
          <w:sz w:val="32"/>
          <w:szCs w:val="32"/>
          <w:highlight w:val="none"/>
          <w:lang w:val="en-US" w:eastAsia="zh-CN"/>
        </w:rPr>
        <w:t>该项目管理依据《中华人民共和国预算法》、新疆维吾尔自治区财政厅下发的《自治区党委自治区人民政府关于全面实施预算绩效管理的实施意见》、《自治区全面实施预算绩效管理的工作方案》和《财政部关于印发&lt;项目支出绩效评价管理办法&gt;》等相关文件，一是采取现场调研的方式，对生态护林员补助项目资金管理工作进行监督检查。重点对资金执行及项目实施情况进行监督，及时对发现的问题进行反馈，督促指导项目运行管理，确保项目的高效运行；二是项目启动实施后，为了加快该项目的实施，成立了生态护林员补助项目工作领导小组，由新疆维吾尔自治区疏附县自然资源局党组局长苏建新任组长，加强生态护林员补助项目管理工作的组织领导，并将生态护林员补助项目作为社会保险管理局工作考评和绩效考核工作的重要内容。按照实施方案资金拨付进度资金拨付申请。项目单位实行专账核算，财务存档资料完整，财 务流程清晰，财务处理及时合理，会计核算较规范；三是加强对项目资金的预算执行及日常监督管理，确保每个项目按照规定的用途实施。资金拨付坚持按项目、预算、进度、指定用途拨款，确保财政专项资金规范使用。项目实施过程中各级单位履行监管职能，各项制度执行有效。</w:t>
      </w:r>
      <w:bookmarkStart w:id="78" w:name="_Toc11154"/>
      <w:r>
        <w:rPr>
          <w:rFonts w:hint="eastAsia" w:ascii="仿宋_GB2312" w:hAnsi="仿宋_GB2312" w:eastAsia="仿宋_GB2312" w:cs="仿宋_GB2312"/>
          <w:color w:val="auto"/>
          <w:sz w:val="32"/>
          <w:szCs w:val="32"/>
          <w:highlight w:val="none"/>
          <w:lang w:val="en-US" w:eastAsia="zh-CN"/>
        </w:rPr>
        <w:t>根据评分标准，该指标分值为4分，实际得分4分。</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Cs/>
          <w:color w:val="auto"/>
          <w:sz w:val="32"/>
          <w:szCs w:val="32"/>
          <w:lang w:val="en-US" w:eastAsia="zh-CN"/>
        </w:rPr>
      </w:pPr>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三</w:t>
      </w:r>
      <w:r>
        <w:rPr>
          <w:rFonts w:hint="eastAsia" w:ascii="方正楷体_GBK" w:hAnsi="方正楷体_GBK" w:eastAsia="方正楷体_GBK" w:cs="方正楷体_GBK"/>
          <w:b/>
          <w:bCs/>
          <w:color w:val="auto"/>
          <w:sz w:val="32"/>
          <w:szCs w:val="32"/>
        </w:rPr>
        <w:t>）项目</w:t>
      </w:r>
      <w:r>
        <w:rPr>
          <w:rFonts w:hint="eastAsia" w:ascii="方正楷体_GBK" w:hAnsi="方正楷体_GBK" w:eastAsia="方正楷体_GBK" w:cs="方正楷体_GBK"/>
          <w:b/>
          <w:bCs/>
          <w:color w:val="auto"/>
          <w:sz w:val="32"/>
          <w:szCs w:val="32"/>
          <w:lang w:val="en-US" w:eastAsia="zh-CN"/>
        </w:rPr>
        <w:t>产出</w:t>
      </w:r>
      <w:r>
        <w:rPr>
          <w:rFonts w:hint="eastAsia" w:ascii="方正楷体_GBK" w:hAnsi="方正楷体_GBK" w:eastAsia="方正楷体_GBK" w:cs="方正楷体_GBK"/>
          <w:b/>
          <w:bCs/>
          <w:color w:val="auto"/>
          <w:sz w:val="32"/>
          <w:szCs w:val="32"/>
        </w:rPr>
        <w:t>情况分析</w:t>
      </w:r>
      <w:bookmarkEnd w:id="78"/>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1.产出数量情况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截止绩效评价日，1407名生态护林员对林原进行管护，达到了预期指标。根据评分标准，该指标分值为8分，实际得分为8分。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2.产出质量情况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截止绩效评价日，生态护林员补助发放准确率100%，生态护林员完成率100%，与预期目标一致，质量指标已完成。根据评分标准，该指标分值为8分，实际得分为8分。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3.产出时效情况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该项目生态护林员补助发放及时率100%,项目完成及时率100%，生态护林员完成工作时限30天，与预期目标指标一致,时效指标已完成。根据评分标准，该指标分值为6分，实际得分为6分。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4.产出成本情况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79" w:name="_Toc16317"/>
      <w:r>
        <w:rPr>
          <w:rFonts w:hint="eastAsia" w:ascii="仿宋_GB2312" w:hAnsi="仿宋_GB2312" w:eastAsia="仿宋_GB2312" w:cs="仿宋_GB2312"/>
          <w:color w:val="auto"/>
          <w:sz w:val="32"/>
          <w:szCs w:val="32"/>
          <w:highlight w:val="none"/>
          <w:lang w:val="en-US" w:eastAsia="zh-CN"/>
        </w:rPr>
        <w:t>生态护林员补助项目资金总金额1407万元，生态护林员补助标准10000元/人/年，截止绩效评价日，已支付1407万元，该项目补助经费已控制在绩效目标预算范围之内。</w:t>
      </w:r>
      <w:bookmarkEnd w:id="79"/>
      <w:r>
        <w:rPr>
          <w:rFonts w:hint="eastAsia" w:ascii="仿宋_GB2312" w:hAnsi="仿宋_GB2312" w:eastAsia="仿宋_GB2312" w:cs="仿宋_GB2312"/>
          <w:color w:val="auto"/>
          <w:sz w:val="32"/>
          <w:szCs w:val="32"/>
          <w:highlight w:val="none"/>
          <w:lang w:val="en-US" w:eastAsia="zh-CN"/>
        </w:rPr>
        <w:t>根据评分标准，该指标分值为8分，实际得分为8分。</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Times New Roman" w:hAnsi="Times New Roman" w:eastAsia="仿宋_GB2312" w:cs="宋体"/>
          <w:b/>
          <w:bCs/>
          <w:color w:val="auto"/>
          <w:sz w:val="32"/>
          <w:szCs w:val="32"/>
          <w:highlight w:val="none"/>
          <w:lang w:val="en-US" w:eastAsia="zh-CN"/>
        </w:rPr>
      </w:pPr>
      <w:bookmarkStart w:id="80" w:name="_Toc15941"/>
      <w:r>
        <w:rPr>
          <w:rFonts w:hint="eastAsia" w:ascii="Times New Roman" w:hAnsi="Times New Roman" w:eastAsia="仿宋_GB2312" w:cs="宋体"/>
          <w:b/>
          <w:bCs/>
          <w:color w:val="auto"/>
          <w:sz w:val="32"/>
          <w:szCs w:val="32"/>
          <w:highlight w:val="none"/>
          <w:lang w:val="en-US" w:eastAsia="zh-CN"/>
        </w:rPr>
        <w:t>（四）项目效益评价分析</w:t>
      </w:r>
      <w:bookmarkEnd w:id="80"/>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1.经济效益情况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该项目不涉及经济效益。</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2.社会效益情况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通过实施本项目，提高了年度总收入，有效缓解了经济条件，提高了生态护林员的生活质量，保障了基本生活。根据评分标准，该指标分值为10分，实际得分为10分。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3.生态效益指标</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该项目不涉及生态效益。</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4.可持续影响情况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项目实施后持续保障了保障生态护林员基本生活。根据评分标准，该指标分值为10分，实际得分为10分。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5.服务对象满意度情况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通过走访受益对象，发放调查问卷一共100份，回收有效问卷共计100份，按照调查问卷来看，生态护林员满意程度达95%。根据评分标准，该指标分值为10分，实际得分为10分。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81" w:name="_Toc9350"/>
      <w:r>
        <w:rPr>
          <w:rFonts w:hint="eastAsia" w:ascii="方正黑体_GBK" w:hAnsi="方正黑体_GBK" w:eastAsia="方正黑体_GBK" w:cs="方正黑体_GBK"/>
          <w:color w:val="auto"/>
          <w:sz w:val="32"/>
          <w:szCs w:val="32"/>
          <w:highlight w:val="none"/>
          <w:lang w:val="en-US" w:eastAsia="zh-CN"/>
        </w:rPr>
        <w:t>四、</w:t>
      </w:r>
      <w:r>
        <w:rPr>
          <w:rFonts w:hint="eastAsia" w:ascii="方正黑体_GBK" w:hAnsi="方正黑体_GBK" w:eastAsia="方正黑体_GBK" w:cs="方正黑体_GBK"/>
          <w:color w:val="auto"/>
          <w:sz w:val="32"/>
          <w:szCs w:val="32"/>
          <w:highlight w:val="none"/>
        </w:rPr>
        <w:t>评价结论</w:t>
      </w:r>
      <w:bookmarkEnd w:id="81"/>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82" w:name="_Toc21354"/>
      <w:r>
        <w:rPr>
          <w:rFonts w:hint="eastAsia" w:ascii="方正楷体_GBK" w:hAnsi="方正楷体_GBK" w:eastAsia="方正楷体_GBK" w:cs="方正楷体_GBK"/>
          <w:b/>
          <w:bCs/>
          <w:color w:val="auto"/>
          <w:sz w:val="32"/>
          <w:szCs w:val="32"/>
          <w:highlight w:val="none"/>
        </w:rPr>
        <w:t>（一）评分结果</w:t>
      </w:r>
      <w:bookmarkEnd w:id="82"/>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经综合评价，项目得分为100分，评价等级为优，一级指标各项得分情况见下表：</w:t>
      </w:r>
    </w:p>
    <w:p>
      <w:pPr>
        <w:pStyle w:val="37"/>
        <w:rPr>
          <w:rFonts w:ascii="Times New Roman" w:hAnsi="Times New Roman" w:eastAsia="仿宋_GB2312"/>
          <w:color w:val="auto"/>
          <w:highlight w:val="none"/>
        </w:rPr>
      </w:pPr>
      <w:r>
        <w:rPr>
          <w:rFonts w:hint="eastAsia" w:ascii="Times New Roman" w:hAnsi="Times New Roman" w:eastAsia="仿宋_GB2312"/>
          <w:color w:val="auto"/>
          <w:highlight w:val="none"/>
          <w:lang w:eastAsia="zh-CN"/>
        </w:rPr>
        <w:t>202</w:t>
      </w:r>
      <w:r>
        <w:rPr>
          <w:rFonts w:hint="eastAsia"/>
          <w:color w:val="auto"/>
          <w:highlight w:val="none"/>
          <w:lang w:val="en-US" w:eastAsia="zh-CN"/>
        </w:rPr>
        <w:t>1</w:t>
      </w:r>
      <w:r>
        <w:rPr>
          <w:rFonts w:hint="eastAsia" w:ascii="Times New Roman" w:hAnsi="Times New Roman" w:eastAsia="仿宋_GB2312"/>
          <w:color w:val="auto"/>
          <w:highlight w:val="none"/>
        </w:rPr>
        <w:t>年度该项目绩效评价</w:t>
      </w:r>
      <w:r>
        <w:rPr>
          <w:rFonts w:ascii="Times New Roman" w:hAnsi="Times New Roman" w:eastAsia="仿宋_GB2312"/>
          <w:color w:val="auto"/>
          <w:highlight w:val="none"/>
        </w:rPr>
        <w:t>得分情况表</w:t>
      </w:r>
    </w:p>
    <w:tbl>
      <w:tblPr>
        <w:tblStyle w:val="17"/>
        <w:tblW w:w="83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1543"/>
        <w:gridCol w:w="1413"/>
        <w:gridCol w:w="1152"/>
        <w:gridCol w:w="1290"/>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1517"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指标</w:t>
            </w:r>
          </w:p>
        </w:tc>
        <w:tc>
          <w:tcPr>
            <w:tcW w:w="1543"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项目决策</w:t>
            </w:r>
          </w:p>
        </w:tc>
        <w:tc>
          <w:tcPr>
            <w:tcW w:w="1413" w:type="dxa"/>
            <w:tcBorders>
              <w:bottom w:val="single" w:color="auto" w:sz="4" w:space="0"/>
            </w:tcBorders>
            <w:shd w:val="clear" w:color="auto" w:fill="A6A6A6"/>
            <w:vAlign w:val="center"/>
          </w:tcPr>
          <w:p>
            <w:pPr>
              <w:pStyle w:val="37"/>
              <w:spacing w:line="240" w:lineRule="exact"/>
              <w:rPr>
                <w:rFonts w:hint="eastAsia"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rPr>
              <w:t>项目</w:t>
            </w:r>
            <w:r>
              <w:rPr>
                <w:rFonts w:hint="eastAsia" w:cs="仿宋"/>
                <w:color w:val="auto"/>
                <w:sz w:val="21"/>
                <w:szCs w:val="21"/>
                <w:highlight w:val="none"/>
                <w:lang w:val="en-US" w:eastAsia="zh-CN"/>
              </w:rPr>
              <w:t>过程</w:t>
            </w:r>
          </w:p>
        </w:tc>
        <w:tc>
          <w:tcPr>
            <w:tcW w:w="1152" w:type="dxa"/>
            <w:tcBorders>
              <w:bottom w:val="single" w:color="auto" w:sz="4" w:space="0"/>
            </w:tcBorders>
            <w:shd w:val="clear" w:color="auto" w:fill="A6A6A6"/>
            <w:vAlign w:val="center"/>
          </w:tcPr>
          <w:p>
            <w:pPr>
              <w:pStyle w:val="37"/>
              <w:spacing w:line="240" w:lineRule="exact"/>
              <w:rPr>
                <w:rFonts w:hint="default"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lang w:val="en-US" w:eastAsia="zh-CN"/>
              </w:rPr>
              <w:t>项目产出</w:t>
            </w:r>
          </w:p>
        </w:tc>
        <w:tc>
          <w:tcPr>
            <w:tcW w:w="1290" w:type="dxa"/>
            <w:tcBorders>
              <w:bottom w:val="single" w:color="auto" w:sz="4" w:space="0"/>
            </w:tcBorders>
            <w:shd w:val="clear" w:color="auto" w:fill="A6A6A6"/>
            <w:vAlign w:val="center"/>
          </w:tcPr>
          <w:p>
            <w:pPr>
              <w:pStyle w:val="37"/>
              <w:spacing w:line="240" w:lineRule="exact"/>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ascii="Times New Roman" w:hAnsi="Times New Roman" w:eastAsia="仿宋_GB2312" w:cs="仿宋"/>
                <w:color w:val="auto"/>
                <w:sz w:val="21"/>
                <w:szCs w:val="21"/>
                <w:highlight w:val="none"/>
                <w:lang w:val="en-US" w:eastAsia="zh-CN"/>
              </w:rPr>
              <w:t>效益</w:t>
            </w:r>
          </w:p>
        </w:tc>
        <w:tc>
          <w:tcPr>
            <w:tcW w:w="1388"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权重</w:t>
            </w:r>
          </w:p>
        </w:tc>
        <w:tc>
          <w:tcPr>
            <w:tcW w:w="1543" w:type="dxa"/>
            <w:vAlign w:val="center"/>
          </w:tcPr>
          <w:p>
            <w:pPr>
              <w:pStyle w:val="37"/>
              <w:spacing w:line="240" w:lineRule="exact"/>
              <w:rPr>
                <w:rFonts w:hint="eastAsia" w:ascii="Times New Roman" w:hAnsi="Times New Roman" w:eastAsia="仿宋_GB2312" w:cs="仿宋"/>
                <w:b w:val="0"/>
                <w:color w:val="auto"/>
                <w:sz w:val="21"/>
                <w:szCs w:val="21"/>
                <w:highlight w:val="none"/>
                <w:lang w:eastAsia="zh-CN"/>
              </w:rPr>
            </w:pPr>
            <w:r>
              <w:rPr>
                <w:rFonts w:hint="eastAsia" w:ascii="Times New Roman" w:hAnsi="Times New Roman" w:eastAsia="仿宋_GB2312" w:cs="仿宋"/>
                <w:b w:val="0"/>
                <w:color w:val="auto"/>
                <w:sz w:val="21"/>
                <w:szCs w:val="21"/>
                <w:highlight w:val="none"/>
              </w:rPr>
              <w:t>2</w:t>
            </w:r>
            <w:r>
              <w:rPr>
                <w:rFonts w:hint="eastAsia" w:ascii="Times New Roman" w:hAnsi="Times New Roman" w:eastAsia="仿宋_GB2312" w:cs="仿宋"/>
                <w:b w:val="0"/>
                <w:color w:val="auto"/>
                <w:sz w:val="21"/>
                <w:szCs w:val="21"/>
                <w:highlight w:val="none"/>
                <w:lang w:val="en-US" w:eastAsia="zh-CN"/>
              </w:rPr>
              <w:t>0</w:t>
            </w:r>
          </w:p>
        </w:tc>
        <w:tc>
          <w:tcPr>
            <w:tcW w:w="141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152"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分值</w:t>
            </w:r>
          </w:p>
        </w:tc>
        <w:tc>
          <w:tcPr>
            <w:tcW w:w="154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41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19.98</w:t>
            </w:r>
          </w:p>
        </w:tc>
        <w:tc>
          <w:tcPr>
            <w:tcW w:w="1152"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得分率</w:t>
            </w:r>
          </w:p>
        </w:tc>
        <w:tc>
          <w:tcPr>
            <w:tcW w:w="1543"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413"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99.9</w:t>
            </w:r>
            <w:r>
              <w:rPr>
                <w:rFonts w:hint="eastAsia" w:ascii="Times New Roman" w:hAnsi="Times New Roman" w:eastAsia="仿宋_GB2312" w:cs="仿宋"/>
                <w:b w:val="0"/>
                <w:color w:val="auto"/>
                <w:sz w:val="21"/>
                <w:szCs w:val="21"/>
                <w:highlight w:val="none"/>
              </w:rPr>
              <w:t>%</w:t>
            </w:r>
          </w:p>
        </w:tc>
        <w:tc>
          <w:tcPr>
            <w:tcW w:w="1152" w:type="dxa"/>
            <w:vAlign w:val="center"/>
          </w:tcPr>
          <w:p>
            <w:pPr>
              <w:pStyle w:val="37"/>
              <w:spacing w:line="240" w:lineRule="exact"/>
              <w:rPr>
                <w:rFonts w:hint="eastAsia"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290"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388"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r>
    </w:tbl>
    <w:p>
      <w:pPr>
        <w:pStyle w:val="30"/>
        <w:numPr>
          <w:ilvl w:val="0"/>
          <w:numId w:val="3"/>
        </w:numPr>
        <w:adjustRightInd w:val="0"/>
        <w:snapToGrid w:val="0"/>
        <w:spacing w:line="560" w:lineRule="exact"/>
        <w:ind w:left="0" w:firstLine="643"/>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评价结论</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20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3" w:name="_Toc5939"/>
      <w:r>
        <w:rPr>
          <w:rFonts w:hint="eastAsia" w:ascii="方正楷体_GBK" w:hAnsi="方正楷体_GBK" w:eastAsia="方正楷体_GBK" w:cs="方正楷体_GBK"/>
          <w:b/>
          <w:bCs/>
          <w:color w:val="auto"/>
          <w:sz w:val="32"/>
          <w:szCs w:val="32"/>
          <w:highlight w:val="none"/>
          <w:lang w:val="en-US" w:eastAsia="zh-CN"/>
        </w:rPr>
        <w:t>（二）综合分析评价</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是根据所收集的资料，结合现场勘查等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开展专家评审会，行业专家、第三方专家以及财政部门，邀请人大代表监督全过程，对报告提出整改意见和需修改完善的内容，评价工作组及时作出整改。五是征求</w:t>
      </w:r>
      <w:r>
        <w:rPr>
          <w:rFonts w:hint="eastAsia" w:ascii="仿宋_GB2312" w:hAnsi="仿宋_GB2312" w:eastAsia="仿宋_GB2312" w:cs="仿宋_GB2312"/>
          <w:color w:val="auto"/>
          <w:kern w:val="2"/>
          <w:sz w:val="32"/>
          <w:szCs w:val="32"/>
          <w:highlight w:val="none"/>
          <w:lang w:val="en-US" w:eastAsia="zh-CN" w:bidi="ar-SA"/>
        </w:rPr>
        <w:t>疏附</w:t>
      </w:r>
      <w:r>
        <w:rPr>
          <w:rFonts w:hint="default" w:ascii="仿宋_GB2312" w:hAnsi="仿宋_GB2312" w:eastAsia="仿宋_GB2312" w:cs="仿宋_GB2312"/>
          <w:color w:val="auto"/>
          <w:kern w:val="2"/>
          <w:sz w:val="32"/>
          <w:szCs w:val="32"/>
          <w:highlight w:val="none"/>
          <w:lang w:val="en-US" w:eastAsia="zh-CN" w:bidi="ar-SA"/>
        </w:rPr>
        <w:t>县财政局和项目实施单位的意见，并结合反馈意见形成正式报告。</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三</w:t>
      </w:r>
      <w:r>
        <w:rPr>
          <w:rFonts w:hint="eastAsia" w:ascii="方正楷体_GBK" w:hAnsi="方正楷体_GBK" w:eastAsia="方正楷体_GBK" w:cs="方正楷体_GBK"/>
          <w:b/>
          <w:bCs/>
          <w:color w:val="auto"/>
          <w:sz w:val="32"/>
          <w:szCs w:val="32"/>
          <w:highlight w:val="none"/>
        </w:rPr>
        <w:t>）项目总体评价结论</w:t>
      </w:r>
      <w:bookmarkEnd w:id="83"/>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较规范，绩效目标合理，绩效指标明确，项目管理制度较健全，制度建设基本有效执行。项目预算资金1407万元，到位资金1407万元，资金到位率100%，实际支出1407万元，预算资金执行率100%。资金使用程序较规范，能够做到专项资金专款专用，未发现截留、挤占、挪用、虚列支出等情况。</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lang w:val="en-US" w:eastAsia="zh-CN"/>
        </w:rPr>
      </w:pPr>
      <w:bookmarkStart w:id="84" w:name="_Toc4634"/>
      <w:r>
        <w:rPr>
          <w:rFonts w:hint="eastAsia" w:ascii="方正黑体_GBK" w:hAnsi="方正黑体_GBK" w:eastAsia="方正黑体_GBK" w:cs="方正黑体_GBK"/>
          <w:color w:val="auto"/>
          <w:sz w:val="32"/>
          <w:szCs w:val="32"/>
          <w:highlight w:val="none"/>
        </w:rPr>
        <w:t>五、建议的问题</w:t>
      </w:r>
      <w:bookmarkEnd w:id="84"/>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color w:val="auto"/>
          <w:sz w:val="32"/>
          <w:szCs w:val="32"/>
          <w:highlight w:val="none"/>
        </w:rPr>
      </w:pPr>
      <w:bookmarkStart w:id="85" w:name="_Toc11657"/>
      <w:bookmarkStart w:id="86" w:name="_Toc14039"/>
      <w:r>
        <w:rPr>
          <w:rFonts w:hint="eastAsia" w:ascii="方正楷体_GBK" w:hAnsi="方正楷体_GBK" w:eastAsia="方正楷体_GBK" w:cs="方正楷体_GBK"/>
          <w:b/>
          <w:bCs/>
          <w:color w:val="auto"/>
          <w:sz w:val="32"/>
          <w:szCs w:val="32"/>
          <w:highlight w:val="none"/>
        </w:rPr>
        <w:t>（一）问题</w:t>
      </w:r>
      <w:bookmarkEnd w:id="85"/>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Times New Roman" w:hAnsi="Times New Roman" w:eastAsia="仿宋_GB2312" w:cs="宋体"/>
          <w:b w:val="0"/>
          <w:bCs w:val="0"/>
          <w:color w:val="auto"/>
          <w:sz w:val="32"/>
          <w:szCs w:val="32"/>
          <w:highlight w:val="none"/>
          <w:lang w:val="en-US" w:eastAsia="zh-CN"/>
        </w:rPr>
      </w:pPr>
      <w:bookmarkStart w:id="87" w:name="_Toc23063"/>
      <w:r>
        <w:rPr>
          <w:rFonts w:hint="eastAsia" w:ascii="Times New Roman" w:hAnsi="Times New Roman" w:eastAsia="仿宋_GB2312" w:cs="宋体"/>
          <w:b w:val="0"/>
          <w:bCs w:val="0"/>
          <w:color w:val="auto"/>
          <w:sz w:val="32"/>
          <w:szCs w:val="32"/>
          <w:highlight w:val="none"/>
          <w:lang w:val="en-US" w:eastAsia="zh-CN"/>
        </w:rPr>
        <w:t>无。</w:t>
      </w:r>
      <w:bookmarkEnd w:id="87"/>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color w:val="auto"/>
          <w:sz w:val="32"/>
          <w:szCs w:val="32"/>
          <w:highlight w:val="none"/>
        </w:rPr>
      </w:pPr>
      <w:bookmarkStart w:id="88" w:name="_Toc17735"/>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二</w:t>
      </w:r>
      <w:r>
        <w:rPr>
          <w:rFonts w:hint="eastAsia" w:ascii="方正楷体_GBK" w:hAnsi="方正楷体_GBK" w:eastAsia="方正楷体_GBK" w:cs="方正楷体_GBK"/>
          <w:b/>
          <w:bCs/>
          <w:color w:val="auto"/>
          <w:sz w:val="32"/>
          <w:szCs w:val="32"/>
          <w:highlight w:val="none"/>
        </w:rPr>
        <w:t>）意见和建议</w:t>
      </w:r>
      <w:bookmarkEnd w:id="88"/>
    </w:p>
    <w:p>
      <w:pPr>
        <w:pStyle w:val="30"/>
        <w:keepNext w:val="0"/>
        <w:keepLines w:val="0"/>
        <w:pageBreakBefore w:val="0"/>
        <w:widowControl w:val="0"/>
        <w:kinsoku/>
        <w:wordWrap/>
        <w:overflowPunct/>
        <w:topLinePunct w:val="0"/>
        <w:autoSpaceDE/>
        <w:autoSpaceDN/>
        <w:bidi w:val="0"/>
        <w:spacing w:line="580" w:lineRule="exact"/>
        <w:ind w:left="0" w:leftChars="0" w:firstLine="640" w:firstLineChars="200"/>
        <w:textAlignment w:val="auto"/>
        <w:outlineLvl w:val="1"/>
        <w:rPr>
          <w:rFonts w:hint="eastAsia" w:ascii="Times New Roman" w:hAnsi="Times New Roman" w:eastAsia="仿宋_GB2312" w:cs="宋体"/>
          <w:b w:val="0"/>
          <w:bCs w:val="0"/>
          <w:color w:val="auto"/>
          <w:sz w:val="32"/>
          <w:szCs w:val="32"/>
          <w:highlight w:val="none"/>
          <w:lang w:val="en-US" w:eastAsia="zh-CN"/>
        </w:rPr>
      </w:pPr>
      <w:bookmarkStart w:id="89" w:name="_Toc10458"/>
      <w:r>
        <w:rPr>
          <w:rFonts w:hint="eastAsia" w:ascii="Times New Roman" w:hAnsi="Times New Roman" w:eastAsia="仿宋_GB2312" w:cs="宋体"/>
          <w:b w:val="0"/>
          <w:bCs w:val="0"/>
          <w:color w:val="auto"/>
          <w:sz w:val="32"/>
          <w:szCs w:val="32"/>
          <w:highlight w:val="none"/>
          <w:lang w:val="en-US" w:eastAsia="zh-CN"/>
        </w:rPr>
        <w:t>无。</w:t>
      </w:r>
      <w:bookmarkEnd w:id="89"/>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90" w:name="_Toc26541"/>
      <w:r>
        <w:rPr>
          <w:rFonts w:hint="eastAsia" w:ascii="方正黑体_GBK" w:hAnsi="方正黑体_GBK" w:eastAsia="方正黑体_GBK" w:cs="方正黑体_GBK"/>
          <w:color w:val="auto"/>
          <w:sz w:val="32"/>
          <w:szCs w:val="32"/>
          <w:highlight w:val="none"/>
        </w:rPr>
        <w:t>六、主要经验及做法</w:t>
      </w:r>
      <w:bookmarkEnd w:id="86"/>
      <w:bookmarkEnd w:id="90"/>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val="en-US" w:eastAsia="zh-CN"/>
        </w:rPr>
      </w:pPr>
      <w:bookmarkStart w:id="91" w:name="_Toc25465"/>
      <w:bookmarkStart w:id="92" w:name="_Toc9154"/>
      <w:bookmarkStart w:id="93" w:name="_Toc16919"/>
      <w:r>
        <w:rPr>
          <w:rFonts w:hint="eastAsia" w:ascii="方正楷体_GBK" w:hAnsi="方正楷体_GBK" w:eastAsia="方正楷体_GBK" w:cs="方正楷体_GBK"/>
          <w:b/>
          <w:bCs/>
          <w:color w:val="auto"/>
          <w:sz w:val="32"/>
          <w:szCs w:val="32"/>
        </w:rPr>
        <w:t>（一）项目实施过程有效</w:t>
      </w:r>
      <w:bookmarkEnd w:id="91"/>
      <w:bookmarkEnd w:id="92"/>
      <w:r>
        <w:rPr>
          <w:rFonts w:hint="eastAsia" w:ascii="方正楷体_GBK" w:hAnsi="方正楷体_GBK" w:eastAsia="方正楷体_GBK" w:cs="方正楷体_GBK"/>
          <w:b/>
          <w:bCs/>
          <w:color w:val="auto"/>
          <w:sz w:val="32"/>
          <w:szCs w:val="32"/>
          <w:lang w:val="en-US" w:eastAsia="zh-CN"/>
        </w:rPr>
        <w:t>监督</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94" w:name="_Toc9802"/>
      <w:bookmarkStart w:id="95" w:name="_Toc191"/>
      <w:r>
        <w:rPr>
          <w:rFonts w:hint="eastAsia" w:ascii="仿宋_GB2312" w:hAnsi="仿宋_GB2312" w:eastAsia="仿宋_GB2312" w:cs="仿宋_GB2312"/>
          <w:color w:val="auto"/>
          <w:sz w:val="32"/>
          <w:szCs w:val="32"/>
          <w:highlight w:val="none"/>
          <w:lang w:val="en-US" w:eastAsia="zh-CN"/>
        </w:rPr>
        <w:t>疏附县财政局针对项目实施全过程进行绩效管理；根据专项资金管理工作，于5月、8月对该项目开展绩效工作，实行项目预算执行率与工作完成进度双监督，并全面把握资金使用效率和项目实施开展进度，督促相关责任人按期保质完成工作。</w:t>
      </w:r>
      <w:bookmarkEnd w:id="94"/>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96" w:name="_Toc22794"/>
      <w:r>
        <w:rPr>
          <w:rFonts w:hint="eastAsia" w:ascii="方正楷体_GBK" w:hAnsi="方正楷体_GBK" w:eastAsia="方正楷体_GBK" w:cs="方正楷体_GBK"/>
          <w:b/>
          <w:bCs/>
          <w:color w:val="auto"/>
          <w:sz w:val="32"/>
          <w:szCs w:val="32"/>
        </w:rPr>
        <w:t>（二）强化领导，明确职责，合理安排使用资金</w:t>
      </w:r>
      <w:bookmarkEnd w:id="95"/>
      <w:bookmarkEnd w:id="96"/>
    </w:p>
    <w:bookmarkEnd w:id="93"/>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97" w:name="_Toc13744"/>
      <w:bookmarkStart w:id="98" w:name="_Toc30107"/>
      <w:bookmarkStart w:id="99" w:name="_Toc24288"/>
      <w:bookmarkStart w:id="100" w:name="_Toc7837"/>
      <w:bookmarkStart w:id="101" w:name="_Toc14723"/>
      <w:bookmarkStart w:id="102" w:name="_Toc22725"/>
      <w:r>
        <w:rPr>
          <w:rFonts w:hint="eastAsia" w:ascii="仿宋_GB2312" w:hAnsi="仿宋_GB2312" w:eastAsia="仿宋_GB2312" w:cs="仿宋_GB2312"/>
          <w:color w:val="auto"/>
          <w:sz w:val="32"/>
          <w:szCs w:val="32"/>
          <w:highlight w:val="none"/>
          <w:lang w:val="en-US" w:eastAsia="zh-CN"/>
        </w:rPr>
        <w:t>新疆维吾尔自治区疏附县自然资源局按照财务管理制度，认真落实项目工作任务，资金安排、资金配套数额、项目监管制度等方面做出了相应的规定，并高度重视，提高政治站位，牢固树立“花钱必问效、无效必问责”的绩效理念，切实增强绩效管理工作的主动性、积极性，对项目资金进行监管，从而提高资金的效益。</w:t>
      </w:r>
      <w:bookmarkEnd w:id="97"/>
    </w:p>
    <w:p>
      <w:pPr>
        <w:keepNext w:val="0"/>
        <w:keepLines w:val="0"/>
        <w:pageBreakBefore w:val="0"/>
        <w:widowControl w:val="0"/>
        <w:tabs>
          <w:tab w:val="left" w:pos="938"/>
        </w:tabs>
        <w:kinsoku/>
        <w:wordWrap/>
        <w:overflowPunct/>
        <w:topLinePunct w:val="0"/>
        <w:autoSpaceDE/>
        <w:autoSpaceDN/>
        <w:bidi w:val="0"/>
        <w:spacing w:line="580" w:lineRule="exact"/>
        <w:ind w:left="0" w:leftChars="0" w:firstLine="640" w:firstLineChars="200"/>
        <w:textAlignment w:val="auto"/>
        <w:outlineLvl w:val="0"/>
        <w:rPr>
          <w:rFonts w:hint="eastAsia" w:ascii="方正黑体_GBK" w:hAnsi="方正黑体_GBK" w:eastAsia="方正黑体_GBK" w:cs="方正黑体_GBK"/>
          <w:b w:val="0"/>
          <w:bCs w:val="0"/>
          <w:color w:val="auto"/>
          <w:sz w:val="32"/>
          <w:szCs w:val="32"/>
        </w:rPr>
      </w:pPr>
      <w:bookmarkStart w:id="103" w:name="_Toc5434"/>
      <w:r>
        <w:rPr>
          <w:rFonts w:hint="eastAsia" w:ascii="方正黑体_GBK" w:hAnsi="方正黑体_GBK" w:eastAsia="方正黑体_GBK" w:cs="方正黑体_GBK"/>
          <w:b w:val="0"/>
          <w:bCs w:val="0"/>
          <w:color w:val="auto"/>
          <w:sz w:val="32"/>
          <w:szCs w:val="32"/>
        </w:rPr>
        <w:t>七、评价结果应用建议</w:t>
      </w:r>
      <w:bookmarkEnd w:id="98"/>
      <w:bookmarkEnd w:id="103"/>
    </w:p>
    <w:p>
      <w:pPr>
        <w:keepNext w:val="0"/>
        <w:keepLines w:val="0"/>
        <w:pageBreakBefore w:val="0"/>
        <w:widowControl w:val="0"/>
        <w:kinsoku/>
        <w:wordWrap/>
        <w:overflowPunct/>
        <w:topLinePunct w:val="0"/>
        <w:autoSpaceDE/>
        <w:autoSpaceDN/>
        <w:bidi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04" w:name="_Toc22942"/>
      <w:r>
        <w:rPr>
          <w:rFonts w:hint="eastAsia" w:ascii="方正楷体_GBK" w:hAnsi="方正楷体_GBK" w:eastAsia="方正楷体_GBK" w:cs="方正楷体_GBK"/>
          <w:b/>
          <w:bCs/>
          <w:color w:val="auto"/>
          <w:sz w:val="32"/>
          <w:szCs w:val="32"/>
        </w:rPr>
        <w:t>（一）及时对发现的问题进行整改</w:t>
      </w:r>
      <w:bookmarkEnd w:id="99"/>
      <w:bookmarkEnd w:id="104"/>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105" w:name="_Toc22811"/>
      <w:bookmarkStart w:id="106" w:name="_Toc31513"/>
      <w:r>
        <w:rPr>
          <w:rFonts w:hint="eastAsia" w:ascii="仿宋_GB2312" w:hAnsi="仿宋_GB2312" w:eastAsia="仿宋_GB2312" w:cs="仿宋_GB2312"/>
          <w:color w:val="auto"/>
          <w:sz w:val="32"/>
          <w:szCs w:val="32"/>
          <w:highlight w:val="none"/>
          <w:lang w:val="en-US" w:eastAsia="zh-CN"/>
        </w:rPr>
        <w:t>在绩效管理工作中，针对绩效评价中发现的问题，建议项目管理单位进行梳理，对能够整改的问题及时进行整改，并将整改过程及佐证资料形成档案，提交财政局进行备案，不能整改的问题以后加强管理，切实提高财政资源配置效率和使用效益。</w:t>
      </w:r>
      <w:bookmarkEnd w:id="105"/>
    </w:p>
    <w:p>
      <w:pPr>
        <w:keepNext w:val="0"/>
        <w:keepLines w:val="0"/>
        <w:pageBreakBefore w:val="0"/>
        <w:widowControl w:val="0"/>
        <w:numPr>
          <w:ilvl w:val="0"/>
          <w:numId w:val="5"/>
        </w:numPr>
        <w:kinsoku/>
        <w:wordWrap/>
        <w:overflowPunct/>
        <w:topLinePunct w:val="0"/>
        <w:autoSpaceDE/>
        <w:autoSpaceDN/>
        <w:bidi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07" w:name="_Toc21397"/>
      <w:r>
        <w:rPr>
          <w:rFonts w:hint="eastAsia" w:ascii="方正楷体_GBK" w:hAnsi="方正楷体_GBK" w:eastAsia="方正楷体_GBK" w:cs="方正楷体_GBK"/>
          <w:b/>
          <w:bCs/>
          <w:color w:val="auto"/>
          <w:sz w:val="32"/>
          <w:szCs w:val="32"/>
        </w:rPr>
        <w:t>建立绩效评价结果应用制度</w:t>
      </w:r>
      <w:bookmarkEnd w:id="106"/>
      <w:bookmarkEnd w:id="107"/>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应将此次绩效评价结果作为以后年度建设资金分配的重要依据。应将此次绩效评价结果作为以后年度建设资金分配的重要依据。</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1.建议建立实施绩效评价结果公开制度（结果反馈制度、结果共享制度、结果报告制度、结果公示制度）；</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2.建议建立绩效评价结果通报、约谈和问责机制；</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3.建议建立绩效评价结果在部门预算中激励与约束挂钩机制；</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4.建议建立评价结果惩处机制。</w:t>
      </w:r>
    </w:p>
    <w:p>
      <w:pPr>
        <w:keepNext w:val="0"/>
        <w:keepLines w:val="0"/>
        <w:pageBreakBefore w:val="0"/>
        <w:widowControl w:val="0"/>
        <w:kinsoku/>
        <w:wordWrap/>
        <w:overflowPunct/>
        <w:topLinePunct w:val="0"/>
        <w:autoSpaceDE/>
        <w:autoSpaceDN/>
        <w:bidi w:val="0"/>
        <w:spacing w:afterAutospacing="0"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08" w:name="_Toc10628"/>
      <w:bookmarkStart w:id="109" w:name="_Toc7306"/>
      <w:r>
        <w:rPr>
          <w:rFonts w:hint="eastAsia" w:ascii="方正楷体_GBK" w:hAnsi="方正楷体_GBK" w:eastAsia="方正楷体_GBK" w:cs="方正楷体_GBK"/>
          <w:b/>
          <w:bCs/>
          <w:color w:val="auto"/>
          <w:sz w:val="32"/>
          <w:szCs w:val="32"/>
        </w:rPr>
        <w:t>（三）</w:t>
      </w:r>
      <w:r>
        <w:rPr>
          <w:rFonts w:hint="eastAsia" w:ascii="方正楷体_GBK" w:hAnsi="方正楷体_GBK" w:eastAsia="方正楷体_GBK" w:cs="方正楷体_GBK"/>
          <w:b/>
          <w:bCs/>
          <w:color w:val="auto"/>
          <w:sz w:val="32"/>
          <w:szCs w:val="32"/>
          <w:lang w:val="en-US" w:eastAsia="zh-CN"/>
        </w:rPr>
        <w:t>强化</w:t>
      </w:r>
      <w:r>
        <w:rPr>
          <w:rFonts w:hint="eastAsia" w:ascii="方正楷体_GBK" w:hAnsi="方正楷体_GBK" w:eastAsia="方正楷体_GBK" w:cs="方正楷体_GBK"/>
          <w:b/>
          <w:bCs/>
          <w:color w:val="auto"/>
          <w:sz w:val="32"/>
          <w:szCs w:val="32"/>
        </w:rPr>
        <w:t>绩效评价结果应用</w:t>
      </w:r>
      <w:bookmarkEnd w:id="108"/>
      <w:bookmarkEnd w:id="109"/>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一是严格落实评价结果与预算安排挂钩制度。要严格执行《喀什地区财政支出绩效评价结果应用暂行办法》文件规定，充分应用评价结果，对低效无效资金一律削减或取消。</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二是将此次评价工作开展情况及评价结果纳入喀什地区全面实施预算绩效管理年度综合评价考核范畴，年终形成总结报告，上报地委、行署和地区人大。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三是进一步加大对评价结果的应用，疏附县2022年度项目绩效评价情况，可作为以后年度部门单位项目预算编制和安排财政资金的重要依据。</w:t>
      </w:r>
    </w:p>
    <w:p>
      <w:pPr>
        <w:keepNext w:val="0"/>
        <w:keepLines w:val="0"/>
        <w:pageBreakBefore w:val="0"/>
        <w:widowControl w:val="0"/>
        <w:kinsoku/>
        <w:wordWrap/>
        <w:overflowPunct/>
        <w:topLinePunct w:val="0"/>
        <w:autoSpaceDE/>
        <w:autoSpaceDN/>
        <w:bidi w:val="0"/>
        <w:spacing w:afterAutospacing="0"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10" w:name="_Toc13172"/>
      <w:bookmarkStart w:id="111" w:name="_Toc28400"/>
      <w:r>
        <w:rPr>
          <w:rFonts w:hint="eastAsia" w:ascii="方正楷体_GBK" w:hAnsi="方正楷体_GBK" w:eastAsia="方正楷体_GBK" w:cs="方正楷体_GBK"/>
          <w:b/>
          <w:bCs/>
          <w:color w:val="auto"/>
          <w:sz w:val="32"/>
          <w:szCs w:val="32"/>
        </w:rPr>
        <w:t>（四）评价结果公开</w:t>
      </w:r>
      <w:bookmarkEnd w:id="110"/>
      <w:bookmarkEnd w:id="111"/>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建议按照政府信息公开管理的相关规定将绩效评价结果向社会公开评价结果，提高工作透明度，接受社会公众的监督。</w:t>
      </w:r>
      <w:bookmarkEnd w:id="100"/>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lang w:eastAsia="zh-CN"/>
        </w:rPr>
      </w:pPr>
      <w:bookmarkStart w:id="112" w:name="_Toc11417"/>
      <w:r>
        <w:rPr>
          <w:rFonts w:hint="eastAsia" w:ascii="方正黑体_GBK" w:hAnsi="方正黑体_GBK" w:eastAsia="方正黑体_GBK" w:cs="方正黑体_GBK"/>
          <w:b w:val="0"/>
          <w:bCs w:val="0"/>
          <w:color w:val="auto"/>
          <w:sz w:val="32"/>
          <w:szCs w:val="32"/>
          <w:lang w:val="en-US" w:eastAsia="zh-CN"/>
        </w:rPr>
        <w:t>八、</w:t>
      </w:r>
      <w:bookmarkEnd w:id="101"/>
      <w:bookmarkEnd w:id="102"/>
      <w:bookmarkEnd w:id="112"/>
      <w:r>
        <w:rPr>
          <w:rFonts w:hint="eastAsia" w:ascii="方正黑体_GBK" w:hAnsi="方正黑体_GBK" w:eastAsia="方正黑体_GBK" w:cs="方正黑体_GBK"/>
          <w:b w:val="0"/>
          <w:bCs w:val="0"/>
          <w:color w:val="auto"/>
          <w:sz w:val="32"/>
          <w:szCs w:val="32"/>
          <w:lang w:eastAsia="zh-CN"/>
        </w:rPr>
        <w:t>其他需要说明的问题</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第一，该项目部分间接产生的效果无法准确在短期内衡量，因此很难认定项目产生的全部效果。通过指标来反映绩效，指标的科学性和全面性需要不断地完善和研究。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第三，评价结果分别编入政府决算和部门预算，报送本级人民代表大会常务委员会，并依法予以公开。</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五，各级财政部门、预算部门和单位及其工作人员在绩效评价管理工作中存在违反《项目支出绩效评价管理办法》文件行为，以及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keepNext w:val="0"/>
        <w:keepLines w:val="0"/>
        <w:pageBreakBefore w:val="0"/>
        <w:widowControl w:val="0"/>
        <w:kinsoku/>
        <w:wordWrap/>
        <w:overflowPunct/>
        <w:topLinePunct w:val="0"/>
        <w:autoSpaceDE/>
        <w:autoSpaceDN/>
        <w:bidi w:val="0"/>
        <w:adjustRightInd w:val="0"/>
        <w:snapToGrid w:val="0"/>
        <w:spacing w:afterAutospacing="0"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113" w:name="_Toc24321"/>
      <w:r>
        <w:rPr>
          <w:rFonts w:hint="eastAsia" w:ascii="方正黑体_GBK" w:hAnsi="方正黑体_GBK" w:eastAsia="方正黑体_GBK" w:cs="方正黑体_GBK"/>
          <w:b w:val="0"/>
          <w:bCs w:val="0"/>
          <w:color w:val="auto"/>
          <w:sz w:val="32"/>
          <w:szCs w:val="32"/>
        </w:rPr>
        <w:t>九、附件</w:t>
      </w:r>
      <w:bookmarkEnd w:id="113"/>
    </w:p>
    <w:bookmarkEnd w:id="31"/>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afterAutospacing="0" w:line="580" w:lineRule="exact"/>
        <w:ind w:left="0" w:leftChars="0"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附件</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114" w:name="_Toc5066"/>
      <w:bookmarkStart w:id="115" w:name="_Toc9070"/>
      <w:bookmarkStart w:id="116" w:name="_Toc11156"/>
      <w:bookmarkStart w:id="117" w:name="_Toc13969"/>
      <w:bookmarkStart w:id="118" w:name="_Toc3379"/>
      <w:r>
        <w:rPr>
          <w:rFonts w:hint="eastAsia" w:ascii="仿宋_GB2312" w:hAnsi="仿宋_GB2312" w:eastAsia="仿宋_GB2312" w:cs="仿宋_GB2312"/>
          <w:color w:val="auto"/>
          <w:sz w:val="32"/>
          <w:szCs w:val="32"/>
          <w:highlight w:val="none"/>
          <w:lang w:val="en-US" w:eastAsia="zh-CN"/>
        </w:rPr>
        <w:t>附件一、生态护林员补助项目支出绩效评价指标体系</w:t>
      </w:r>
      <w:bookmarkEnd w:id="114"/>
      <w:bookmarkEnd w:id="115"/>
      <w:bookmarkEnd w:id="116"/>
      <w:bookmarkEnd w:id="117"/>
      <w:bookmarkEnd w:id="118"/>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119" w:name="_Toc5753"/>
      <w:bookmarkStart w:id="120" w:name="_Toc31506"/>
      <w:bookmarkStart w:id="121" w:name="_Toc32762"/>
      <w:bookmarkStart w:id="122" w:name="_Toc17647"/>
      <w:bookmarkStart w:id="123" w:name="_Toc19426"/>
      <w:r>
        <w:rPr>
          <w:rFonts w:hint="eastAsia" w:ascii="仿宋_GB2312" w:hAnsi="仿宋_GB2312" w:eastAsia="仿宋_GB2312" w:cs="仿宋_GB2312"/>
          <w:color w:val="auto"/>
          <w:sz w:val="32"/>
          <w:szCs w:val="32"/>
          <w:highlight w:val="none"/>
          <w:lang w:val="en-US" w:eastAsia="zh-CN"/>
        </w:rPr>
        <w:t>附件二、生态护林员补助项目资金使用明细表</w:t>
      </w:r>
      <w:bookmarkEnd w:id="119"/>
      <w:bookmarkEnd w:id="120"/>
      <w:bookmarkEnd w:id="121"/>
      <w:bookmarkEnd w:id="122"/>
      <w:bookmarkEnd w:id="123"/>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32"/>
          <w:szCs w:val="32"/>
          <w:highlight w:val="none"/>
          <w:lang w:val="en-US" w:eastAsia="zh-CN"/>
        </w:rPr>
      </w:pPr>
      <w:bookmarkStart w:id="124" w:name="_Toc21161"/>
      <w:bookmarkStart w:id="125" w:name="_Toc27746"/>
      <w:bookmarkStart w:id="126" w:name="_Toc22995"/>
      <w:bookmarkStart w:id="127" w:name="_Toc16544"/>
      <w:bookmarkStart w:id="128" w:name="_Toc27332"/>
      <w:r>
        <w:rPr>
          <w:rFonts w:hint="eastAsia" w:ascii="仿宋_GB2312" w:hAnsi="仿宋_GB2312" w:eastAsia="仿宋_GB2312" w:cs="仿宋_GB2312"/>
          <w:color w:val="auto"/>
          <w:sz w:val="32"/>
          <w:szCs w:val="32"/>
          <w:highlight w:val="none"/>
          <w:lang w:val="en-US" w:eastAsia="zh-CN"/>
        </w:rPr>
        <w:t xml:space="preserve">   附件三、</w:t>
      </w:r>
      <w:bookmarkEnd w:id="124"/>
      <w:bookmarkEnd w:id="125"/>
      <w:bookmarkEnd w:id="126"/>
      <w:bookmarkEnd w:id="127"/>
      <w:bookmarkEnd w:id="128"/>
      <w:bookmarkStart w:id="129" w:name="_Toc18769"/>
      <w:bookmarkStart w:id="130" w:name="_Toc16822"/>
      <w:bookmarkStart w:id="131" w:name="_Toc20564"/>
      <w:r>
        <w:rPr>
          <w:rFonts w:hint="eastAsia" w:ascii="仿宋_GB2312" w:hAnsi="仿宋_GB2312" w:eastAsia="仿宋_GB2312" w:cs="仿宋_GB2312"/>
          <w:color w:val="auto"/>
          <w:sz w:val="32"/>
          <w:szCs w:val="32"/>
          <w:highlight w:val="none"/>
          <w:lang w:val="en-US" w:eastAsia="zh-CN"/>
        </w:rPr>
        <w:t>生态护林员补助项目绩效评价调查问卷统计表</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p>
    <w:bookmarkEnd w:id="129"/>
    <w:bookmarkEnd w:id="130"/>
    <w:bookmarkEnd w:id="131"/>
    <w:p>
      <w:pPr>
        <w:widowControl/>
        <w:numPr>
          <w:ilvl w:val="0"/>
          <w:numId w:val="0"/>
        </w:numPr>
        <w:adjustRightInd w:val="0"/>
        <w:snapToGrid w:val="0"/>
        <w:spacing w:line="560" w:lineRule="exact"/>
        <w:ind w:firstLine="640" w:firstLineChars="200"/>
        <w:jc w:val="left"/>
        <w:outlineLvl w:val="9"/>
        <w:rPr>
          <w:rFonts w:hint="eastAsia" w:ascii="Times New Roman" w:hAnsi="Times New Roman" w:eastAsia="仿宋_GB2312" w:cs="仿宋_GB2312"/>
          <w:sz w:val="32"/>
          <w:szCs w:val="32"/>
          <w:highlight w:val="none"/>
        </w:rPr>
      </w:pPr>
    </w:p>
    <w:p>
      <w:pPr>
        <w:numPr>
          <w:ilvl w:val="0"/>
          <w:numId w:val="0"/>
        </w:numPr>
        <w:adjustRightInd w:val="0"/>
        <w:snapToGrid w:val="0"/>
        <w:spacing w:line="560" w:lineRule="exact"/>
        <w:jc w:val="left"/>
        <w:outlineLvl w:val="9"/>
        <w:rPr>
          <w:rFonts w:hint="eastAsia" w:ascii="Times New Roman" w:hAnsi="Times New Roman" w:eastAsia="仿宋_GB2312" w:cs="仿宋_GB2312"/>
          <w:sz w:val="32"/>
          <w:szCs w:val="32"/>
          <w:highlight w:val="none"/>
          <w:lang w:eastAsia="zh-CN" w:bidi="ar"/>
        </w:rPr>
      </w:pPr>
    </w:p>
    <w:p>
      <w:pPr>
        <w:numPr>
          <w:ilvl w:val="0"/>
          <w:numId w:val="0"/>
        </w:numPr>
        <w:adjustRightInd w:val="0"/>
        <w:snapToGrid w:val="0"/>
        <w:spacing w:line="560" w:lineRule="exact"/>
        <w:jc w:val="right"/>
        <w:outlineLvl w:val="9"/>
        <w:rPr>
          <w:rFonts w:hint="eastAsia" w:ascii="Times New Roman" w:hAnsi="Times New Roman" w:eastAsia="仿宋_GB2312" w:cs="仿宋_GB2312"/>
          <w:sz w:val="32"/>
          <w:szCs w:val="32"/>
          <w:highlight w:val="none"/>
          <w:lang w:val="en-US" w:eastAsia="zh-CN" w:bidi="ar"/>
        </w:rPr>
      </w:pPr>
    </w:p>
    <w:p>
      <w:pPr>
        <w:numPr>
          <w:ilvl w:val="0"/>
          <w:numId w:val="0"/>
        </w:numPr>
        <w:adjustRightInd w:val="0"/>
        <w:snapToGrid w:val="0"/>
        <w:spacing w:line="560" w:lineRule="exact"/>
        <w:jc w:val="right"/>
        <w:outlineLvl w:val="9"/>
        <w:rPr>
          <w:rFonts w:hint="eastAsia" w:ascii="Times New Roman" w:hAnsi="Times New Roman" w:eastAsia="仿宋_GB2312" w:cs="仿宋_GB2312"/>
          <w:sz w:val="32"/>
          <w:szCs w:val="32"/>
          <w:highlight w:val="none"/>
          <w:lang w:eastAsia="zh-CN" w:bidi="ar"/>
        </w:rPr>
      </w:pPr>
      <w:r>
        <w:rPr>
          <w:rFonts w:hint="eastAsia" w:ascii="Times New Roman" w:hAnsi="Times New Roman" w:eastAsia="仿宋_GB2312" w:cs="仿宋_GB2312"/>
          <w:sz w:val="32"/>
          <w:szCs w:val="32"/>
          <w:highlight w:val="none"/>
          <w:lang w:val="en-US" w:eastAsia="zh-CN" w:bidi="ar"/>
        </w:rPr>
        <w:t xml:space="preserve"> </w:t>
      </w:r>
      <w:r>
        <w:rPr>
          <w:rFonts w:hint="eastAsia" w:ascii="Times New Roman" w:hAnsi="Times New Roman" w:eastAsia="仿宋_GB2312" w:cs="仿宋_GB2312"/>
          <w:sz w:val="32"/>
          <w:szCs w:val="32"/>
          <w:highlight w:val="none"/>
          <w:lang w:eastAsia="zh-CN" w:bidi="ar"/>
        </w:rPr>
        <w:t>中瑞诚会计师事务所（特殊普通合伙）喀什分所</w:t>
      </w:r>
    </w:p>
    <w:p>
      <w:pPr>
        <w:spacing w:line="560" w:lineRule="exact"/>
        <w:ind w:firstLine="4787" w:firstLineChars="1496"/>
        <w:jc w:val="both"/>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eastAsia="zh-CN" w:bidi="ar"/>
        </w:rPr>
        <w:t>202</w:t>
      </w:r>
      <w:r>
        <w:rPr>
          <w:rFonts w:hint="eastAsia" w:ascii="仿宋_GB2312" w:hAnsi="仿宋_GB2312" w:eastAsia="仿宋_GB2312" w:cs="仿宋_GB2312"/>
          <w:color w:val="auto"/>
          <w:sz w:val="32"/>
          <w:szCs w:val="32"/>
          <w:highlight w:val="none"/>
          <w:lang w:val="en-US" w:eastAsia="zh-CN" w:bidi="ar"/>
        </w:rPr>
        <w:t>3</w:t>
      </w:r>
      <w:r>
        <w:rPr>
          <w:rFonts w:hint="eastAsia" w:ascii="仿宋_GB2312" w:hAnsi="仿宋_GB2312" w:eastAsia="仿宋_GB2312" w:cs="仿宋_GB2312"/>
          <w:color w:val="auto"/>
          <w:sz w:val="32"/>
          <w:szCs w:val="32"/>
          <w:highlight w:val="none"/>
          <w:lang w:bidi="ar"/>
        </w:rPr>
        <w:t>年</w:t>
      </w:r>
      <w:r>
        <w:rPr>
          <w:rFonts w:hint="eastAsia" w:ascii="仿宋_GB2312" w:hAnsi="仿宋_GB2312" w:eastAsia="仿宋_GB2312" w:cs="仿宋_GB2312"/>
          <w:color w:val="auto"/>
          <w:sz w:val="32"/>
          <w:szCs w:val="32"/>
          <w:highlight w:val="none"/>
          <w:lang w:val="en-US" w:eastAsia="zh-CN" w:bidi="ar"/>
        </w:rPr>
        <w:t>07</w:t>
      </w:r>
      <w:r>
        <w:rPr>
          <w:rFonts w:hint="eastAsia" w:ascii="仿宋_GB2312" w:hAnsi="仿宋_GB2312" w:eastAsia="仿宋_GB2312" w:cs="仿宋_GB2312"/>
          <w:color w:val="auto"/>
          <w:sz w:val="32"/>
          <w:szCs w:val="32"/>
          <w:highlight w:val="none"/>
          <w:lang w:bidi="ar"/>
        </w:rPr>
        <w:t>月</w:t>
      </w:r>
      <w:r>
        <w:rPr>
          <w:rFonts w:hint="eastAsia" w:ascii="仿宋_GB2312" w:hAnsi="仿宋_GB2312" w:eastAsia="仿宋_GB2312" w:cs="仿宋_GB2312"/>
          <w:color w:val="auto"/>
          <w:sz w:val="32"/>
          <w:szCs w:val="32"/>
          <w:highlight w:val="none"/>
          <w:lang w:val="en-US" w:eastAsia="zh-CN" w:bidi="ar"/>
        </w:rPr>
        <w:t>10</w:t>
      </w:r>
      <w:r>
        <w:rPr>
          <w:rFonts w:hint="eastAsia" w:ascii="仿宋_GB2312" w:hAnsi="仿宋_GB2312" w:eastAsia="仿宋_GB2312" w:cs="仿宋_GB2312"/>
          <w:color w:val="auto"/>
          <w:sz w:val="32"/>
          <w:szCs w:val="32"/>
          <w:highlight w:val="none"/>
          <w:lang w:bidi="ar"/>
        </w:rPr>
        <w:t>日</w:t>
      </w:r>
    </w:p>
    <w:p>
      <w:pPr>
        <w:pStyle w:val="8"/>
        <w:rPr>
          <w:rFonts w:hint="eastAsia" w:eastAsiaTheme="minorEastAsia"/>
          <w:lang w:eastAsia="zh-CN"/>
        </w:rPr>
      </w:pPr>
    </w:p>
    <w:p>
      <w:pPr>
        <w:pStyle w:val="8"/>
        <w:rPr>
          <w:rFonts w:hint="eastAsia" w:eastAsiaTheme="minorEastAsia"/>
          <w:lang w:eastAsia="zh-CN"/>
        </w:rPr>
      </w:pPr>
    </w:p>
    <w:p>
      <w:pPr>
        <w:pStyle w:val="8"/>
        <w:rPr>
          <w:rFonts w:hint="eastAsia" w:eastAsiaTheme="minorEastAsia"/>
          <w:lang w:eastAsia="zh-CN"/>
        </w:rPr>
      </w:pPr>
    </w:p>
    <w:tbl>
      <w:tblPr>
        <w:tblStyle w:val="17"/>
        <w:tblW w:w="141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6"/>
        <w:gridCol w:w="1331"/>
        <w:gridCol w:w="1331"/>
        <w:gridCol w:w="3338"/>
        <w:gridCol w:w="486"/>
        <w:gridCol w:w="5487"/>
        <w:gridCol w:w="621"/>
        <w:gridCol w:w="6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rPr>
        <w:tc>
          <w:tcPr>
            <w:tcW w:w="93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附件一</w:t>
            </w:r>
          </w:p>
        </w:tc>
        <w:tc>
          <w:tcPr>
            <w:tcW w:w="133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33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333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48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548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62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6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14171"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生态护林员补助项目绩效评价指标体系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2" w:hRule="atLeast"/>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决策　</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①项目立项符合国家法律法规、国民经济发展规划和相关政策（1分）；否则，不得分。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②项目立项符合行业发展规划和政策要求（1分）否则，不得分；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③项目立项与部门职责范围相符，属于部门履职所需（1分）否则，不得分；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④项目属于公共财政支持范围，符合中央、地方事权支出责任划分原则（1分）否则，不得分；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⑤项目与相关部门同类项目或部门内部相关项目重复（1分）否则，不得分。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项目申请、设立过程是否符合相关要求，用以反映和考核项目立项的规范情况。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①项目按照规定的程序申请设立（1分）否则，不得分；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②审批文件、材料符合相关要求（1分）否则，不得分；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③事前已经过必要的可行性研究、专家论证、风险评估、绩效评估、集体决策（1分）否则，不得分。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绩效目标合理性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项目所设定的绩效目标是否依据充分，是否符合客观实际，用以反映和考核项目绩效目标与项目实施的相符情况。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①项目有绩效目标，（1分），否则，不得分；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②项目绩效目标与实际工作内容具有相关性，预期产出效益和效果符合正常的业绩水平，否则，不得分（1分）；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③与预算确定的项目投资额或资金量相匹配，否则，不得分（1分）。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绩效指标明确性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①项目绩效目标细化分解为具体的绩效指标，（1分）否则，不得分；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②通过清晰、可衡量的指标值予以体现，与项目目标任务数或计划数相对应，否则，不得分（1分）。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①预算编制经过科学论证（1分）否则，不得分；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②预算内容与项目内容匹配（1.5分）否则，不得分；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③预算额度测算依据充分，按照标准编制（1.5分）否则，不得分；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④预算确定的项目投资额或资金量与工作任务相匹配（1分）否则，不得分。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项目预算资金分配是否有测算依据，与补助单位或地方实际是否相适应，用以反映和考核项目预算资金分配的科学性、合理性情况。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①预算资金分配依据充分（1分）否则，不得分；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②资金分配额度合理，与项目单位或地方实际相适应（1分）否则，不得分。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①资金到位率为100%的，得满分。（2分）。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②资金未全额到位的，按照满分乘以到位率计算得分。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 ）。</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项目预算资金是否按照计划执行，用以反映或考核项目预算执行情况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①预算执行率为100%的，得满分（5分）；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②资金未执行完毕的，按照满分乘以到位率计算得分。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（预算执行率=（实际支出资金/实际到位资金）×100%）。</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①符合国家财经法规和财务管理制度以及有关专项资金管理办法的规定（1分）否则，不得分；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②资金的拨付有完整的审批程序和手续（1分）否则，不得分；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③符合项目预算批复或合同规定的用途（1分）否则，不得分；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④不存在截留、挤占、挪用、虚列支出等情况（2分）否则，不得分。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项目实施单位的财务和业务管理制度是否健全，用以反映和考核财务和业务管理制度对项目顺利实施的保障情况。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①已制定或具有相应的财务和业务管理制度（2分）否则，不得分；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②财务和业务管理制度合法、合规、完整（2分）否则，不得分。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制度执行有效性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项目实施是否符合相关管理规定，用以反映和考核相关管理制度的有效执行情况。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①遵守相关法律法规和相关管理规定（1分）否则，不得分；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②项目调整及支出调整手续完备（1分）否则，不得分；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③项目合同书、验收报告、技术鉴定等资料齐全并及时归档（1分）否则，不得分；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④项目实施的人员条件、场地设备、信息支撑等落实到位（1分）否则，不得分。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①生态护林员续聘人数大于等于1407人，完成该指标得8分，否则按比例得分；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实际完成率=（实际产出数/计划产出数）×100% 。</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实际产出数：一定时期（本年度或项目期）内项目实际产出的产品或提供的服务数量。</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项目完成的质量达标产出数与实际产出数的比率，用以反映和考核项目产出质量目标的实现程度。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①生态护林员补助发放准确率等于100%，完成该指标得4分，否则按比例得分；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②生态护林员续聘完成率等于100%，完成该指标得4分，否则按比例得分；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质量达标率=（质量达标产出数/实际产出数）×100%。</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质量达标产出数：一定时期（本年度或项目期）内实际达到既定质量标准的产品或服务数量。</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完成及时性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项目实际完成时间与计划完成时间的比较，用以反映和考核项目产出时效目标的实现程度。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①生态护林员补助发放及时率等于100%，完成该指标得2分，否则按比例得分；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②项目完成及时率等于100%，完成该指标得2分，否则按比例得分；③生态护林员完成选（续）聘工作时限小于等于30天，完成该指标得2分，否则按比例得分。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实际完成时间：项目实施单位完成该项目实际所耗用的时间。                                                计划完成时间：按照项目实施计划或相关规定完成该项目所需的时间。</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产出成本</w:t>
            </w:r>
          </w:p>
        </w:tc>
        <w:tc>
          <w:tcPr>
            <w:tcW w:w="133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成本节约率</w:t>
            </w:r>
          </w:p>
        </w:tc>
        <w:tc>
          <w:tcPr>
            <w:tcW w:w="333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完成项目计划工作目标的实际节约成本与计划成本的比率，用以反映和考核项目的成本节约程度。</w:t>
            </w:r>
          </w:p>
        </w:tc>
        <w:tc>
          <w:tcPr>
            <w:tcW w:w="48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4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生态护林员补助标准小于等于1万元/人/年，完成该指标得8分，实际得分为7.97分，否则按比例得分；</w:t>
            </w:r>
          </w:p>
        </w:tc>
        <w:tc>
          <w:tcPr>
            <w:tcW w:w="621"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41" w:type="dxa"/>
            <w:vMerge w:val="restar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　</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项目效益</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项目实施所产生的经济效益是否达到预期值</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①经济效益：无</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项目实施所产生的社会效益是否达到预期值</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②社会效益：提高生态护林员的生活质量，有效提高，完成该指标得10分，否则按比例得分；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对生态环境产生的影响</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③生态效益：无</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项目的可持续影响是否达到预计的期限</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④可持续影响：保障生态护林员基本生活，持续保障，完成该指标得10分，否则按比例得分；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社会公众或服务对象对项目实施效果的满意程度。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根据问卷调查，生态护林员满意度：                                                         ①受益巩固脱贫人口满意度大于等于95%，得10分；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②受益巩固脱贫人口满意度小于95%大于等于85%，得8分；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③受益巩固脱贫人口满意度小于85%大于等于70%，得5分；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④受益巩固脱贫人口满意度小于等于70%，不得分。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35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33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pStyle w:val="8"/>
        <w:rPr>
          <w:rFonts w:hint="eastAsia" w:eastAsiaTheme="minorEastAsia"/>
          <w:lang w:eastAsia="zh-CN"/>
        </w:rPr>
      </w:pPr>
    </w:p>
    <w:p>
      <w:pPr>
        <w:pStyle w:val="8"/>
        <w:rPr>
          <w:rFonts w:hint="eastAsia" w:eastAsiaTheme="minorEastAsia"/>
          <w:lang w:eastAsia="zh-CN"/>
        </w:rPr>
      </w:pPr>
    </w:p>
    <w:p>
      <w:pPr>
        <w:pStyle w:val="8"/>
        <w:rPr>
          <w:rFonts w:hint="eastAsia" w:eastAsiaTheme="minorEastAsia"/>
          <w:lang w:eastAsia="zh-CN"/>
        </w:rPr>
      </w:pPr>
    </w:p>
    <w:p>
      <w:pPr>
        <w:pStyle w:val="8"/>
        <w:rPr>
          <w:rFonts w:hint="eastAsia" w:eastAsiaTheme="minorEastAsia"/>
          <w:lang w:eastAsia="zh-CN"/>
        </w:rPr>
      </w:pPr>
    </w:p>
    <w:p>
      <w:pPr>
        <w:pStyle w:val="8"/>
        <w:rPr>
          <w:rFonts w:hint="eastAsia" w:eastAsiaTheme="minorEastAsia"/>
          <w:lang w:eastAsia="zh-CN"/>
        </w:rPr>
      </w:pPr>
    </w:p>
    <w:p>
      <w:pPr>
        <w:pStyle w:val="8"/>
        <w:rPr>
          <w:rFonts w:hint="eastAsia" w:eastAsiaTheme="minorEastAsia"/>
          <w:lang w:eastAsia="zh-CN"/>
        </w:rPr>
      </w:pPr>
    </w:p>
    <w:p>
      <w:pPr>
        <w:pStyle w:val="8"/>
        <w:rPr>
          <w:rFonts w:hint="eastAsia" w:eastAsiaTheme="minorEastAsia"/>
          <w:lang w:eastAsia="zh-CN"/>
        </w:rPr>
      </w:pPr>
    </w:p>
    <w:p>
      <w:pPr>
        <w:pStyle w:val="8"/>
        <w:rPr>
          <w:rFonts w:hint="eastAsia" w:eastAsiaTheme="minorEastAsia"/>
          <w:lang w:eastAsia="zh-CN"/>
        </w:rPr>
      </w:pPr>
    </w:p>
    <w:p>
      <w:pPr>
        <w:pStyle w:val="8"/>
        <w:rPr>
          <w:rFonts w:hint="eastAsia" w:eastAsiaTheme="minorEastAsia"/>
          <w:lang w:eastAsia="zh-CN"/>
        </w:rPr>
      </w:pPr>
    </w:p>
    <w:p>
      <w:pPr>
        <w:pStyle w:val="8"/>
        <w:rPr>
          <w:rFonts w:hint="eastAsia" w:eastAsiaTheme="minorEastAsia"/>
          <w:lang w:eastAsia="zh-CN"/>
        </w:rPr>
      </w:pPr>
    </w:p>
    <w:p>
      <w:pPr>
        <w:pStyle w:val="8"/>
        <w:rPr>
          <w:rFonts w:hint="eastAsia" w:eastAsiaTheme="minorEastAsia"/>
          <w:lang w:eastAsia="zh-CN"/>
        </w:rPr>
      </w:pPr>
    </w:p>
    <w:p>
      <w:pPr>
        <w:pStyle w:val="8"/>
        <w:rPr>
          <w:rFonts w:hint="eastAsia" w:eastAsiaTheme="minorEastAsia"/>
          <w:lang w:eastAsia="zh-CN"/>
        </w:rPr>
        <w:sectPr>
          <w:footerReference r:id="rId8" w:type="default"/>
          <w:pgSz w:w="16838" w:h="11906" w:orient="landscape"/>
          <w:pgMar w:top="1800" w:right="1440" w:bottom="1700" w:left="144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W w:w="14710" w:type="dxa"/>
        <w:tblInd w:w="-69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3"/>
        <w:gridCol w:w="720"/>
        <w:gridCol w:w="947"/>
        <w:gridCol w:w="893"/>
        <w:gridCol w:w="854"/>
        <w:gridCol w:w="733"/>
        <w:gridCol w:w="893"/>
        <w:gridCol w:w="854"/>
        <w:gridCol w:w="720"/>
        <w:gridCol w:w="813"/>
        <w:gridCol w:w="871"/>
        <w:gridCol w:w="1022"/>
        <w:gridCol w:w="667"/>
        <w:gridCol w:w="600"/>
        <w:gridCol w:w="853"/>
        <w:gridCol w:w="814"/>
        <w:gridCol w:w="586"/>
        <w:gridCol w:w="7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5" w:hRule="atLeast"/>
        </w:trPr>
        <w:tc>
          <w:tcPr>
            <w:tcW w:w="113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附件二</w:t>
            </w:r>
          </w:p>
        </w:tc>
        <w:tc>
          <w:tcPr>
            <w:tcW w:w="720" w:type="dxa"/>
            <w:tcBorders>
              <w:top w:val="nil"/>
              <w:left w:val="nil"/>
              <w:bottom w:val="nil"/>
              <w:right w:val="nil"/>
            </w:tcBorders>
            <w:shd w:val="clear" w:color="auto" w:fill="auto"/>
            <w:vAlign w:val="center"/>
          </w:tcPr>
          <w:p>
            <w:pPr>
              <w:rPr>
                <w:rFonts w:hint="eastAsia" w:ascii="仿宋" w:hAnsi="仿宋" w:eastAsia="仿宋" w:cs="仿宋"/>
                <w:i w:val="0"/>
                <w:iCs w:val="0"/>
                <w:color w:val="000000"/>
                <w:sz w:val="20"/>
                <w:szCs w:val="20"/>
                <w:u w:val="none"/>
              </w:rPr>
            </w:pPr>
          </w:p>
        </w:tc>
        <w:tc>
          <w:tcPr>
            <w:tcW w:w="947"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893"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854"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733"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893"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854"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720"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813"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871"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1022"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667"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600"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853"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814"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86"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37" w:type="dxa"/>
            <w:tcBorders>
              <w:top w:val="nil"/>
              <w:left w:val="nil"/>
              <w:bottom w:val="nil"/>
              <w:right w:val="nil"/>
            </w:tcBorders>
            <w:shd w:val="clear" w:color="auto" w:fill="auto"/>
            <w:noWrap/>
            <w:vAlign w:val="center"/>
          </w:tcPr>
          <w:p>
            <w:pP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2" w:hRule="atLeast"/>
        </w:trPr>
        <w:tc>
          <w:tcPr>
            <w:tcW w:w="14710" w:type="dxa"/>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6"/>
                <w:szCs w:val="36"/>
                <w:u w:val="none"/>
              </w:rPr>
            </w:pPr>
            <w:r>
              <w:rPr>
                <w:rFonts w:hint="eastAsia" w:ascii="黑体" w:hAnsi="宋体" w:eastAsia="黑体" w:cs="黑体"/>
                <w:i w:val="0"/>
                <w:iCs w:val="0"/>
                <w:color w:val="000000"/>
                <w:kern w:val="0"/>
                <w:sz w:val="36"/>
                <w:szCs w:val="36"/>
                <w:u w:val="none"/>
                <w:lang w:val="en-US" w:eastAsia="zh-CN" w:bidi="ar"/>
              </w:rPr>
              <w:t>资金使用情况明细表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7" w:hRule="atLeast"/>
        </w:trPr>
        <w:tc>
          <w:tcPr>
            <w:tcW w:w="6173" w:type="dxa"/>
            <w:gridSpan w:val="7"/>
            <w:tcBorders>
              <w:top w:val="nil"/>
              <w:left w:val="nil"/>
              <w:bottom w:val="nil"/>
              <w:right w:val="nil"/>
            </w:tcBorders>
            <w:shd w:val="clear" w:color="auto" w:fill="auto"/>
            <w:vAlign w:val="center"/>
          </w:tcPr>
          <w:p>
            <w:pPr>
              <w:keepNext w:val="0"/>
              <w:keepLines w:val="0"/>
              <w:widowControl/>
              <w:suppressLineNumbers w:val="0"/>
              <w:ind w:left="3" w:leftChars="-400" w:hanging="843" w:hangingChars="35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项目名称：生态护林员补助项目</w:t>
            </w:r>
          </w:p>
        </w:tc>
        <w:tc>
          <w:tcPr>
            <w:tcW w:w="428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截止日期：2022年12月31日</w:t>
            </w:r>
          </w:p>
        </w:tc>
        <w:tc>
          <w:tcPr>
            <w:tcW w:w="667"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24"/>
                <w:szCs w:val="24"/>
                <w:u w:val="none"/>
              </w:rPr>
            </w:pPr>
          </w:p>
        </w:tc>
        <w:tc>
          <w:tcPr>
            <w:tcW w:w="600"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24"/>
                <w:szCs w:val="24"/>
                <w:u w:val="none"/>
              </w:rPr>
            </w:pPr>
          </w:p>
        </w:tc>
        <w:tc>
          <w:tcPr>
            <w:tcW w:w="853"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24"/>
                <w:szCs w:val="24"/>
                <w:u w:val="none"/>
              </w:rPr>
            </w:pPr>
          </w:p>
        </w:tc>
        <w:tc>
          <w:tcPr>
            <w:tcW w:w="814" w:type="dxa"/>
            <w:tcBorders>
              <w:top w:val="nil"/>
              <w:left w:val="nil"/>
              <w:bottom w:val="nil"/>
              <w:right w:val="nil"/>
            </w:tcBorders>
            <w:shd w:val="clear" w:color="auto" w:fill="auto"/>
            <w:vAlign w:val="center"/>
          </w:tcPr>
          <w:p>
            <w:pPr>
              <w:rPr>
                <w:rFonts w:hint="eastAsia" w:ascii="宋体" w:hAnsi="宋体" w:eastAsia="宋体" w:cs="宋体"/>
                <w:b/>
                <w:bCs/>
                <w:i w:val="0"/>
                <w:iCs w:val="0"/>
                <w:color w:val="000000"/>
                <w:sz w:val="24"/>
                <w:szCs w:val="24"/>
                <w:u w:val="none"/>
              </w:rPr>
            </w:pPr>
          </w:p>
        </w:tc>
        <w:tc>
          <w:tcPr>
            <w:tcW w:w="586"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737"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2" w:hRule="atLeast"/>
        </w:trPr>
        <w:tc>
          <w:tcPr>
            <w:tcW w:w="11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实施单位名称</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年度</w:t>
            </w:r>
          </w:p>
        </w:tc>
        <w:tc>
          <w:tcPr>
            <w:tcW w:w="43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预算批复资金</w:t>
            </w:r>
          </w:p>
        </w:tc>
        <w:tc>
          <w:tcPr>
            <w:tcW w:w="42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资金到位情况</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实际支出</w:t>
            </w:r>
          </w:p>
        </w:tc>
        <w:tc>
          <w:tcPr>
            <w:tcW w:w="2853" w:type="dxa"/>
            <w:gridSpan w:val="4"/>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剩余资金</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4" w:hRule="atLeast"/>
        </w:trPr>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bCs/>
                <w:i w:val="0"/>
                <w:iCs w:val="0"/>
                <w:color w:val="000000"/>
                <w:sz w:val="24"/>
                <w:szCs w:val="24"/>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bCs/>
                <w:i w:val="0"/>
                <w:iCs w:val="0"/>
                <w:color w:val="000000"/>
                <w:sz w:val="24"/>
                <w:szCs w:val="24"/>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bCs/>
                <w:i w:val="0"/>
                <w:iCs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项目尾款</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结余资金</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调整资金</w:t>
            </w: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85"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疏附县自然资源局</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1,407 </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1,407 </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1,407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1,407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1,407 </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95" w:hRule="atLeast"/>
        </w:trPr>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1,407 </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1,407 </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1,407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1,407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1,407 </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pStyle w:val="8"/>
        <w:rPr>
          <w:rFonts w:hint="eastAsia" w:eastAsiaTheme="minorEastAsia"/>
          <w:lang w:eastAsia="zh-CN"/>
        </w:rPr>
      </w:pPr>
    </w:p>
    <w:p>
      <w:pPr>
        <w:bidi w:val="0"/>
        <w:rPr>
          <w:rFonts w:hint="eastAsia"/>
          <w:lang w:eastAsia="zh-CN"/>
        </w:rPr>
      </w:pPr>
    </w:p>
    <w:p>
      <w:pPr>
        <w:bidi w:val="0"/>
        <w:rPr>
          <w:rFonts w:hint="eastAsia"/>
          <w:lang w:eastAsia="zh-CN"/>
        </w:rPr>
      </w:pPr>
    </w:p>
    <w:p>
      <w:pPr>
        <w:tabs>
          <w:tab w:val="left" w:pos="9360"/>
        </w:tabs>
        <w:bidi w:val="0"/>
        <w:jc w:val="left"/>
        <w:rPr>
          <w:rFonts w:hint="eastAsia"/>
          <w:lang w:eastAsia="zh-CN"/>
        </w:rPr>
        <w:sectPr>
          <w:pgSz w:w="16838" w:h="11906" w:orient="landscape"/>
          <w:pgMar w:top="1800" w:right="1440" w:bottom="1700" w:left="144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lang w:eastAsia="zh-CN"/>
        </w:rPr>
        <w:tab/>
      </w:r>
    </w:p>
    <w:p>
      <w:pPr>
        <w:jc w:val="both"/>
        <w:rPr>
          <w:rFonts w:hint="eastAsia" w:ascii="Times New Roman" w:hAnsi="Times New Roman" w:eastAsia="仿宋_GB2312"/>
          <w:sz w:val="36"/>
          <w:szCs w:val="36"/>
        </w:rPr>
      </w:pPr>
      <w:r>
        <w:rPr>
          <w:rFonts w:hint="eastAsia" w:ascii="Times New Roman" w:hAnsi="Times New Roman" w:eastAsia="仿宋_GB2312" w:cs="仿宋"/>
          <w:sz w:val="28"/>
          <w:szCs w:val="28"/>
          <w:lang w:val="en-US" w:eastAsia="zh-CN"/>
        </w:rPr>
        <w:t>附件三</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_GB2312"/>
          <w:sz w:val="44"/>
          <w:szCs w:val="44"/>
          <w:lang w:val="en-US" w:eastAsia="zh-CN"/>
        </w:rPr>
      </w:pPr>
      <w:r>
        <w:rPr>
          <w:rFonts w:hint="eastAsia" w:ascii="Times New Roman" w:hAnsi="Times New Roman" w:eastAsia="仿宋_GB2312"/>
          <w:b/>
          <w:bCs/>
          <w:sz w:val="44"/>
          <w:szCs w:val="44"/>
          <w:lang w:eastAsia="zh-CN"/>
        </w:rPr>
        <w:t>生态护林员补助项目</w:t>
      </w:r>
      <w:r>
        <w:rPr>
          <w:rFonts w:hint="eastAsia" w:ascii="Times New Roman" w:hAnsi="Times New Roman" w:eastAsia="仿宋_GB2312"/>
          <w:b/>
          <w:bCs/>
          <w:sz w:val="44"/>
          <w:szCs w:val="44"/>
        </w:rPr>
        <w:t>绩效评价调查问卷</w:t>
      </w:r>
      <w:r>
        <w:rPr>
          <w:rFonts w:hint="eastAsia" w:ascii="Times New Roman" w:hAnsi="Times New Roman" w:eastAsia="仿宋_GB2312"/>
          <w:b/>
          <w:bCs/>
          <w:sz w:val="44"/>
          <w:szCs w:val="44"/>
          <w:lang w:val="en-US" w:eastAsia="zh-CN"/>
        </w:rPr>
        <w:t>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为真实反映</w:t>
      </w:r>
      <w:r>
        <w:rPr>
          <w:rFonts w:hint="eastAsia" w:ascii="Times New Roman" w:hAnsi="Times New Roman" w:eastAsia="仿宋_GB2312" w:cs="仿宋"/>
          <w:color w:val="000000"/>
          <w:kern w:val="0"/>
          <w:sz w:val="32"/>
          <w:szCs w:val="32"/>
          <w:lang w:eastAsia="zh-CN" w:bidi="ar"/>
        </w:rPr>
        <w:t>生态护林员补助项目</w:t>
      </w:r>
      <w:r>
        <w:rPr>
          <w:rFonts w:hint="eastAsia" w:ascii="Times New Roman" w:hAnsi="Times New Roman" w:eastAsia="仿宋_GB2312" w:cs="仿宋"/>
          <w:color w:val="000000"/>
          <w:kern w:val="0"/>
          <w:sz w:val="32"/>
          <w:szCs w:val="32"/>
          <w:lang w:bidi="ar"/>
        </w:rPr>
        <w:t>支出绩效和受益人满意度情况，本次对</w:t>
      </w:r>
      <w:r>
        <w:rPr>
          <w:rFonts w:hint="eastAsia" w:ascii="Times New Roman" w:hAnsi="Times New Roman" w:eastAsia="仿宋_GB2312" w:cs="仿宋"/>
          <w:color w:val="000000"/>
          <w:kern w:val="0"/>
          <w:sz w:val="32"/>
          <w:szCs w:val="32"/>
          <w:lang w:eastAsia="zh-CN" w:bidi="ar"/>
        </w:rPr>
        <w:t>生态护林员满意度</w:t>
      </w:r>
      <w:r>
        <w:rPr>
          <w:rFonts w:hint="eastAsia" w:ascii="Times New Roman" w:hAnsi="Times New Roman" w:eastAsia="仿宋_GB2312" w:cs="仿宋"/>
          <w:color w:val="000000"/>
          <w:kern w:val="0"/>
          <w:sz w:val="32"/>
          <w:szCs w:val="32"/>
          <w:lang w:bidi="ar"/>
        </w:rPr>
        <w:t>进行问卷调查，回收有效问卷共计100份，回收率100%。主要反馈如下：</w:t>
      </w:r>
    </w:p>
    <w:tbl>
      <w:tblPr>
        <w:tblStyle w:val="17"/>
        <w:tblW w:w="8333" w:type="dxa"/>
        <w:jc w:val="center"/>
        <w:tblInd w:w="0" w:type="dxa"/>
        <w:tblLayout w:type="fixed"/>
        <w:tblCellMar>
          <w:top w:w="15" w:type="dxa"/>
          <w:left w:w="15" w:type="dxa"/>
          <w:bottom w:w="15" w:type="dxa"/>
          <w:right w:w="15" w:type="dxa"/>
        </w:tblCellMar>
      </w:tblPr>
      <w:tblGrid>
        <w:gridCol w:w="692"/>
        <w:gridCol w:w="2547"/>
        <w:gridCol w:w="1614"/>
        <w:gridCol w:w="1339"/>
        <w:gridCol w:w="2141"/>
      </w:tblGrid>
      <w:tr>
        <w:tblPrEx>
          <w:tblLayout w:type="fixed"/>
          <w:tblCellMar>
            <w:top w:w="15" w:type="dxa"/>
            <w:left w:w="15" w:type="dxa"/>
            <w:bottom w:w="15" w:type="dxa"/>
            <w:right w:w="15" w:type="dxa"/>
          </w:tblCellMar>
        </w:tblPrEx>
        <w:trPr>
          <w:trHeight w:val="283" w:hRule="atLeast"/>
          <w:jc w:val="center"/>
        </w:trPr>
        <w:tc>
          <w:tcPr>
            <w:tcW w:w="6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序号</w:t>
            </w:r>
          </w:p>
          <w:p>
            <w:pPr>
              <w:jc w:val="center"/>
              <w:textAlignment w:val="center"/>
              <w:rPr>
                <w:rFonts w:ascii="Times New Roman" w:hAnsi="Times New Roman" w:eastAsia="仿宋_GB2312" w:cs="仿宋"/>
                <w:b/>
                <w:bCs/>
                <w:color w:val="000000"/>
                <w:sz w:val="24"/>
                <w:szCs w:val="24"/>
              </w:rPr>
            </w:pPr>
          </w:p>
        </w:tc>
        <w:tc>
          <w:tcPr>
            <w:tcW w:w="254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问题</w:t>
            </w:r>
          </w:p>
        </w:tc>
        <w:tc>
          <w:tcPr>
            <w:tcW w:w="29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回应情况</w:t>
            </w:r>
          </w:p>
        </w:tc>
        <w:tc>
          <w:tcPr>
            <w:tcW w:w="21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比例</w:t>
            </w:r>
          </w:p>
        </w:tc>
      </w:tr>
      <w:tr>
        <w:tblPrEx>
          <w:tblLayout w:type="fixed"/>
          <w:tblCellMar>
            <w:top w:w="15" w:type="dxa"/>
            <w:left w:w="15" w:type="dxa"/>
            <w:bottom w:w="15" w:type="dxa"/>
            <w:right w:w="15" w:type="dxa"/>
          </w:tblCellMar>
        </w:tblPrEx>
        <w:trPr>
          <w:trHeight w:val="524" w:hRule="atLeast"/>
          <w:jc w:val="center"/>
        </w:trPr>
        <w:tc>
          <w:tcPr>
            <w:tcW w:w="692"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2547"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1614"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w:t>
            </w:r>
          </w:p>
        </w:tc>
        <w:tc>
          <w:tcPr>
            <w:tcW w:w="1339"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回应2</w:t>
            </w:r>
          </w:p>
        </w:tc>
        <w:tc>
          <w:tcPr>
            <w:tcW w:w="2141"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回应1占比情况%</w:t>
            </w:r>
          </w:p>
        </w:tc>
      </w:tr>
      <w:tr>
        <w:tblPrEx>
          <w:tblLayout w:type="fixed"/>
          <w:tblCellMar>
            <w:top w:w="15" w:type="dxa"/>
            <w:left w:w="15" w:type="dxa"/>
            <w:bottom w:w="15" w:type="dxa"/>
            <w:right w:w="15" w:type="dxa"/>
          </w:tblCellMar>
        </w:tblPrEx>
        <w:trPr>
          <w:trHeight w:val="522"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1</w:t>
            </w:r>
          </w:p>
        </w:tc>
        <w:tc>
          <w:tcPr>
            <w:tcW w:w="2547" w:type="dxa"/>
            <w:vMerge w:val="restart"/>
            <w:tcBorders>
              <w:top w:val="single" w:color="000000" w:sz="4" w:space="0"/>
              <w:left w:val="single" w:color="000000" w:sz="4" w:space="0"/>
              <w:right w:val="single" w:color="000000" w:sz="4" w:space="0"/>
            </w:tcBorders>
            <w:vAlign w:val="center"/>
          </w:tcPr>
          <w:p>
            <w:pPr>
              <w:widowControl/>
              <w:ind w:right="124" w:rightChars="59"/>
              <w:jc w:val="left"/>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GB2321"/>
                <w:sz w:val="24"/>
                <w:szCs w:val="24"/>
              </w:rPr>
              <w:t>您是否了解生态护林员补助项目？</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sz w:val="24"/>
                <w:szCs w:val="24"/>
                <w:lang w:val="en-US" w:eastAsia="zh-CN"/>
              </w:rPr>
              <w:t>了解</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不了解</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32"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100</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86"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2</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您是否是生态护林员？</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330"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100</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0</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66"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3</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本项目的实施是否提高生态护林员的生活质量？</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596"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100</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90"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4</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本项目的实施是否持续保障生态护林员基本生活？</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26" w:hRule="atLeast"/>
          <w:jc w:val="center"/>
        </w:trPr>
        <w:tc>
          <w:tcPr>
            <w:tcW w:w="692" w:type="dxa"/>
            <w:vMerge w:val="continue"/>
            <w:tcBorders>
              <w:top w:val="single" w:color="000000" w:sz="4" w:space="0"/>
              <w:left w:val="single" w:color="000000" w:sz="4" w:space="0"/>
              <w:bottom w:val="single" w:color="auto"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100</w:t>
            </w:r>
          </w:p>
        </w:tc>
        <w:tc>
          <w:tcPr>
            <w:tcW w:w="1339"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0</w:t>
            </w:r>
          </w:p>
        </w:tc>
        <w:tc>
          <w:tcPr>
            <w:tcW w:w="2141"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40" w:hRule="atLeast"/>
          <w:jc w:val="center"/>
        </w:trPr>
        <w:tc>
          <w:tcPr>
            <w:tcW w:w="69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5</w:t>
            </w:r>
          </w:p>
        </w:tc>
        <w:tc>
          <w:tcPr>
            <w:tcW w:w="254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eastAsia="仿宋_GB2312" w:cs="仿宋-GB2321"/>
                <w:sz w:val="24"/>
                <w:szCs w:val="24"/>
              </w:rPr>
            </w:pPr>
            <w:r>
              <w:rPr>
                <w:rFonts w:hint="eastAsia" w:ascii="Times New Roman" w:hAnsi="Times New Roman" w:eastAsia="仿宋_GB2312" w:cs="仿宋-GB2321"/>
                <w:sz w:val="24"/>
                <w:szCs w:val="24"/>
                <w:lang w:eastAsia="zh-CN"/>
              </w:rPr>
              <w:t>您对本项目的整体实施情况是否满意？</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val="en-US" w:eastAsia="zh-CN"/>
              </w:rPr>
              <w:t>满意</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不满意</w:t>
            </w:r>
          </w:p>
        </w:tc>
        <w:tc>
          <w:tcPr>
            <w:tcW w:w="2141"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95%</w:t>
            </w:r>
          </w:p>
        </w:tc>
      </w:tr>
      <w:tr>
        <w:tblPrEx>
          <w:tblLayout w:type="fixed"/>
          <w:tblCellMar>
            <w:top w:w="15" w:type="dxa"/>
            <w:left w:w="15" w:type="dxa"/>
            <w:bottom w:w="15" w:type="dxa"/>
            <w:right w:w="15" w:type="dxa"/>
          </w:tblCellMar>
        </w:tblPrEx>
        <w:trPr>
          <w:trHeight w:val="412" w:hRule="atLeast"/>
          <w:jc w:val="center"/>
        </w:trPr>
        <w:tc>
          <w:tcPr>
            <w:tcW w:w="6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tabs>
                <w:tab w:val="left" w:pos="325"/>
              </w:tabs>
              <w:jc w:val="center"/>
              <w:textAlignment w:val="center"/>
              <w:rPr>
                <w:rFonts w:hint="default" w:ascii="Times New Roman" w:hAnsi="Times New Roman" w:eastAsia="仿宋_GB2312" w:cs="仿宋"/>
                <w:color w:val="000000"/>
                <w:sz w:val="24"/>
                <w:szCs w:val="24"/>
                <w:lang w:val="en-US"/>
              </w:rPr>
            </w:pPr>
            <w:r>
              <w:rPr>
                <w:rFonts w:hint="eastAsia" w:ascii="Times New Roman" w:hAnsi="Times New Roman" w:eastAsia="仿宋_GB2312" w:cs="仿宋"/>
                <w:color w:val="000000"/>
                <w:kern w:val="0"/>
                <w:sz w:val="24"/>
                <w:szCs w:val="24"/>
                <w:lang w:val="en-US" w:eastAsia="zh-CN" w:bidi="ar"/>
              </w:rPr>
              <w:t>95</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5</w:t>
            </w:r>
          </w:p>
        </w:tc>
        <w:tc>
          <w:tcPr>
            <w:tcW w:w="2141"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上述结果显示，</w:t>
      </w:r>
      <w:r>
        <w:rPr>
          <w:rFonts w:hint="eastAsia" w:ascii="Times New Roman" w:hAnsi="Times New Roman" w:eastAsia="仿宋_GB2312" w:cs="仿宋"/>
          <w:color w:val="000000"/>
          <w:kern w:val="0"/>
          <w:sz w:val="32"/>
          <w:szCs w:val="32"/>
          <w:lang w:val="en-US" w:eastAsia="zh-CN" w:bidi="ar"/>
        </w:rPr>
        <w:t>受益群众对</w:t>
      </w:r>
      <w:r>
        <w:rPr>
          <w:rFonts w:hint="eastAsia" w:ascii="Times New Roman" w:hAnsi="Times New Roman" w:eastAsia="仿宋_GB2312" w:cs="仿宋"/>
          <w:color w:val="000000"/>
          <w:kern w:val="0"/>
          <w:sz w:val="32"/>
          <w:szCs w:val="32"/>
          <w:lang w:eastAsia="zh-CN" w:bidi="ar"/>
        </w:rPr>
        <w:t>生态护林员补助项目</w:t>
      </w:r>
      <w:r>
        <w:rPr>
          <w:rFonts w:hint="eastAsia" w:ascii="Times New Roman" w:hAnsi="Times New Roman" w:eastAsia="仿宋_GB2312" w:cs="仿宋"/>
          <w:color w:val="000000"/>
          <w:kern w:val="0"/>
          <w:sz w:val="32"/>
          <w:szCs w:val="32"/>
          <w:lang w:bidi="ar"/>
        </w:rPr>
        <w:t>实施情况总体是满意的。此次满意度调查仅从“</w:t>
      </w:r>
      <w:r>
        <w:rPr>
          <w:rFonts w:hint="eastAsia" w:ascii="Times New Roman" w:hAnsi="Times New Roman" w:eastAsia="仿宋_GB2312" w:cs="仿宋"/>
          <w:color w:val="000000"/>
          <w:kern w:val="0"/>
          <w:sz w:val="32"/>
          <w:szCs w:val="32"/>
          <w:lang w:eastAsia="zh-CN" w:bidi="ar"/>
        </w:rPr>
        <w:t>生态护林员满意度</w:t>
      </w:r>
      <w:r>
        <w:rPr>
          <w:rFonts w:hint="eastAsia" w:ascii="Times New Roman" w:hAnsi="Times New Roman" w:eastAsia="仿宋_GB2312" w:cs="仿宋"/>
          <w:color w:val="000000"/>
          <w:kern w:val="0"/>
          <w:sz w:val="32"/>
          <w:szCs w:val="32"/>
          <w:lang w:bidi="ar"/>
        </w:rPr>
        <w:t>”考核，满意度达</w:t>
      </w:r>
      <w:r>
        <w:rPr>
          <w:rFonts w:hint="eastAsia" w:ascii="Times New Roman" w:hAnsi="Times New Roman" w:eastAsia="仿宋_GB2312" w:cs="仿宋"/>
          <w:color w:val="000000"/>
          <w:kern w:val="0"/>
          <w:sz w:val="32"/>
          <w:szCs w:val="32"/>
          <w:lang w:val="en-US" w:eastAsia="zh-CN" w:bidi="ar"/>
        </w:rPr>
        <w:t>到了</w:t>
      </w:r>
      <w:r>
        <w:rPr>
          <w:rFonts w:hint="eastAsia" w:ascii="Times New Roman" w:hAnsi="Times New Roman" w:eastAsia="仿宋_GB2312" w:cs="仿宋"/>
          <w:color w:val="000000"/>
          <w:kern w:val="0"/>
          <w:sz w:val="32"/>
          <w:szCs w:val="32"/>
          <w:lang w:bidi="ar"/>
        </w:rPr>
        <w:t>9</w:t>
      </w:r>
      <w:r>
        <w:rPr>
          <w:rFonts w:hint="eastAsia" w:ascii="Times New Roman" w:hAnsi="Times New Roman" w:eastAsia="仿宋_GB2312" w:cs="仿宋"/>
          <w:color w:val="000000"/>
          <w:kern w:val="0"/>
          <w:sz w:val="32"/>
          <w:szCs w:val="32"/>
          <w:lang w:val="en-US" w:eastAsia="zh-CN" w:bidi="ar"/>
        </w:rPr>
        <w:t>5</w:t>
      </w:r>
      <w:r>
        <w:rPr>
          <w:rFonts w:hint="eastAsia" w:ascii="Times New Roman" w:hAnsi="Times New Roman" w:eastAsia="仿宋_GB2312" w:cs="仿宋"/>
          <w:color w:val="000000"/>
          <w:kern w:val="0"/>
          <w:sz w:val="32"/>
          <w:szCs w:val="32"/>
          <w:lang w:bidi="ar"/>
        </w:rPr>
        <w:t>%。</w:t>
      </w:r>
    </w:p>
    <w:p>
      <w:pPr>
        <w:pStyle w:val="2"/>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A542D94-B648-4A06-9ACB-DAB5A02D2EA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D804FD50-B827-4DFF-AAB2-B8C28060D6F9}"/>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0" w:usb1="00000000" w:usb2="00000000" w:usb3="00000000" w:csb0="00000000" w:csb1="00000000"/>
    <w:embedRegular r:id="rId3" w:fontKey="{7DAA1CAE-98C5-4E44-A751-39E363876DB3}"/>
  </w:font>
  <w:font w:name="HYb2gj">
    <w:altName w:val="仿宋"/>
    <w:panose1 w:val="00000000000000000000"/>
    <w:charset w:val="86"/>
    <w:family w:val="modern"/>
    <w:pitch w:val="default"/>
    <w:sig w:usb0="00000000" w:usb1="00000000" w:usb2="00000010" w:usb3="00000000" w:csb0="00040000" w:csb1="00000000"/>
  </w:font>
  <w:font w:name="方正仿宋_GBK">
    <w:panose1 w:val="03000509000000000000"/>
    <w:charset w:val="86"/>
    <w:family w:val="auto"/>
    <w:pitch w:val="default"/>
    <w:sig w:usb0="00000000" w:usb1="00000000" w:usb2="00000000" w:usb3="00000000" w:csb0="00000000" w:csb1="00000000"/>
    <w:embedRegular r:id="rId4" w:fontKey="{955A8B3C-9292-4C69-92E7-334C2EEEAD57}"/>
  </w:font>
  <w:font w:name="微软雅黑">
    <w:panose1 w:val="020B0503020204020204"/>
    <w:charset w:val="86"/>
    <w:family w:val="auto"/>
    <w:pitch w:val="default"/>
    <w:sig w:usb0="80000287" w:usb1="280F3C52" w:usb2="00000016" w:usb3="00000000" w:csb0="0004001F" w:csb1="00000000"/>
    <w:embedRegular r:id="rId5" w:fontKey="{65387192-CFA5-4956-9621-A4B91B9F0292}"/>
  </w:font>
  <w:font w:name="方正黑体_GBK">
    <w:panose1 w:val="03000509000000000000"/>
    <w:charset w:val="86"/>
    <w:family w:val="auto"/>
    <w:pitch w:val="default"/>
    <w:sig w:usb0="00000000" w:usb1="00000000" w:usb2="00000000" w:usb3="00000000" w:csb0="00000000" w:csb1="00000000"/>
    <w:embedRegular r:id="rId6" w:fontKey="{C23C8615-AC37-4090-8935-CA30701E1A5A}"/>
  </w:font>
  <w:font w:name="方正楷体_GBK">
    <w:panose1 w:val="03000509000000000000"/>
    <w:charset w:val="86"/>
    <w:family w:val="auto"/>
    <w:pitch w:val="default"/>
    <w:sig w:usb0="00000000" w:usb1="00000000" w:usb2="00000000" w:usb3="00000000" w:csb0="00000000" w:csb1="00000000"/>
    <w:embedRegular r:id="rId7" w:fontKey="{2E40AE10-E966-4342-8FE7-42F2162DFE72}"/>
  </w:font>
  <w:font w:name="仿宋-GB2321">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kAKlUWAgAAFQQAAA4AAABkcnMvZTJvRG9jLnhtbK1TzY7TMBC+I/EO&#10;lu80aRG7Vd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CZACpVFgIAABUEAAAOAAAAAAAA&#10;AAEAIAAAAB8BAABkcnMvZTJvRG9jLnhtbFBLBQYAAAAABgAGAFkBAACn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09717B"/>
    <w:multiLevelType w:val="singleLevel"/>
    <w:tmpl w:val="A809717B"/>
    <w:lvl w:ilvl="0" w:tentative="0">
      <w:start w:val="2"/>
      <w:numFmt w:val="chineseCounting"/>
      <w:suff w:val="nothing"/>
      <w:lvlText w:val="（%1）"/>
      <w:lvlJc w:val="left"/>
      <w:rPr>
        <w:rFonts w:hint="eastAsia"/>
      </w:rPr>
    </w:lvl>
  </w:abstractNum>
  <w:abstractNum w:abstractNumId="1">
    <w:nsid w:val="06830D9A"/>
    <w:multiLevelType w:val="multilevel"/>
    <w:tmpl w:val="06830D9A"/>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702"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4BBB029A"/>
    <w:multiLevelType w:val="multilevel"/>
    <w:tmpl w:val="4BBB029A"/>
    <w:lvl w:ilvl="0" w:tentative="0">
      <w:start w:val="1"/>
      <w:numFmt w:val="decimal"/>
      <w:pStyle w:val="3"/>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86DE0EC"/>
    <w:multiLevelType w:val="singleLevel"/>
    <w:tmpl w:val="586DE0EC"/>
    <w:lvl w:ilvl="0" w:tentative="0">
      <w:start w:val="1"/>
      <w:numFmt w:val="decimal"/>
      <w:suff w:val="nothing"/>
      <w:lvlText w:val="（%1）"/>
      <w:lvlJc w:val="left"/>
    </w:lvl>
  </w:abstractNum>
  <w:abstractNum w:abstractNumId="4">
    <w:nsid w:val="6EA16E0C"/>
    <w:multiLevelType w:val="multilevel"/>
    <w:tmpl w:val="6EA16E0C"/>
    <w:lvl w:ilvl="0" w:tentative="0">
      <w:start w:val="1"/>
      <w:numFmt w:val="decimal"/>
      <w:pStyle w:val="4"/>
      <w:lvlText w:val="%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xYWQ0OWQxNDM3Y2IxYWFiMWMxZjMzN2QxNjEzZDUifQ=="/>
  </w:docVars>
  <w:rsids>
    <w:rsidRoot w:val="00414B7D"/>
    <w:rsid w:val="00016E08"/>
    <w:rsid w:val="00021851"/>
    <w:rsid w:val="00024B57"/>
    <w:rsid w:val="00036D0D"/>
    <w:rsid w:val="00036D41"/>
    <w:rsid w:val="00046D50"/>
    <w:rsid w:val="000475FC"/>
    <w:rsid w:val="00082C50"/>
    <w:rsid w:val="0008358D"/>
    <w:rsid w:val="00083F67"/>
    <w:rsid w:val="00087E49"/>
    <w:rsid w:val="000B0B81"/>
    <w:rsid w:val="000B1623"/>
    <w:rsid w:val="000B1CCE"/>
    <w:rsid w:val="000C3557"/>
    <w:rsid w:val="000C5082"/>
    <w:rsid w:val="000D57B9"/>
    <w:rsid w:val="000E1377"/>
    <w:rsid w:val="000F719E"/>
    <w:rsid w:val="00103F61"/>
    <w:rsid w:val="001040BC"/>
    <w:rsid w:val="00107A8F"/>
    <w:rsid w:val="00130F27"/>
    <w:rsid w:val="00136B2F"/>
    <w:rsid w:val="00152333"/>
    <w:rsid w:val="00160CDB"/>
    <w:rsid w:val="00161F5F"/>
    <w:rsid w:val="00162F2E"/>
    <w:rsid w:val="001764F0"/>
    <w:rsid w:val="00176DFF"/>
    <w:rsid w:val="001825A2"/>
    <w:rsid w:val="00186F45"/>
    <w:rsid w:val="00187575"/>
    <w:rsid w:val="001C1801"/>
    <w:rsid w:val="001C64B5"/>
    <w:rsid w:val="0020463E"/>
    <w:rsid w:val="0021140C"/>
    <w:rsid w:val="00230276"/>
    <w:rsid w:val="00230A7C"/>
    <w:rsid w:val="002358FA"/>
    <w:rsid w:val="0023779B"/>
    <w:rsid w:val="002443C4"/>
    <w:rsid w:val="0025623B"/>
    <w:rsid w:val="00257940"/>
    <w:rsid w:val="0027097D"/>
    <w:rsid w:val="00271E15"/>
    <w:rsid w:val="0027684A"/>
    <w:rsid w:val="00276A45"/>
    <w:rsid w:val="00282C28"/>
    <w:rsid w:val="0029663F"/>
    <w:rsid w:val="00297D3C"/>
    <w:rsid w:val="002A49E8"/>
    <w:rsid w:val="002A64D8"/>
    <w:rsid w:val="002A6ECE"/>
    <w:rsid w:val="002B2807"/>
    <w:rsid w:val="002C092D"/>
    <w:rsid w:val="002C1471"/>
    <w:rsid w:val="002C7301"/>
    <w:rsid w:val="002D239F"/>
    <w:rsid w:val="002D49A2"/>
    <w:rsid w:val="002E3475"/>
    <w:rsid w:val="002F2ABF"/>
    <w:rsid w:val="002F5C69"/>
    <w:rsid w:val="00300C5C"/>
    <w:rsid w:val="00334AA6"/>
    <w:rsid w:val="00335ABC"/>
    <w:rsid w:val="0035174C"/>
    <w:rsid w:val="00353891"/>
    <w:rsid w:val="00357062"/>
    <w:rsid w:val="003762B7"/>
    <w:rsid w:val="00377AB2"/>
    <w:rsid w:val="003963D0"/>
    <w:rsid w:val="003A243D"/>
    <w:rsid w:val="003A3F8A"/>
    <w:rsid w:val="003D3349"/>
    <w:rsid w:val="003F5B9B"/>
    <w:rsid w:val="003F5E87"/>
    <w:rsid w:val="003F7B44"/>
    <w:rsid w:val="00403605"/>
    <w:rsid w:val="00414B7D"/>
    <w:rsid w:val="00425B0B"/>
    <w:rsid w:val="00427588"/>
    <w:rsid w:val="0044086E"/>
    <w:rsid w:val="0044115C"/>
    <w:rsid w:val="004419BF"/>
    <w:rsid w:val="004446AF"/>
    <w:rsid w:val="00456D64"/>
    <w:rsid w:val="00461A03"/>
    <w:rsid w:val="00461C13"/>
    <w:rsid w:val="00466D62"/>
    <w:rsid w:val="00480EBB"/>
    <w:rsid w:val="004837BC"/>
    <w:rsid w:val="00491DC0"/>
    <w:rsid w:val="0049279D"/>
    <w:rsid w:val="004929DD"/>
    <w:rsid w:val="004A17A9"/>
    <w:rsid w:val="004A3BA3"/>
    <w:rsid w:val="004C27AA"/>
    <w:rsid w:val="004C4305"/>
    <w:rsid w:val="004C48B5"/>
    <w:rsid w:val="004C7EF1"/>
    <w:rsid w:val="004D64A9"/>
    <w:rsid w:val="004F5174"/>
    <w:rsid w:val="004F7E0C"/>
    <w:rsid w:val="00505ACA"/>
    <w:rsid w:val="00520F1C"/>
    <w:rsid w:val="0052602D"/>
    <w:rsid w:val="00535343"/>
    <w:rsid w:val="0054358D"/>
    <w:rsid w:val="005510BE"/>
    <w:rsid w:val="0055540B"/>
    <w:rsid w:val="005674C1"/>
    <w:rsid w:val="005A11A3"/>
    <w:rsid w:val="005A299C"/>
    <w:rsid w:val="005B40F5"/>
    <w:rsid w:val="005B5C85"/>
    <w:rsid w:val="005D2E62"/>
    <w:rsid w:val="005D3B9D"/>
    <w:rsid w:val="00621D18"/>
    <w:rsid w:val="006264C5"/>
    <w:rsid w:val="006276D2"/>
    <w:rsid w:val="00633F43"/>
    <w:rsid w:val="00635FD4"/>
    <w:rsid w:val="006451C9"/>
    <w:rsid w:val="00682CC7"/>
    <w:rsid w:val="006838D1"/>
    <w:rsid w:val="00683B82"/>
    <w:rsid w:val="006A0C6F"/>
    <w:rsid w:val="006A530D"/>
    <w:rsid w:val="006B5D89"/>
    <w:rsid w:val="006E0F22"/>
    <w:rsid w:val="006F03CF"/>
    <w:rsid w:val="006F614A"/>
    <w:rsid w:val="00706A4E"/>
    <w:rsid w:val="007115C8"/>
    <w:rsid w:val="00722E10"/>
    <w:rsid w:val="00752CB5"/>
    <w:rsid w:val="00760C80"/>
    <w:rsid w:val="00765FA0"/>
    <w:rsid w:val="00770E0C"/>
    <w:rsid w:val="00776C05"/>
    <w:rsid w:val="00783B17"/>
    <w:rsid w:val="00796661"/>
    <w:rsid w:val="007A3C4B"/>
    <w:rsid w:val="007B38F5"/>
    <w:rsid w:val="007C462B"/>
    <w:rsid w:val="007C6866"/>
    <w:rsid w:val="007D1B86"/>
    <w:rsid w:val="007D58AE"/>
    <w:rsid w:val="007E49F4"/>
    <w:rsid w:val="007F5B60"/>
    <w:rsid w:val="00804413"/>
    <w:rsid w:val="0080484E"/>
    <w:rsid w:val="00807F37"/>
    <w:rsid w:val="00813205"/>
    <w:rsid w:val="00853D02"/>
    <w:rsid w:val="008726A9"/>
    <w:rsid w:val="00873B68"/>
    <w:rsid w:val="008741FC"/>
    <w:rsid w:val="008764E8"/>
    <w:rsid w:val="008B08D1"/>
    <w:rsid w:val="008C646A"/>
    <w:rsid w:val="008C6AA7"/>
    <w:rsid w:val="008D2C5C"/>
    <w:rsid w:val="008E496C"/>
    <w:rsid w:val="009167F1"/>
    <w:rsid w:val="00932232"/>
    <w:rsid w:val="00937981"/>
    <w:rsid w:val="00942A28"/>
    <w:rsid w:val="00952F6D"/>
    <w:rsid w:val="00957616"/>
    <w:rsid w:val="00960A8B"/>
    <w:rsid w:val="00974DAE"/>
    <w:rsid w:val="00975A3A"/>
    <w:rsid w:val="00987C5A"/>
    <w:rsid w:val="0099597E"/>
    <w:rsid w:val="0099715E"/>
    <w:rsid w:val="009A4DCB"/>
    <w:rsid w:val="009A507D"/>
    <w:rsid w:val="009B213F"/>
    <w:rsid w:val="009B47A3"/>
    <w:rsid w:val="009B5649"/>
    <w:rsid w:val="009B56E1"/>
    <w:rsid w:val="009C110C"/>
    <w:rsid w:val="009D79E4"/>
    <w:rsid w:val="009E5C35"/>
    <w:rsid w:val="009F3991"/>
    <w:rsid w:val="009F3EFC"/>
    <w:rsid w:val="009F6B69"/>
    <w:rsid w:val="00A10B96"/>
    <w:rsid w:val="00A177CD"/>
    <w:rsid w:val="00A202D7"/>
    <w:rsid w:val="00A21618"/>
    <w:rsid w:val="00A21665"/>
    <w:rsid w:val="00A225EB"/>
    <w:rsid w:val="00A262B3"/>
    <w:rsid w:val="00A26917"/>
    <w:rsid w:val="00A35141"/>
    <w:rsid w:val="00A35A5E"/>
    <w:rsid w:val="00A415E3"/>
    <w:rsid w:val="00A426D9"/>
    <w:rsid w:val="00A45F48"/>
    <w:rsid w:val="00A621B0"/>
    <w:rsid w:val="00A72180"/>
    <w:rsid w:val="00A74E49"/>
    <w:rsid w:val="00A773A3"/>
    <w:rsid w:val="00AA252A"/>
    <w:rsid w:val="00AA2C44"/>
    <w:rsid w:val="00AC2A90"/>
    <w:rsid w:val="00AD43E3"/>
    <w:rsid w:val="00AE34E7"/>
    <w:rsid w:val="00AF0AFB"/>
    <w:rsid w:val="00AF7214"/>
    <w:rsid w:val="00B03232"/>
    <w:rsid w:val="00B053C8"/>
    <w:rsid w:val="00B05937"/>
    <w:rsid w:val="00B10C7D"/>
    <w:rsid w:val="00B12A63"/>
    <w:rsid w:val="00B20D12"/>
    <w:rsid w:val="00B219EF"/>
    <w:rsid w:val="00B4360F"/>
    <w:rsid w:val="00B46B99"/>
    <w:rsid w:val="00B4775C"/>
    <w:rsid w:val="00B54402"/>
    <w:rsid w:val="00B6760A"/>
    <w:rsid w:val="00B83DC4"/>
    <w:rsid w:val="00BB7563"/>
    <w:rsid w:val="00BC0899"/>
    <w:rsid w:val="00BE28B4"/>
    <w:rsid w:val="00C0298E"/>
    <w:rsid w:val="00C13121"/>
    <w:rsid w:val="00C17077"/>
    <w:rsid w:val="00C1762E"/>
    <w:rsid w:val="00C20D59"/>
    <w:rsid w:val="00C37C3C"/>
    <w:rsid w:val="00C47601"/>
    <w:rsid w:val="00C53CE0"/>
    <w:rsid w:val="00C553E8"/>
    <w:rsid w:val="00C64B66"/>
    <w:rsid w:val="00C669C6"/>
    <w:rsid w:val="00C735FC"/>
    <w:rsid w:val="00C7792A"/>
    <w:rsid w:val="00C87D33"/>
    <w:rsid w:val="00C900CB"/>
    <w:rsid w:val="00C90434"/>
    <w:rsid w:val="00CA6ECC"/>
    <w:rsid w:val="00CB23FF"/>
    <w:rsid w:val="00CD5385"/>
    <w:rsid w:val="00CF007C"/>
    <w:rsid w:val="00CF08F6"/>
    <w:rsid w:val="00CF598C"/>
    <w:rsid w:val="00D02D71"/>
    <w:rsid w:val="00D21A15"/>
    <w:rsid w:val="00D51B3C"/>
    <w:rsid w:val="00D70DBE"/>
    <w:rsid w:val="00D85954"/>
    <w:rsid w:val="00D868FA"/>
    <w:rsid w:val="00D942D8"/>
    <w:rsid w:val="00DA1E6E"/>
    <w:rsid w:val="00DF6D58"/>
    <w:rsid w:val="00DF79A0"/>
    <w:rsid w:val="00E01285"/>
    <w:rsid w:val="00E06E72"/>
    <w:rsid w:val="00E101C5"/>
    <w:rsid w:val="00E14352"/>
    <w:rsid w:val="00E25CE9"/>
    <w:rsid w:val="00E25E58"/>
    <w:rsid w:val="00E274D7"/>
    <w:rsid w:val="00E35680"/>
    <w:rsid w:val="00E52AFF"/>
    <w:rsid w:val="00E54E41"/>
    <w:rsid w:val="00E77BFD"/>
    <w:rsid w:val="00EA4F02"/>
    <w:rsid w:val="00EA52D5"/>
    <w:rsid w:val="00EA62F4"/>
    <w:rsid w:val="00EE64AF"/>
    <w:rsid w:val="00EF0362"/>
    <w:rsid w:val="00EF7923"/>
    <w:rsid w:val="00F0169E"/>
    <w:rsid w:val="00F02ECD"/>
    <w:rsid w:val="00F03FEA"/>
    <w:rsid w:val="00F32F3A"/>
    <w:rsid w:val="00F3638E"/>
    <w:rsid w:val="00F37675"/>
    <w:rsid w:val="00F52189"/>
    <w:rsid w:val="00F843F0"/>
    <w:rsid w:val="00F845E1"/>
    <w:rsid w:val="00F87D7A"/>
    <w:rsid w:val="00F90E9A"/>
    <w:rsid w:val="00F9178B"/>
    <w:rsid w:val="00FA2D92"/>
    <w:rsid w:val="00FA79ED"/>
    <w:rsid w:val="00FB055D"/>
    <w:rsid w:val="00FB13FC"/>
    <w:rsid w:val="00FB20DA"/>
    <w:rsid w:val="00FB212B"/>
    <w:rsid w:val="00FC0C10"/>
    <w:rsid w:val="00FC1F1B"/>
    <w:rsid w:val="00FC312F"/>
    <w:rsid w:val="00FD336C"/>
    <w:rsid w:val="013155A1"/>
    <w:rsid w:val="01376E0A"/>
    <w:rsid w:val="01475095"/>
    <w:rsid w:val="01761C8E"/>
    <w:rsid w:val="017A1376"/>
    <w:rsid w:val="0197709A"/>
    <w:rsid w:val="01B15800"/>
    <w:rsid w:val="01C63A8E"/>
    <w:rsid w:val="01D976F9"/>
    <w:rsid w:val="0270045C"/>
    <w:rsid w:val="03036887"/>
    <w:rsid w:val="031B4FD7"/>
    <w:rsid w:val="03384BB1"/>
    <w:rsid w:val="033C49A3"/>
    <w:rsid w:val="03404A84"/>
    <w:rsid w:val="034877EC"/>
    <w:rsid w:val="036E4BF7"/>
    <w:rsid w:val="03702A98"/>
    <w:rsid w:val="037265FD"/>
    <w:rsid w:val="03C020B7"/>
    <w:rsid w:val="03CD538A"/>
    <w:rsid w:val="03DA2C61"/>
    <w:rsid w:val="03EC21D1"/>
    <w:rsid w:val="03EE2230"/>
    <w:rsid w:val="043F0DA3"/>
    <w:rsid w:val="045B70AB"/>
    <w:rsid w:val="04A406D7"/>
    <w:rsid w:val="04B74A42"/>
    <w:rsid w:val="04BC5076"/>
    <w:rsid w:val="04E74098"/>
    <w:rsid w:val="04ED064B"/>
    <w:rsid w:val="05197C3C"/>
    <w:rsid w:val="053F46B3"/>
    <w:rsid w:val="05445D91"/>
    <w:rsid w:val="05466AD0"/>
    <w:rsid w:val="057D1D75"/>
    <w:rsid w:val="05D54EEB"/>
    <w:rsid w:val="062E4E15"/>
    <w:rsid w:val="063F521C"/>
    <w:rsid w:val="06436553"/>
    <w:rsid w:val="066006B3"/>
    <w:rsid w:val="068D2C76"/>
    <w:rsid w:val="069C6B7F"/>
    <w:rsid w:val="06A35673"/>
    <w:rsid w:val="06CB371E"/>
    <w:rsid w:val="071D689A"/>
    <w:rsid w:val="072D56D3"/>
    <w:rsid w:val="075B7C46"/>
    <w:rsid w:val="075D5C72"/>
    <w:rsid w:val="07750484"/>
    <w:rsid w:val="08751C48"/>
    <w:rsid w:val="089E1A23"/>
    <w:rsid w:val="08A1728C"/>
    <w:rsid w:val="08E20120"/>
    <w:rsid w:val="08EE737B"/>
    <w:rsid w:val="09035DC8"/>
    <w:rsid w:val="092B1014"/>
    <w:rsid w:val="093A1BBD"/>
    <w:rsid w:val="094123AB"/>
    <w:rsid w:val="09415222"/>
    <w:rsid w:val="097048FE"/>
    <w:rsid w:val="09CA6A7A"/>
    <w:rsid w:val="09D871B5"/>
    <w:rsid w:val="09DC263D"/>
    <w:rsid w:val="0A037E2F"/>
    <w:rsid w:val="0A0402F4"/>
    <w:rsid w:val="0A5343BB"/>
    <w:rsid w:val="0A844F3D"/>
    <w:rsid w:val="0A870EFF"/>
    <w:rsid w:val="0A9224F0"/>
    <w:rsid w:val="0AD76757"/>
    <w:rsid w:val="0AE64A4E"/>
    <w:rsid w:val="0BE135A2"/>
    <w:rsid w:val="0BE20A8D"/>
    <w:rsid w:val="0BF74EB7"/>
    <w:rsid w:val="0BFF003E"/>
    <w:rsid w:val="0C05520D"/>
    <w:rsid w:val="0C5149F8"/>
    <w:rsid w:val="0C545942"/>
    <w:rsid w:val="0C9408B1"/>
    <w:rsid w:val="0CFE691A"/>
    <w:rsid w:val="0D0E2027"/>
    <w:rsid w:val="0D41574A"/>
    <w:rsid w:val="0D6E4DCD"/>
    <w:rsid w:val="0D9E1D21"/>
    <w:rsid w:val="0D9F2933"/>
    <w:rsid w:val="0E020B6B"/>
    <w:rsid w:val="0E1D36E7"/>
    <w:rsid w:val="0E5C62A4"/>
    <w:rsid w:val="0E92762A"/>
    <w:rsid w:val="0EA8251A"/>
    <w:rsid w:val="0EC817E1"/>
    <w:rsid w:val="0EFF4355"/>
    <w:rsid w:val="0F381EB2"/>
    <w:rsid w:val="0F6B1F68"/>
    <w:rsid w:val="0FC63F72"/>
    <w:rsid w:val="0FC867B8"/>
    <w:rsid w:val="0FD954EB"/>
    <w:rsid w:val="10206D57"/>
    <w:rsid w:val="102A0D8F"/>
    <w:rsid w:val="1072244F"/>
    <w:rsid w:val="10755F8E"/>
    <w:rsid w:val="107A2943"/>
    <w:rsid w:val="107E409D"/>
    <w:rsid w:val="10835FA9"/>
    <w:rsid w:val="109C3C4F"/>
    <w:rsid w:val="10A514F5"/>
    <w:rsid w:val="10F7189A"/>
    <w:rsid w:val="11070E7A"/>
    <w:rsid w:val="110A197C"/>
    <w:rsid w:val="11515ABE"/>
    <w:rsid w:val="11807745"/>
    <w:rsid w:val="1188035B"/>
    <w:rsid w:val="11934259"/>
    <w:rsid w:val="11F87298"/>
    <w:rsid w:val="122F0E53"/>
    <w:rsid w:val="12513953"/>
    <w:rsid w:val="12D6301A"/>
    <w:rsid w:val="12EB67CB"/>
    <w:rsid w:val="13072A44"/>
    <w:rsid w:val="1350413D"/>
    <w:rsid w:val="136038FD"/>
    <w:rsid w:val="13893C35"/>
    <w:rsid w:val="139B4A83"/>
    <w:rsid w:val="13EE6D17"/>
    <w:rsid w:val="14324702"/>
    <w:rsid w:val="14496F20"/>
    <w:rsid w:val="14530434"/>
    <w:rsid w:val="147A11E7"/>
    <w:rsid w:val="150A6C7E"/>
    <w:rsid w:val="150B2B97"/>
    <w:rsid w:val="15140371"/>
    <w:rsid w:val="151547B8"/>
    <w:rsid w:val="152739BF"/>
    <w:rsid w:val="154510DF"/>
    <w:rsid w:val="1562473D"/>
    <w:rsid w:val="1565274D"/>
    <w:rsid w:val="15767436"/>
    <w:rsid w:val="15973CBB"/>
    <w:rsid w:val="16181B81"/>
    <w:rsid w:val="162163A6"/>
    <w:rsid w:val="163F2D4D"/>
    <w:rsid w:val="1649051E"/>
    <w:rsid w:val="1696350E"/>
    <w:rsid w:val="16D056D6"/>
    <w:rsid w:val="16DD6B31"/>
    <w:rsid w:val="178C25F4"/>
    <w:rsid w:val="17D95F7B"/>
    <w:rsid w:val="17E62AA7"/>
    <w:rsid w:val="17EF2C21"/>
    <w:rsid w:val="17F32CA0"/>
    <w:rsid w:val="180608F8"/>
    <w:rsid w:val="1812725A"/>
    <w:rsid w:val="18133A49"/>
    <w:rsid w:val="188E1AD6"/>
    <w:rsid w:val="189B7D89"/>
    <w:rsid w:val="18C86529"/>
    <w:rsid w:val="18EF46F1"/>
    <w:rsid w:val="190845D9"/>
    <w:rsid w:val="19327528"/>
    <w:rsid w:val="19837757"/>
    <w:rsid w:val="1A0E0CCD"/>
    <w:rsid w:val="1A6B70D6"/>
    <w:rsid w:val="1AB81E7E"/>
    <w:rsid w:val="1ABD5C04"/>
    <w:rsid w:val="1B0C46DF"/>
    <w:rsid w:val="1B0E7CD9"/>
    <w:rsid w:val="1BBC4394"/>
    <w:rsid w:val="1BBC447B"/>
    <w:rsid w:val="1BDB434B"/>
    <w:rsid w:val="1BED0AD9"/>
    <w:rsid w:val="1BFB4FA4"/>
    <w:rsid w:val="1BFF75B4"/>
    <w:rsid w:val="1C163621"/>
    <w:rsid w:val="1C406E5A"/>
    <w:rsid w:val="1C7D1E5D"/>
    <w:rsid w:val="1CB61728"/>
    <w:rsid w:val="1CC96E50"/>
    <w:rsid w:val="1CCD3ED3"/>
    <w:rsid w:val="1D0826D3"/>
    <w:rsid w:val="1D1A6FF8"/>
    <w:rsid w:val="1D300783"/>
    <w:rsid w:val="1D6445C8"/>
    <w:rsid w:val="1D9539A6"/>
    <w:rsid w:val="1D9A259A"/>
    <w:rsid w:val="1DA578BD"/>
    <w:rsid w:val="1DFE0F43"/>
    <w:rsid w:val="1E3C0602"/>
    <w:rsid w:val="1E69544E"/>
    <w:rsid w:val="1F0C1276"/>
    <w:rsid w:val="1F270062"/>
    <w:rsid w:val="1F3B3685"/>
    <w:rsid w:val="1F3D026E"/>
    <w:rsid w:val="1F6B3698"/>
    <w:rsid w:val="1F8054F8"/>
    <w:rsid w:val="1F811C64"/>
    <w:rsid w:val="1F9B4B7A"/>
    <w:rsid w:val="201A26D0"/>
    <w:rsid w:val="20481D81"/>
    <w:rsid w:val="204A02A8"/>
    <w:rsid w:val="205630F0"/>
    <w:rsid w:val="206A26F8"/>
    <w:rsid w:val="20B31AFE"/>
    <w:rsid w:val="20E45512"/>
    <w:rsid w:val="20E6393C"/>
    <w:rsid w:val="21311EA5"/>
    <w:rsid w:val="214040A4"/>
    <w:rsid w:val="2183368C"/>
    <w:rsid w:val="21C25F7F"/>
    <w:rsid w:val="21C86D7A"/>
    <w:rsid w:val="21EB5CEA"/>
    <w:rsid w:val="21F148E9"/>
    <w:rsid w:val="220240D5"/>
    <w:rsid w:val="22045AE3"/>
    <w:rsid w:val="220B1D86"/>
    <w:rsid w:val="223631D9"/>
    <w:rsid w:val="22394A78"/>
    <w:rsid w:val="2271533D"/>
    <w:rsid w:val="22CF718A"/>
    <w:rsid w:val="22E00F7B"/>
    <w:rsid w:val="22FF517E"/>
    <w:rsid w:val="23927BF2"/>
    <w:rsid w:val="23B01B1D"/>
    <w:rsid w:val="24053DA7"/>
    <w:rsid w:val="240750AB"/>
    <w:rsid w:val="2449672E"/>
    <w:rsid w:val="25177E64"/>
    <w:rsid w:val="25272816"/>
    <w:rsid w:val="2545757F"/>
    <w:rsid w:val="25712875"/>
    <w:rsid w:val="25A55563"/>
    <w:rsid w:val="25AE3087"/>
    <w:rsid w:val="25EB1E79"/>
    <w:rsid w:val="263521FC"/>
    <w:rsid w:val="265A5A10"/>
    <w:rsid w:val="266151C4"/>
    <w:rsid w:val="27497263"/>
    <w:rsid w:val="277C704E"/>
    <w:rsid w:val="27D23000"/>
    <w:rsid w:val="27E742E9"/>
    <w:rsid w:val="287C7670"/>
    <w:rsid w:val="287F0225"/>
    <w:rsid w:val="28967876"/>
    <w:rsid w:val="28F161A2"/>
    <w:rsid w:val="28FD484F"/>
    <w:rsid w:val="29143329"/>
    <w:rsid w:val="2934369F"/>
    <w:rsid w:val="294806D3"/>
    <w:rsid w:val="29601992"/>
    <w:rsid w:val="298E08BA"/>
    <w:rsid w:val="29A06193"/>
    <w:rsid w:val="29A24CB1"/>
    <w:rsid w:val="29C75BF1"/>
    <w:rsid w:val="2B531624"/>
    <w:rsid w:val="2B82289D"/>
    <w:rsid w:val="2B844F20"/>
    <w:rsid w:val="2B961680"/>
    <w:rsid w:val="2BA763AF"/>
    <w:rsid w:val="2BB51544"/>
    <w:rsid w:val="2BCB1CCD"/>
    <w:rsid w:val="2BED42B0"/>
    <w:rsid w:val="2BF70342"/>
    <w:rsid w:val="2BF72439"/>
    <w:rsid w:val="2C013C83"/>
    <w:rsid w:val="2C120FBA"/>
    <w:rsid w:val="2C2E35DC"/>
    <w:rsid w:val="2C397FEA"/>
    <w:rsid w:val="2C7429B5"/>
    <w:rsid w:val="2CCD4121"/>
    <w:rsid w:val="2D1550EE"/>
    <w:rsid w:val="2D1C4D7A"/>
    <w:rsid w:val="2D3A1340"/>
    <w:rsid w:val="2D5D0A2F"/>
    <w:rsid w:val="2DB46A8B"/>
    <w:rsid w:val="2DDB109D"/>
    <w:rsid w:val="2DEC1F8C"/>
    <w:rsid w:val="2E503645"/>
    <w:rsid w:val="2E5248C2"/>
    <w:rsid w:val="2E8F6D9B"/>
    <w:rsid w:val="2EB51B69"/>
    <w:rsid w:val="2F545A81"/>
    <w:rsid w:val="2F6D2B41"/>
    <w:rsid w:val="2F7F38D0"/>
    <w:rsid w:val="2F9B28CE"/>
    <w:rsid w:val="2F9E402D"/>
    <w:rsid w:val="300C3CE1"/>
    <w:rsid w:val="3016329F"/>
    <w:rsid w:val="303C7515"/>
    <w:rsid w:val="30592DBB"/>
    <w:rsid w:val="309B5AA8"/>
    <w:rsid w:val="30A42393"/>
    <w:rsid w:val="30C61C16"/>
    <w:rsid w:val="30CB379B"/>
    <w:rsid w:val="30D74F49"/>
    <w:rsid w:val="30D96822"/>
    <w:rsid w:val="30F67062"/>
    <w:rsid w:val="31032936"/>
    <w:rsid w:val="310E7A63"/>
    <w:rsid w:val="315F2B6B"/>
    <w:rsid w:val="31C75A19"/>
    <w:rsid w:val="31F65444"/>
    <w:rsid w:val="31FD2DFF"/>
    <w:rsid w:val="31FE1724"/>
    <w:rsid w:val="320F4EAD"/>
    <w:rsid w:val="32505F18"/>
    <w:rsid w:val="325A7C84"/>
    <w:rsid w:val="32625790"/>
    <w:rsid w:val="3283636F"/>
    <w:rsid w:val="32E57142"/>
    <w:rsid w:val="32FA2891"/>
    <w:rsid w:val="330149B7"/>
    <w:rsid w:val="3314415B"/>
    <w:rsid w:val="331704BD"/>
    <w:rsid w:val="339F4A25"/>
    <w:rsid w:val="33B331DE"/>
    <w:rsid w:val="33C418AF"/>
    <w:rsid w:val="33CA3782"/>
    <w:rsid w:val="340F51A7"/>
    <w:rsid w:val="343A10AD"/>
    <w:rsid w:val="343E2D93"/>
    <w:rsid w:val="344A041F"/>
    <w:rsid w:val="345D70F2"/>
    <w:rsid w:val="34BF2BBB"/>
    <w:rsid w:val="34DF4479"/>
    <w:rsid w:val="34E5788C"/>
    <w:rsid w:val="35037A26"/>
    <w:rsid w:val="355B7EB7"/>
    <w:rsid w:val="35661288"/>
    <w:rsid w:val="356D485B"/>
    <w:rsid w:val="35AC7563"/>
    <w:rsid w:val="35D97CAC"/>
    <w:rsid w:val="35E36877"/>
    <w:rsid w:val="35EC1630"/>
    <w:rsid w:val="35EF4932"/>
    <w:rsid w:val="361653D4"/>
    <w:rsid w:val="36485896"/>
    <w:rsid w:val="36751AE8"/>
    <w:rsid w:val="36795FBD"/>
    <w:rsid w:val="369C412D"/>
    <w:rsid w:val="36C40E55"/>
    <w:rsid w:val="373C022C"/>
    <w:rsid w:val="37920AEE"/>
    <w:rsid w:val="37CD3840"/>
    <w:rsid w:val="37D556C3"/>
    <w:rsid w:val="37EA1649"/>
    <w:rsid w:val="37EF2846"/>
    <w:rsid w:val="38172D0E"/>
    <w:rsid w:val="38792CDB"/>
    <w:rsid w:val="38905D39"/>
    <w:rsid w:val="38D94CED"/>
    <w:rsid w:val="38E17475"/>
    <w:rsid w:val="38EB6E2C"/>
    <w:rsid w:val="38FD1A9E"/>
    <w:rsid w:val="38FF3BAA"/>
    <w:rsid w:val="391A4668"/>
    <w:rsid w:val="391E1F52"/>
    <w:rsid w:val="39465DF3"/>
    <w:rsid w:val="394A5FF0"/>
    <w:rsid w:val="396B5391"/>
    <w:rsid w:val="3A23599A"/>
    <w:rsid w:val="3A7845C1"/>
    <w:rsid w:val="3AC50852"/>
    <w:rsid w:val="3AF3312C"/>
    <w:rsid w:val="3B626996"/>
    <w:rsid w:val="3BB719E6"/>
    <w:rsid w:val="3BCC0025"/>
    <w:rsid w:val="3C1D10AF"/>
    <w:rsid w:val="3C3505F9"/>
    <w:rsid w:val="3C356645"/>
    <w:rsid w:val="3C5067EE"/>
    <w:rsid w:val="3C551B9E"/>
    <w:rsid w:val="3CA56B3A"/>
    <w:rsid w:val="3CAC15D2"/>
    <w:rsid w:val="3CB655BF"/>
    <w:rsid w:val="3CC75CC4"/>
    <w:rsid w:val="3D061283"/>
    <w:rsid w:val="3D1D5C49"/>
    <w:rsid w:val="3D6847CB"/>
    <w:rsid w:val="3D911634"/>
    <w:rsid w:val="3D914B34"/>
    <w:rsid w:val="3D9A2417"/>
    <w:rsid w:val="3DDA79A5"/>
    <w:rsid w:val="3DDE5147"/>
    <w:rsid w:val="3E107CA2"/>
    <w:rsid w:val="3E371D14"/>
    <w:rsid w:val="3E504A51"/>
    <w:rsid w:val="3E5D7F6D"/>
    <w:rsid w:val="3E7F0FD3"/>
    <w:rsid w:val="3E810EE1"/>
    <w:rsid w:val="3E8A3B75"/>
    <w:rsid w:val="3ECF20BA"/>
    <w:rsid w:val="3EDF4135"/>
    <w:rsid w:val="3EE06515"/>
    <w:rsid w:val="3EF45B57"/>
    <w:rsid w:val="3F1A21D8"/>
    <w:rsid w:val="3F3050EE"/>
    <w:rsid w:val="3F3A7B06"/>
    <w:rsid w:val="3F3D5750"/>
    <w:rsid w:val="3F420948"/>
    <w:rsid w:val="3F744303"/>
    <w:rsid w:val="3F8F4793"/>
    <w:rsid w:val="3FBD4F61"/>
    <w:rsid w:val="3FC45529"/>
    <w:rsid w:val="3FDE29F3"/>
    <w:rsid w:val="3FF764FC"/>
    <w:rsid w:val="40214590"/>
    <w:rsid w:val="402B7E3F"/>
    <w:rsid w:val="402D5435"/>
    <w:rsid w:val="40382467"/>
    <w:rsid w:val="40A801E1"/>
    <w:rsid w:val="40DE50BE"/>
    <w:rsid w:val="40E65467"/>
    <w:rsid w:val="40EC3972"/>
    <w:rsid w:val="40EC50F5"/>
    <w:rsid w:val="4115614A"/>
    <w:rsid w:val="41322588"/>
    <w:rsid w:val="41372052"/>
    <w:rsid w:val="4186530E"/>
    <w:rsid w:val="41933E14"/>
    <w:rsid w:val="419633AA"/>
    <w:rsid w:val="41F9564C"/>
    <w:rsid w:val="41F95E8A"/>
    <w:rsid w:val="42351E71"/>
    <w:rsid w:val="42670166"/>
    <w:rsid w:val="4284303B"/>
    <w:rsid w:val="42847D13"/>
    <w:rsid w:val="42997ED6"/>
    <w:rsid w:val="42AA07D4"/>
    <w:rsid w:val="42AD7A50"/>
    <w:rsid w:val="42D05FB6"/>
    <w:rsid w:val="431E58B7"/>
    <w:rsid w:val="432B278D"/>
    <w:rsid w:val="43421586"/>
    <w:rsid w:val="43537423"/>
    <w:rsid w:val="43825D54"/>
    <w:rsid w:val="43A8521B"/>
    <w:rsid w:val="44212E39"/>
    <w:rsid w:val="446413C5"/>
    <w:rsid w:val="448F2D07"/>
    <w:rsid w:val="44D06CEB"/>
    <w:rsid w:val="45016D6F"/>
    <w:rsid w:val="454C5773"/>
    <w:rsid w:val="45A80E97"/>
    <w:rsid w:val="45A858ED"/>
    <w:rsid w:val="46295027"/>
    <w:rsid w:val="467C1E8C"/>
    <w:rsid w:val="46993270"/>
    <w:rsid w:val="46FD6304"/>
    <w:rsid w:val="470343A1"/>
    <w:rsid w:val="471A45C8"/>
    <w:rsid w:val="472B474E"/>
    <w:rsid w:val="4736721E"/>
    <w:rsid w:val="47687328"/>
    <w:rsid w:val="47802038"/>
    <w:rsid w:val="478B6735"/>
    <w:rsid w:val="47D9106D"/>
    <w:rsid w:val="47FB099F"/>
    <w:rsid w:val="483504F4"/>
    <w:rsid w:val="488009FE"/>
    <w:rsid w:val="488315CD"/>
    <w:rsid w:val="48A7564B"/>
    <w:rsid w:val="48F317D1"/>
    <w:rsid w:val="493B1131"/>
    <w:rsid w:val="49620FF1"/>
    <w:rsid w:val="496557F9"/>
    <w:rsid w:val="49BF66B8"/>
    <w:rsid w:val="49ED38CE"/>
    <w:rsid w:val="49FA5EF6"/>
    <w:rsid w:val="4A1E67EE"/>
    <w:rsid w:val="4A432BA3"/>
    <w:rsid w:val="4A4A5A5D"/>
    <w:rsid w:val="4A530894"/>
    <w:rsid w:val="4A72756B"/>
    <w:rsid w:val="4A797541"/>
    <w:rsid w:val="4A901A63"/>
    <w:rsid w:val="4AB36AE6"/>
    <w:rsid w:val="4ABE526B"/>
    <w:rsid w:val="4AE178D7"/>
    <w:rsid w:val="4AE66BEE"/>
    <w:rsid w:val="4AEA7D55"/>
    <w:rsid w:val="4B010B09"/>
    <w:rsid w:val="4B1F4CC3"/>
    <w:rsid w:val="4B3D77E8"/>
    <w:rsid w:val="4B4F0B9C"/>
    <w:rsid w:val="4BC149DF"/>
    <w:rsid w:val="4C735E07"/>
    <w:rsid w:val="4D1E0B50"/>
    <w:rsid w:val="4D28077C"/>
    <w:rsid w:val="4D306BFF"/>
    <w:rsid w:val="4D381304"/>
    <w:rsid w:val="4D981DA3"/>
    <w:rsid w:val="4E1C4782"/>
    <w:rsid w:val="4E4179EE"/>
    <w:rsid w:val="4E485577"/>
    <w:rsid w:val="4E767DC2"/>
    <w:rsid w:val="4E8F6F3C"/>
    <w:rsid w:val="4ED57ECB"/>
    <w:rsid w:val="4F3B68EA"/>
    <w:rsid w:val="4FA46EB1"/>
    <w:rsid w:val="4FC36E52"/>
    <w:rsid w:val="4FCE03C2"/>
    <w:rsid w:val="4FDC229F"/>
    <w:rsid w:val="506E40B6"/>
    <w:rsid w:val="50A246A0"/>
    <w:rsid w:val="50C10B50"/>
    <w:rsid w:val="50F66874"/>
    <w:rsid w:val="50F93B21"/>
    <w:rsid w:val="510711CE"/>
    <w:rsid w:val="51072FE8"/>
    <w:rsid w:val="515506DA"/>
    <w:rsid w:val="515E0E0C"/>
    <w:rsid w:val="517C44DB"/>
    <w:rsid w:val="51944C7F"/>
    <w:rsid w:val="519F2803"/>
    <w:rsid w:val="51B24506"/>
    <w:rsid w:val="51D57B4F"/>
    <w:rsid w:val="52033C2F"/>
    <w:rsid w:val="52077FA0"/>
    <w:rsid w:val="521141FF"/>
    <w:rsid w:val="52133FB2"/>
    <w:rsid w:val="52414FCD"/>
    <w:rsid w:val="52603064"/>
    <w:rsid w:val="52677290"/>
    <w:rsid w:val="526A01B2"/>
    <w:rsid w:val="52730954"/>
    <w:rsid w:val="5283201D"/>
    <w:rsid w:val="52B27FA0"/>
    <w:rsid w:val="52B84A06"/>
    <w:rsid w:val="52D90E94"/>
    <w:rsid w:val="531A7DBC"/>
    <w:rsid w:val="53322158"/>
    <w:rsid w:val="533D001D"/>
    <w:rsid w:val="53780C68"/>
    <w:rsid w:val="53A42CA2"/>
    <w:rsid w:val="53AE4E59"/>
    <w:rsid w:val="53D725CB"/>
    <w:rsid w:val="542B42CD"/>
    <w:rsid w:val="54416508"/>
    <w:rsid w:val="54815C87"/>
    <w:rsid w:val="55175CA3"/>
    <w:rsid w:val="55410F72"/>
    <w:rsid w:val="55AE5125"/>
    <w:rsid w:val="55D13336"/>
    <w:rsid w:val="56051FA0"/>
    <w:rsid w:val="56443477"/>
    <w:rsid w:val="56686407"/>
    <w:rsid w:val="568203C1"/>
    <w:rsid w:val="569A4C92"/>
    <w:rsid w:val="56ED13B1"/>
    <w:rsid w:val="570C6A4D"/>
    <w:rsid w:val="571E156B"/>
    <w:rsid w:val="57345A2D"/>
    <w:rsid w:val="580C057E"/>
    <w:rsid w:val="582F66B1"/>
    <w:rsid w:val="586B6CF0"/>
    <w:rsid w:val="588F27E6"/>
    <w:rsid w:val="58AA0A84"/>
    <w:rsid w:val="590B4AF5"/>
    <w:rsid w:val="590F3EDF"/>
    <w:rsid w:val="598C7DB0"/>
    <w:rsid w:val="599E7685"/>
    <w:rsid w:val="59A0359A"/>
    <w:rsid w:val="59B85296"/>
    <w:rsid w:val="59D86349"/>
    <w:rsid w:val="5A0679B5"/>
    <w:rsid w:val="5A170EA8"/>
    <w:rsid w:val="5A40568A"/>
    <w:rsid w:val="5A557EC1"/>
    <w:rsid w:val="5A6841BE"/>
    <w:rsid w:val="5A6C4CE3"/>
    <w:rsid w:val="5ABA59B1"/>
    <w:rsid w:val="5AC16EF5"/>
    <w:rsid w:val="5B3E5686"/>
    <w:rsid w:val="5B4465A2"/>
    <w:rsid w:val="5B614E05"/>
    <w:rsid w:val="5B630C7D"/>
    <w:rsid w:val="5B6A7475"/>
    <w:rsid w:val="5BBB54FB"/>
    <w:rsid w:val="5C366A56"/>
    <w:rsid w:val="5C473312"/>
    <w:rsid w:val="5C772397"/>
    <w:rsid w:val="5CA87BE6"/>
    <w:rsid w:val="5CB35126"/>
    <w:rsid w:val="5CD37180"/>
    <w:rsid w:val="5CFF599B"/>
    <w:rsid w:val="5D0D0413"/>
    <w:rsid w:val="5D132369"/>
    <w:rsid w:val="5D226ACA"/>
    <w:rsid w:val="5D3778A4"/>
    <w:rsid w:val="5D720862"/>
    <w:rsid w:val="5D873867"/>
    <w:rsid w:val="5DC540A7"/>
    <w:rsid w:val="5DC913EB"/>
    <w:rsid w:val="5DEC28A5"/>
    <w:rsid w:val="5E0962AB"/>
    <w:rsid w:val="5E113BD7"/>
    <w:rsid w:val="5E324CFB"/>
    <w:rsid w:val="5E8B6A9F"/>
    <w:rsid w:val="5EFA71E0"/>
    <w:rsid w:val="5F5D6BA7"/>
    <w:rsid w:val="5F6A0D11"/>
    <w:rsid w:val="5F7FD30C"/>
    <w:rsid w:val="5FE84E0C"/>
    <w:rsid w:val="5FEB2206"/>
    <w:rsid w:val="601B795D"/>
    <w:rsid w:val="6094507D"/>
    <w:rsid w:val="60EF3577"/>
    <w:rsid w:val="610572F8"/>
    <w:rsid w:val="612F2FC5"/>
    <w:rsid w:val="61622C63"/>
    <w:rsid w:val="61626FFC"/>
    <w:rsid w:val="61810DAC"/>
    <w:rsid w:val="61BA34EB"/>
    <w:rsid w:val="61E15FB7"/>
    <w:rsid w:val="61F64342"/>
    <w:rsid w:val="621F43E9"/>
    <w:rsid w:val="62361D20"/>
    <w:rsid w:val="626838A5"/>
    <w:rsid w:val="626E7329"/>
    <w:rsid w:val="6274710A"/>
    <w:rsid w:val="62E51B3A"/>
    <w:rsid w:val="62FC77A8"/>
    <w:rsid w:val="63230500"/>
    <w:rsid w:val="63920A42"/>
    <w:rsid w:val="63C17E4E"/>
    <w:rsid w:val="63EA4DF9"/>
    <w:rsid w:val="64457568"/>
    <w:rsid w:val="64760EA5"/>
    <w:rsid w:val="64963F53"/>
    <w:rsid w:val="649911B9"/>
    <w:rsid w:val="64AB7DC0"/>
    <w:rsid w:val="64CC30EB"/>
    <w:rsid w:val="654B5208"/>
    <w:rsid w:val="65611872"/>
    <w:rsid w:val="656C6C0C"/>
    <w:rsid w:val="65CD0D2C"/>
    <w:rsid w:val="6633766C"/>
    <w:rsid w:val="663C6FD7"/>
    <w:rsid w:val="664A1A6A"/>
    <w:rsid w:val="664E451E"/>
    <w:rsid w:val="665C45F9"/>
    <w:rsid w:val="667A0950"/>
    <w:rsid w:val="66812415"/>
    <w:rsid w:val="669D5EA9"/>
    <w:rsid w:val="66AE6963"/>
    <w:rsid w:val="66C657ED"/>
    <w:rsid w:val="67107514"/>
    <w:rsid w:val="67E805FD"/>
    <w:rsid w:val="67F72DF6"/>
    <w:rsid w:val="68083B50"/>
    <w:rsid w:val="686F0A84"/>
    <w:rsid w:val="68834BBC"/>
    <w:rsid w:val="688E629F"/>
    <w:rsid w:val="68CE2566"/>
    <w:rsid w:val="68DB72BC"/>
    <w:rsid w:val="69006B8C"/>
    <w:rsid w:val="69304DA6"/>
    <w:rsid w:val="69603B4A"/>
    <w:rsid w:val="696320E7"/>
    <w:rsid w:val="69B610FC"/>
    <w:rsid w:val="69BB3DA4"/>
    <w:rsid w:val="6A295EBD"/>
    <w:rsid w:val="6A61328C"/>
    <w:rsid w:val="6A6352C7"/>
    <w:rsid w:val="6A997CA6"/>
    <w:rsid w:val="6A9B2674"/>
    <w:rsid w:val="6AA32632"/>
    <w:rsid w:val="6ABD60AB"/>
    <w:rsid w:val="6ADA7BDA"/>
    <w:rsid w:val="6B0745D7"/>
    <w:rsid w:val="6B224577"/>
    <w:rsid w:val="6B653C15"/>
    <w:rsid w:val="6B9A4D15"/>
    <w:rsid w:val="6BAB2D0D"/>
    <w:rsid w:val="6BB11146"/>
    <w:rsid w:val="6BB838E4"/>
    <w:rsid w:val="6BC87F76"/>
    <w:rsid w:val="6C2C1B05"/>
    <w:rsid w:val="6C34399D"/>
    <w:rsid w:val="6C5F064E"/>
    <w:rsid w:val="6C7A74B6"/>
    <w:rsid w:val="6C9C6D62"/>
    <w:rsid w:val="6CC8224D"/>
    <w:rsid w:val="6CDC3602"/>
    <w:rsid w:val="6CFC2696"/>
    <w:rsid w:val="6D011978"/>
    <w:rsid w:val="6D4C7577"/>
    <w:rsid w:val="6DB225B5"/>
    <w:rsid w:val="6DE9329C"/>
    <w:rsid w:val="6DF40034"/>
    <w:rsid w:val="6E20323A"/>
    <w:rsid w:val="6E781A51"/>
    <w:rsid w:val="6E8354DD"/>
    <w:rsid w:val="6EC15016"/>
    <w:rsid w:val="6ED95DEA"/>
    <w:rsid w:val="6F134DCC"/>
    <w:rsid w:val="6F59670E"/>
    <w:rsid w:val="6F670D3C"/>
    <w:rsid w:val="6F7C10CD"/>
    <w:rsid w:val="6F846384"/>
    <w:rsid w:val="6F854280"/>
    <w:rsid w:val="6FAD1747"/>
    <w:rsid w:val="6FB00B6F"/>
    <w:rsid w:val="6FD14D46"/>
    <w:rsid w:val="6FFE024C"/>
    <w:rsid w:val="70172A2E"/>
    <w:rsid w:val="704936A5"/>
    <w:rsid w:val="704B25D4"/>
    <w:rsid w:val="705742C5"/>
    <w:rsid w:val="708519A6"/>
    <w:rsid w:val="70953AEF"/>
    <w:rsid w:val="70D84686"/>
    <w:rsid w:val="710A3C02"/>
    <w:rsid w:val="711B49BC"/>
    <w:rsid w:val="712212A8"/>
    <w:rsid w:val="71224B2C"/>
    <w:rsid w:val="715B5FA9"/>
    <w:rsid w:val="71A56C9B"/>
    <w:rsid w:val="71C10EE3"/>
    <w:rsid w:val="721B72C2"/>
    <w:rsid w:val="726C3D11"/>
    <w:rsid w:val="72CF006A"/>
    <w:rsid w:val="72FE667A"/>
    <w:rsid w:val="73430029"/>
    <w:rsid w:val="73674D66"/>
    <w:rsid w:val="736B748E"/>
    <w:rsid w:val="738144AE"/>
    <w:rsid w:val="7395275D"/>
    <w:rsid w:val="73A94202"/>
    <w:rsid w:val="74667C0C"/>
    <w:rsid w:val="74767C58"/>
    <w:rsid w:val="748928BF"/>
    <w:rsid w:val="748D7802"/>
    <w:rsid w:val="74A2489D"/>
    <w:rsid w:val="74C34D42"/>
    <w:rsid w:val="74DA6C11"/>
    <w:rsid w:val="74DE763D"/>
    <w:rsid w:val="75061074"/>
    <w:rsid w:val="754427F8"/>
    <w:rsid w:val="75663E2A"/>
    <w:rsid w:val="756A176D"/>
    <w:rsid w:val="757B2EFF"/>
    <w:rsid w:val="757C60BA"/>
    <w:rsid w:val="758523D5"/>
    <w:rsid w:val="75A52E18"/>
    <w:rsid w:val="75AC36CE"/>
    <w:rsid w:val="75B93025"/>
    <w:rsid w:val="75C500C8"/>
    <w:rsid w:val="75D14FF0"/>
    <w:rsid w:val="75FE6729"/>
    <w:rsid w:val="76005923"/>
    <w:rsid w:val="7616249B"/>
    <w:rsid w:val="76826103"/>
    <w:rsid w:val="76946CFC"/>
    <w:rsid w:val="76A50F09"/>
    <w:rsid w:val="77123849"/>
    <w:rsid w:val="77195203"/>
    <w:rsid w:val="772758E7"/>
    <w:rsid w:val="776E137D"/>
    <w:rsid w:val="777032C5"/>
    <w:rsid w:val="77732DB5"/>
    <w:rsid w:val="77850FA2"/>
    <w:rsid w:val="7788474A"/>
    <w:rsid w:val="77B67B5F"/>
    <w:rsid w:val="783B31FD"/>
    <w:rsid w:val="78497278"/>
    <w:rsid w:val="78A8098E"/>
    <w:rsid w:val="78C94D0A"/>
    <w:rsid w:val="792A33BB"/>
    <w:rsid w:val="79307F75"/>
    <w:rsid w:val="794942B4"/>
    <w:rsid w:val="79BB2739"/>
    <w:rsid w:val="79E43492"/>
    <w:rsid w:val="79F904DD"/>
    <w:rsid w:val="7A6648DE"/>
    <w:rsid w:val="7AC15EF1"/>
    <w:rsid w:val="7AC55644"/>
    <w:rsid w:val="7B0D056F"/>
    <w:rsid w:val="7B2C0E24"/>
    <w:rsid w:val="7B3F7B9D"/>
    <w:rsid w:val="7B6A54D9"/>
    <w:rsid w:val="7BE20509"/>
    <w:rsid w:val="7BE76D09"/>
    <w:rsid w:val="7BF3536A"/>
    <w:rsid w:val="7C1169AE"/>
    <w:rsid w:val="7C616904"/>
    <w:rsid w:val="7C822CE8"/>
    <w:rsid w:val="7C9C00D8"/>
    <w:rsid w:val="7CDA23D6"/>
    <w:rsid w:val="7CF40E8A"/>
    <w:rsid w:val="7DF74FF8"/>
    <w:rsid w:val="7E0000DB"/>
    <w:rsid w:val="7E0D7ED1"/>
    <w:rsid w:val="7E215BCB"/>
    <w:rsid w:val="7E2A0CE2"/>
    <w:rsid w:val="7E664DEE"/>
    <w:rsid w:val="7EA30424"/>
    <w:rsid w:val="7EBC73A8"/>
    <w:rsid w:val="7F0C4881"/>
    <w:rsid w:val="7F4734A5"/>
    <w:rsid w:val="7F623E3B"/>
    <w:rsid w:val="7F9F6E3D"/>
    <w:rsid w:val="7FCC0955"/>
    <w:rsid w:val="7FD5136B"/>
    <w:rsid w:val="7FFD0EBB"/>
    <w:rsid w:val="BEE6C3E8"/>
    <w:rsid w:val="FBF515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8"/>
    <w:qFormat/>
    <w:uiPriority w:val="9"/>
    <w:pPr>
      <w:keepNext/>
      <w:keepLines/>
      <w:numPr>
        <w:ilvl w:val="0"/>
        <w:numId w:val="1"/>
      </w:numPr>
      <w:spacing w:before="340" w:after="330" w:line="578" w:lineRule="auto"/>
      <w:ind w:left="0" w:firstLine="0"/>
      <w:outlineLvl w:val="0"/>
    </w:pPr>
    <w:rPr>
      <w:rFonts w:eastAsia="仿宋"/>
      <w:b/>
      <w:bCs/>
      <w:kern w:val="44"/>
      <w:sz w:val="32"/>
      <w:szCs w:val="44"/>
    </w:rPr>
  </w:style>
  <w:style w:type="paragraph" w:styleId="4">
    <w:name w:val="heading 2"/>
    <w:basedOn w:val="1"/>
    <w:next w:val="1"/>
    <w:link w:val="29"/>
    <w:unhideWhenUsed/>
    <w:qFormat/>
    <w:uiPriority w:val="9"/>
    <w:pPr>
      <w:keepNext/>
      <w:keepLines/>
      <w:numPr>
        <w:ilvl w:val="0"/>
        <w:numId w:val="2"/>
      </w:numPr>
      <w:spacing w:before="260" w:after="260" w:line="416" w:lineRule="auto"/>
      <w:outlineLvl w:val="1"/>
    </w:pPr>
    <w:rPr>
      <w:rFonts w:eastAsia="仿宋" w:asciiTheme="majorHAnsi" w:hAnsiTheme="majorHAnsi" w:cstheme="majorBidi"/>
      <w:bCs/>
      <w:sz w:val="32"/>
      <w:szCs w:val="32"/>
    </w:rPr>
  </w:style>
  <w:style w:type="paragraph" w:styleId="5">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26"/>
    <w:unhideWhenUsed/>
    <w:qFormat/>
    <w:uiPriority w:val="99"/>
    <w:pPr>
      <w:tabs>
        <w:tab w:val="center" w:pos="4153"/>
        <w:tab w:val="right" w:pos="8306"/>
      </w:tabs>
      <w:snapToGrid w:val="0"/>
      <w:jc w:val="left"/>
    </w:pPr>
    <w:rPr>
      <w:sz w:val="18"/>
      <w:szCs w:val="18"/>
    </w:rPr>
  </w:style>
  <w:style w:type="paragraph" w:styleId="6">
    <w:name w:val="caption"/>
    <w:basedOn w:val="1"/>
    <w:next w:val="1"/>
    <w:unhideWhenUsed/>
    <w:qFormat/>
    <w:uiPriority w:val="35"/>
    <w:rPr>
      <w:rFonts w:eastAsia="黑体" w:asciiTheme="majorHAnsi" w:hAnsiTheme="majorHAnsi" w:cstheme="majorBidi"/>
      <w:sz w:val="20"/>
      <w:szCs w:val="20"/>
    </w:rPr>
  </w:style>
  <w:style w:type="paragraph" w:styleId="7">
    <w:name w:val="annotation text"/>
    <w:basedOn w:val="1"/>
    <w:link w:val="35"/>
    <w:semiHidden/>
    <w:unhideWhenUsed/>
    <w:qFormat/>
    <w:uiPriority w:val="99"/>
    <w:pPr>
      <w:jc w:val="left"/>
    </w:pPr>
  </w:style>
  <w:style w:type="paragraph" w:styleId="8">
    <w:name w:val="Body Text"/>
    <w:basedOn w:val="1"/>
    <w:qFormat/>
    <w:uiPriority w:val="0"/>
  </w:style>
  <w:style w:type="paragraph" w:styleId="9">
    <w:name w:val="toc 3"/>
    <w:basedOn w:val="1"/>
    <w:next w:val="1"/>
    <w:semiHidden/>
    <w:unhideWhenUsed/>
    <w:qFormat/>
    <w:uiPriority w:val="39"/>
    <w:pPr>
      <w:ind w:left="840" w:leftChars="400"/>
    </w:pPr>
  </w:style>
  <w:style w:type="paragraph" w:styleId="10">
    <w:name w:val="Balloon Text"/>
    <w:basedOn w:val="1"/>
    <w:link w:val="34"/>
    <w:semiHidden/>
    <w:unhideWhenUsed/>
    <w:qFormat/>
    <w:uiPriority w:val="99"/>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rPr>
      <w:rFonts w:ascii="Times New Roman" w:hAnsi="Times New Roman" w:eastAsia="宋体" w:cs="Times New Roman"/>
    </w:rPr>
  </w:style>
  <w:style w:type="paragraph" w:styleId="13">
    <w:name w:val="toc 2"/>
    <w:basedOn w:val="1"/>
    <w:next w:val="1"/>
    <w:semiHidden/>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14"/>
      <w:szCs w:val="14"/>
      <w:lang w:val="en-US" w:eastAsia="zh-CN" w:bidi="ar"/>
    </w:rPr>
  </w:style>
  <w:style w:type="paragraph" w:styleId="15">
    <w:name w:val="annotation subject"/>
    <w:basedOn w:val="7"/>
    <w:next w:val="7"/>
    <w:link w:val="36"/>
    <w:semiHidden/>
    <w:unhideWhenUsed/>
    <w:qFormat/>
    <w:uiPriority w:val="99"/>
    <w:rPr>
      <w:b/>
      <w:bCs/>
    </w:rPr>
  </w:style>
  <w:style w:type="paragraph" w:styleId="16">
    <w:name w:val="Body Text First Indent"/>
    <w:basedOn w:val="8"/>
    <w:semiHidden/>
    <w:unhideWhenUsed/>
    <w:qFormat/>
    <w:uiPriority w:val="99"/>
    <w:pPr>
      <w:ind w:firstLine="420" w:firstLineChars="100"/>
    </w:p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0">
    <w:name w:val="Strong"/>
    <w:basedOn w:val="19"/>
    <w:qFormat/>
    <w:uiPriority w:val="0"/>
    <w:rPr>
      <w:b/>
      <w:bCs/>
    </w:rPr>
  </w:style>
  <w:style w:type="character" w:styleId="21">
    <w:name w:val="FollowedHyperlink"/>
    <w:basedOn w:val="19"/>
    <w:semiHidden/>
    <w:unhideWhenUsed/>
    <w:qFormat/>
    <w:uiPriority w:val="99"/>
    <w:rPr>
      <w:color w:val="000000"/>
      <w:u w:val="none"/>
    </w:rPr>
  </w:style>
  <w:style w:type="character" w:styleId="22">
    <w:name w:val="Emphasis"/>
    <w:basedOn w:val="19"/>
    <w:qFormat/>
    <w:uiPriority w:val="20"/>
  </w:style>
  <w:style w:type="character" w:styleId="23">
    <w:name w:val="Hyperlink"/>
    <w:basedOn w:val="19"/>
    <w:semiHidden/>
    <w:unhideWhenUsed/>
    <w:qFormat/>
    <w:uiPriority w:val="99"/>
    <w:rPr>
      <w:color w:val="000000"/>
      <w:u w:val="none"/>
    </w:rPr>
  </w:style>
  <w:style w:type="character" w:styleId="24">
    <w:name w:val="annotation reference"/>
    <w:basedOn w:val="19"/>
    <w:semiHidden/>
    <w:unhideWhenUsed/>
    <w:qFormat/>
    <w:uiPriority w:val="99"/>
    <w:rPr>
      <w:sz w:val="21"/>
      <w:szCs w:val="21"/>
    </w:rPr>
  </w:style>
  <w:style w:type="character" w:customStyle="1" w:styleId="25">
    <w:name w:val="页眉 Char"/>
    <w:basedOn w:val="19"/>
    <w:link w:val="11"/>
    <w:qFormat/>
    <w:uiPriority w:val="99"/>
    <w:rPr>
      <w:sz w:val="18"/>
      <w:szCs w:val="18"/>
    </w:rPr>
  </w:style>
  <w:style w:type="character" w:customStyle="1" w:styleId="26">
    <w:name w:val="页脚 Char"/>
    <w:basedOn w:val="19"/>
    <w:link w:val="2"/>
    <w:qFormat/>
    <w:uiPriority w:val="99"/>
    <w:rPr>
      <w:sz w:val="18"/>
      <w:szCs w:val="18"/>
    </w:rPr>
  </w:style>
  <w:style w:type="character" w:customStyle="1" w:styleId="27">
    <w:name w:val="font41"/>
    <w:basedOn w:val="19"/>
    <w:qFormat/>
    <w:uiPriority w:val="0"/>
    <w:rPr>
      <w:rFonts w:ascii="仿宋_GB2312" w:eastAsia="仿宋_GB2312" w:cs="仿宋_GB2312"/>
      <w:color w:val="000000"/>
      <w:sz w:val="24"/>
      <w:szCs w:val="24"/>
      <w:u w:val="none"/>
    </w:rPr>
  </w:style>
  <w:style w:type="character" w:customStyle="1" w:styleId="28">
    <w:name w:val="标题 1 Char"/>
    <w:basedOn w:val="19"/>
    <w:link w:val="3"/>
    <w:qFormat/>
    <w:uiPriority w:val="9"/>
    <w:rPr>
      <w:rFonts w:eastAsia="仿宋"/>
      <w:b/>
      <w:bCs/>
      <w:kern w:val="44"/>
      <w:sz w:val="32"/>
      <w:szCs w:val="44"/>
    </w:rPr>
  </w:style>
  <w:style w:type="character" w:customStyle="1" w:styleId="29">
    <w:name w:val="标题 2 Char"/>
    <w:basedOn w:val="19"/>
    <w:link w:val="4"/>
    <w:qFormat/>
    <w:uiPriority w:val="9"/>
    <w:rPr>
      <w:rFonts w:eastAsia="仿宋" w:asciiTheme="majorHAnsi" w:hAnsiTheme="majorHAnsi" w:cstheme="majorBidi"/>
      <w:bCs/>
      <w:sz w:val="32"/>
      <w:szCs w:val="32"/>
    </w:rPr>
  </w:style>
  <w:style w:type="paragraph" w:styleId="30">
    <w:name w:val="List Paragraph"/>
    <w:basedOn w:val="1"/>
    <w:qFormat/>
    <w:uiPriority w:val="34"/>
    <w:pPr>
      <w:ind w:firstLine="420" w:firstLineChars="200"/>
    </w:pPr>
  </w:style>
  <w:style w:type="paragraph" w:customStyle="1" w:styleId="31">
    <w:name w:val="WPSOffice手动目录 1"/>
    <w:qFormat/>
    <w:uiPriority w:val="0"/>
    <w:rPr>
      <w:rFonts w:asciiTheme="minorHAnsi" w:hAnsiTheme="minorHAnsi" w:eastAsiaTheme="minorEastAsia" w:cstheme="minorBidi"/>
      <w:lang w:val="en-US" w:eastAsia="zh-CN" w:bidi="ar-SA"/>
    </w:rPr>
  </w:style>
  <w:style w:type="paragraph" w:customStyle="1" w:styleId="32">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3">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34">
    <w:name w:val="批注框文本 Char"/>
    <w:basedOn w:val="19"/>
    <w:link w:val="10"/>
    <w:semiHidden/>
    <w:qFormat/>
    <w:uiPriority w:val="99"/>
    <w:rPr>
      <w:kern w:val="2"/>
      <w:sz w:val="18"/>
      <w:szCs w:val="18"/>
    </w:rPr>
  </w:style>
  <w:style w:type="character" w:customStyle="1" w:styleId="35">
    <w:name w:val="批注文字 Char"/>
    <w:basedOn w:val="19"/>
    <w:link w:val="7"/>
    <w:semiHidden/>
    <w:qFormat/>
    <w:uiPriority w:val="99"/>
    <w:rPr>
      <w:kern w:val="2"/>
      <w:sz w:val="21"/>
      <w:szCs w:val="24"/>
    </w:rPr>
  </w:style>
  <w:style w:type="character" w:customStyle="1" w:styleId="36">
    <w:name w:val="批注主题 Char"/>
    <w:basedOn w:val="35"/>
    <w:link w:val="15"/>
    <w:semiHidden/>
    <w:qFormat/>
    <w:uiPriority w:val="99"/>
    <w:rPr>
      <w:b/>
      <w:bCs/>
      <w:kern w:val="2"/>
      <w:sz w:val="21"/>
      <w:szCs w:val="24"/>
    </w:rPr>
  </w:style>
  <w:style w:type="paragraph" w:customStyle="1" w:styleId="37">
    <w:name w:val="闻政表"/>
    <w:basedOn w:val="1"/>
    <w:qFormat/>
    <w:uiPriority w:val="99"/>
    <w:pPr>
      <w:spacing w:before="60" w:after="60"/>
      <w:jc w:val="center"/>
    </w:pPr>
    <w:rPr>
      <w:rFonts w:ascii="Times New Roman" w:hAnsi="Times New Roman" w:eastAsia="仿宋_GB2312"/>
      <w:b/>
      <w:kern w:val="0"/>
      <w:sz w:val="24"/>
      <w:szCs w:val="28"/>
    </w:rPr>
  </w:style>
  <w:style w:type="paragraph" w:customStyle="1" w:styleId="38">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39">
    <w:name w:val="_Style 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36</Pages>
  <Words>17180</Words>
  <Characters>17937</Characters>
  <Lines>79</Lines>
  <Paragraphs>22</Paragraphs>
  <TotalTime>36</TotalTime>
  <ScaleCrop>false</ScaleCrop>
  <LinksUpToDate>false</LinksUpToDate>
  <CharactersWithSpaces>18603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2019-11-08T05:25:00Z</dcterms:created>
  <dc:creator>jc</dc:creator>
  <cp:lastModifiedBy>Lenovo</cp:lastModifiedBy>
  <cp:lastPrinted>2023-07-14T08:30:00Z</cp:lastPrinted>
  <dcterms:modified xsi:type="dcterms:W3CDTF">2023-11-04T05:57:18Z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5E8B7ECA95F34C7FB0EA92F555EBB04D_13</vt:lpwstr>
  </property>
</Properties>
</file>