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Times New Roman" w:hAnsi="Times New Roman" w:eastAsia="仿宋_GB2312" w:cs="宋体"/>
          <w:color w:val="auto"/>
          <w:kern w:val="0"/>
          <w:sz w:val="44"/>
          <w:szCs w:val="44"/>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疏附县塔什米里克乡人民政府</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疏附县塔什米里克乡7村村组道路建设项目</w:t>
      </w: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hint="eastAsia" w:ascii="微软雅黑" w:hAnsi="黑体" w:eastAsia="微软雅黑" w:cs="宋体"/>
          <w:b w:val="0"/>
          <w:bCs w:val="0"/>
          <w:kern w:val="0"/>
          <w:sz w:val="72"/>
          <w:szCs w:val="72"/>
        </w:rPr>
      </w:pPr>
      <w:r>
        <w:rPr>
          <w:rFonts w:hint="eastAsia" w:ascii="微软雅黑" w:hAnsi="黑体" w:eastAsia="微软雅黑" w:cs="宋体"/>
          <w:b w:val="0"/>
          <w:bCs w:val="0"/>
          <w:kern w:val="0"/>
          <w:sz w:val="72"/>
          <w:szCs w:val="72"/>
        </w:rPr>
        <w:t>绩效评价报告</w:t>
      </w: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spacing w:line="400" w:lineRule="exact"/>
        <w:ind w:firstLine="2720" w:firstLineChars="850"/>
        <w:jc w:val="left"/>
        <w:rPr>
          <w:rFonts w:hint="eastAsia" w:ascii="Times New Roman" w:hAnsi="Times New Roman" w:eastAsia="仿宋_GB2312" w:cs="宋体"/>
          <w:color w:val="auto"/>
          <w:kern w:val="0"/>
          <w:sz w:val="32"/>
          <w:szCs w:val="32"/>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highlight w:val="none"/>
        </w:rPr>
      </w:pPr>
    </w:p>
    <w:p>
      <w:pPr>
        <w:spacing w:line="400" w:lineRule="exact"/>
        <w:ind w:firstLine="2040" w:firstLineChars="850"/>
        <w:jc w:val="left"/>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highlight w:val="none"/>
        </w:rPr>
        <w:t>报告编号：</w:t>
      </w:r>
      <w:r>
        <w:rPr>
          <w:rFonts w:hint="eastAsia" w:ascii="黑体" w:hAnsi="黑体" w:eastAsia="黑体" w:cs="黑体"/>
          <w:color w:val="auto"/>
          <w:kern w:val="0"/>
          <w:sz w:val="24"/>
          <w:szCs w:val="24"/>
          <w:highlight w:val="none"/>
          <w:lang w:val="en-US" w:eastAsia="zh-CN"/>
        </w:rPr>
        <w:t>中</w:t>
      </w:r>
      <w:r>
        <w:rPr>
          <w:rFonts w:hint="eastAsia" w:ascii="黑体" w:hAnsi="黑体" w:eastAsia="黑体" w:cs="黑体"/>
          <w:color w:val="auto"/>
          <w:kern w:val="0"/>
          <w:sz w:val="24"/>
          <w:szCs w:val="24"/>
          <w:highlight w:val="none"/>
        </w:rPr>
        <w:t>瑞诚喀绩评字[202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w:t>
      </w:r>
      <w:r>
        <w:rPr>
          <w:rFonts w:hint="eastAsia" w:ascii="黑体" w:hAnsi="黑体" w:eastAsia="黑体" w:cs="黑体"/>
          <w:color w:val="auto"/>
          <w:kern w:val="0"/>
          <w:sz w:val="24"/>
          <w:szCs w:val="24"/>
          <w:highlight w:val="none"/>
          <w:lang w:val="en-US" w:eastAsia="zh-CN"/>
        </w:rPr>
        <w:t>005</w:t>
      </w:r>
      <w:r>
        <w:rPr>
          <w:rFonts w:hint="eastAsia" w:ascii="黑体" w:hAnsi="黑体" w:eastAsia="黑体" w:cs="黑体"/>
          <w:color w:val="auto"/>
          <w:kern w:val="0"/>
          <w:sz w:val="24"/>
          <w:szCs w:val="24"/>
          <w:highlight w:val="none"/>
        </w:rPr>
        <w:t>号</w:t>
      </w:r>
    </w:p>
    <w:p>
      <w:pPr>
        <w:spacing w:line="400" w:lineRule="exact"/>
        <w:ind w:firstLine="2040" w:firstLineChars="850"/>
        <w:jc w:val="left"/>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委托单位：</w:t>
      </w:r>
      <w:r>
        <w:rPr>
          <w:rFonts w:hint="eastAsia" w:ascii="黑体" w:hAnsi="黑体" w:eastAsia="黑体" w:cs="黑体"/>
          <w:color w:val="auto"/>
          <w:kern w:val="0"/>
          <w:sz w:val="24"/>
          <w:szCs w:val="24"/>
          <w:lang w:val="en-US" w:eastAsia="zh-CN"/>
        </w:rPr>
        <w:t>疏附</w:t>
      </w:r>
      <w:r>
        <w:rPr>
          <w:rFonts w:hint="eastAsia" w:ascii="黑体" w:hAnsi="黑体" w:eastAsia="黑体" w:cs="黑体"/>
          <w:color w:val="auto"/>
          <w:kern w:val="0"/>
          <w:sz w:val="24"/>
          <w:szCs w:val="24"/>
        </w:rPr>
        <w:t>县财政局</w:t>
      </w:r>
    </w:p>
    <w:p>
      <w:pPr>
        <w:spacing w:line="400" w:lineRule="exact"/>
        <w:ind w:firstLine="2040" w:firstLineChars="850"/>
        <w:jc w:val="both"/>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评价机构：</w:t>
      </w:r>
      <w:r>
        <w:rPr>
          <w:rFonts w:hint="eastAsia" w:ascii="黑体" w:hAnsi="黑体" w:eastAsia="黑体" w:cs="黑体"/>
          <w:kern w:val="0"/>
          <w:sz w:val="24"/>
          <w:szCs w:val="24"/>
          <w:lang w:eastAsia="zh-CN"/>
        </w:rPr>
        <w:t>中瑞诚会计师事务所（特殊普通合伙）喀什分所</w:t>
      </w:r>
    </w:p>
    <w:p>
      <w:pPr>
        <w:spacing w:line="400" w:lineRule="exact"/>
        <w:ind w:firstLine="2040" w:firstLineChars="850"/>
        <w:jc w:val="left"/>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rPr>
        <w:t>报告时间</w:t>
      </w:r>
      <w:r>
        <w:rPr>
          <w:rFonts w:hint="eastAsia" w:ascii="黑体" w:hAnsi="黑体" w:eastAsia="黑体" w:cs="黑体"/>
          <w:color w:val="auto"/>
          <w:kern w:val="0"/>
          <w:sz w:val="24"/>
          <w:szCs w:val="24"/>
          <w:highlight w:val="none"/>
        </w:rPr>
        <w:t>：</w:t>
      </w:r>
      <w:r>
        <w:rPr>
          <w:rFonts w:hint="eastAsia" w:ascii="黑体" w:hAnsi="黑体" w:eastAsia="黑体" w:cs="黑体"/>
          <w:color w:val="auto"/>
          <w:kern w:val="0"/>
          <w:sz w:val="24"/>
          <w:szCs w:val="24"/>
          <w:highlight w:val="none"/>
          <w:lang w:eastAsia="zh-CN"/>
        </w:rPr>
        <w:t>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年</w:t>
      </w:r>
      <w:r>
        <w:rPr>
          <w:rFonts w:hint="eastAsia" w:ascii="黑体" w:hAnsi="黑体" w:eastAsia="黑体" w:cs="黑体"/>
          <w:color w:val="auto"/>
          <w:kern w:val="0"/>
          <w:sz w:val="24"/>
          <w:szCs w:val="24"/>
          <w:highlight w:val="none"/>
          <w:lang w:val="en-US" w:eastAsia="zh-CN"/>
        </w:rPr>
        <w:t>07</w:t>
      </w:r>
      <w:r>
        <w:rPr>
          <w:rFonts w:hint="eastAsia" w:ascii="黑体" w:hAnsi="黑体" w:eastAsia="黑体" w:cs="黑体"/>
          <w:color w:val="auto"/>
          <w:kern w:val="0"/>
          <w:sz w:val="24"/>
          <w:szCs w:val="24"/>
          <w:highlight w:val="none"/>
        </w:rPr>
        <w:t>月</w:t>
      </w:r>
      <w:r>
        <w:rPr>
          <w:rFonts w:hint="eastAsia" w:ascii="黑体" w:hAnsi="黑体" w:eastAsia="黑体" w:cs="黑体"/>
          <w:color w:val="auto"/>
          <w:kern w:val="0"/>
          <w:sz w:val="24"/>
          <w:szCs w:val="24"/>
          <w:highlight w:val="none"/>
          <w:lang w:val="en-US" w:eastAsia="zh-CN"/>
        </w:rPr>
        <w:t>10</w:t>
      </w:r>
      <w:r>
        <w:rPr>
          <w:rFonts w:hint="eastAsia" w:ascii="黑体" w:hAnsi="黑体" w:eastAsia="黑体" w:cs="黑体"/>
          <w:color w:val="auto"/>
          <w:kern w:val="0"/>
          <w:sz w:val="24"/>
          <w:szCs w:val="24"/>
          <w:highlight w:val="none"/>
        </w:rPr>
        <w:t>日</w:t>
      </w:r>
    </w:p>
    <w:p>
      <w:pPr>
        <w:widowControl/>
        <w:jc w:val="left"/>
        <w:textAlignment w:val="center"/>
        <w:rPr>
          <w:rFonts w:hint="eastAsia" w:ascii="黑体" w:hAnsi="黑体" w:eastAsia="黑体" w:cs="黑体"/>
          <w:color w:val="auto"/>
          <w:kern w:val="0"/>
          <w:sz w:val="24"/>
          <w:highlight w:val="none"/>
        </w:rPr>
        <w:sectPr>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9"/>
        <w:tblpPr w:leftFromText="180" w:rightFromText="180" w:vertAnchor="text" w:horzAnchor="margin" w:tblpX="1" w:tblpY="-77"/>
        <w:tblOverlap w:val="never"/>
        <w:tblW w:w="8983" w:type="dxa"/>
        <w:tblInd w:w="0" w:type="dxa"/>
        <w:tblLayout w:type="fixed"/>
        <w:tblCellMar>
          <w:top w:w="15" w:type="dxa"/>
          <w:left w:w="15" w:type="dxa"/>
          <w:bottom w:w="15" w:type="dxa"/>
          <w:right w:w="15" w:type="dxa"/>
        </w:tblCellMar>
      </w:tblPr>
      <w:tblGrid>
        <w:gridCol w:w="1291"/>
        <w:gridCol w:w="954"/>
        <w:gridCol w:w="180"/>
        <w:gridCol w:w="284"/>
        <w:gridCol w:w="850"/>
        <w:gridCol w:w="851"/>
        <w:gridCol w:w="81"/>
        <w:gridCol w:w="1704"/>
        <w:gridCol w:w="542"/>
        <w:gridCol w:w="994"/>
        <w:gridCol w:w="1252"/>
      </w:tblGrid>
      <w:tr>
        <w:tblPrEx>
          <w:tblLayout w:type="fixed"/>
          <w:tblCellMar>
            <w:top w:w="15" w:type="dxa"/>
            <w:left w:w="15" w:type="dxa"/>
            <w:bottom w:w="15" w:type="dxa"/>
            <w:right w:w="15" w:type="dxa"/>
          </w:tblCellMar>
        </w:tblPrEx>
        <w:trPr>
          <w:trHeight w:val="301" w:hRule="atLeast"/>
        </w:trPr>
        <w:tc>
          <w:tcPr>
            <w:tcW w:w="8983" w:type="dxa"/>
            <w:gridSpan w:val="11"/>
            <w:shd w:val="clear" w:color="auto" w:fill="auto"/>
            <w:vAlign w:val="center"/>
          </w:tcPr>
          <w:p>
            <w:pPr>
              <w:widowControl/>
              <w:jc w:val="left"/>
              <w:textAlignment w:val="center"/>
              <w:rPr>
                <w:rFonts w:ascii="Times New Roman" w:hAnsi="Times New Roman" w:eastAsia="仿宋_GB2312" w:cs="黑体"/>
                <w:color w:val="auto"/>
                <w:sz w:val="24"/>
              </w:rPr>
            </w:pPr>
            <w:r>
              <w:rPr>
                <w:rFonts w:hint="eastAsia" w:ascii="黑体" w:hAnsi="黑体" w:eastAsia="黑体" w:cs="黑体"/>
                <w:color w:val="auto"/>
                <w:kern w:val="0"/>
                <w:sz w:val="24"/>
                <w:highlight w:val="none"/>
              </w:rPr>
              <w:t>评价分值：</w:t>
            </w:r>
            <w:r>
              <w:rPr>
                <w:rFonts w:hint="eastAsia" w:ascii="黑体" w:hAnsi="黑体" w:eastAsia="黑体" w:cs="黑体"/>
                <w:color w:val="auto"/>
                <w:kern w:val="0"/>
                <w:sz w:val="24"/>
                <w:highlight w:val="none"/>
                <w:lang w:val="en-US" w:eastAsia="zh-CN"/>
              </w:rPr>
              <w:t xml:space="preserve">98  </w:t>
            </w:r>
            <w:r>
              <w:rPr>
                <w:rFonts w:hint="eastAsia" w:ascii="黑体" w:hAnsi="黑体" w:eastAsia="黑体" w:cs="黑体"/>
                <w:color w:val="auto"/>
                <w:kern w:val="0"/>
                <w:sz w:val="24"/>
                <w:highlight w:val="none"/>
              </w:rPr>
              <w:t>评价等级：优</w:t>
            </w:r>
          </w:p>
        </w:tc>
      </w:tr>
      <w:tr>
        <w:tblPrEx>
          <w:tblLayout w:type="fixed"/>
          <w:tblCellMar>
            <w:top w:w="15" w:type="dxa"/>
            <w:left w:w="15" w:type="dxa"/>
            <w:bottom w:w="15" w:type="dxa"/>
            <w:right w:w="15" w:type="dxa"/>
          </w:tblCellMar>
        </w:tblPrEx>
        <w:trPr>
          <w:trHeight w:val="474" w:hRule="atLeast"/>
        </w:trPr>
        <w:tc>
          <w:tcPr>
            <w:tcW w:w="8983" w:type="dxa"/>
            <w:gridSpan w:val="11"/>
            <w:shd w:val="clear" w:color="auto" w:fill="auto"/>
            <w:vAlign w:val="center"/>
          </w:tcPr>
          <w:p>
            <w:pPr>
              <w:widowControl/>
              <w:jc w:val="center"/>
              <w:textAlignment w:val="center"/>
              <w:rPr>
                <w:rFonts w:ascii="Times New Roman" w:hAnsi="Times New Roman" w:eastAsia="仿宋_GB2312" w:cs="黑体"/>
                <w:b/>
                <w:color w:val="auto"/>
                <w:sz w:val="36"/>
                <w:szCs w:val="36"/>
              </w:rPr>
            </w:pPr>
            <w:r>
              <w:rPr>
                <w:rFonts w:hint="eastAsia" w:ascii="Times New Roman" w:hAnsi="Times New Roman" w:eastAsia="仿宋_GB2312" w:cs="黑体"/>
                <w:b/>
                <w:color w:val="auto"/>
                <w:kern w:val="0"/>
                <w:sz w:val="36"/>
                <w:szCs w:val="36"/>
              </w:rPr>
              <w:t>概要</w:t>
            </w:r>
          </w:p>
        </w:tc>
      </w:tr>
      <w:tr>
        <w:tblPrEx>
          <w:tblLayout w:type="fixed"/>
          <w:tblCellMar>
            <w:top w:w="15" w:type="dxa"/>
            <w:left w:w="15" w:type="dxa"/>
            <w:bottom w:w="15" w:type="dxa"/>
            <w:right w:w="15" w:type="dxa"/>
          </w:tblCellMar>
        </w:tblPrEx>
        <w:trPr>
          <w:trHeight w:val="330" w:hRule="atLeast"/>
        </w:trPr>
        <w:tc>
          <w:tcPr>
            <w:tcW w:w="8983" w:type="dxa"/>
            <w:gridSpan w:val="11"/>
            <w:shd w:val="clear" w:color="auto" w:fill="auto"/>
            <w:vAlign w:val="center"/>
          </w:tcPr>
          <w:p>
            <w:pPr>
              <w:widowControl/>
              <w:jc w:val="left"/>
              <w:textAlignment w:val="center"/>
              <w:rPr>
                <w:rFonts w:ascii="Times New Roman" w:hAnsi="Times New Roman" w:eastAsia="仿宋_GB2312" w:cs="仿宋_GB2312"/>
                <w:color w:val="auto"/>
                <w:sz w:val="22"/>
              </w:rPr>
            </w:pPr>
            <w:r>
              <w:rPr>
                <w:rFonts w:hint="eastAsia" w:ascii="黑体" w:hAnsi="黑体" w:eastAsia="黑体" w:cs="黑体"/>
                <w:color w:val="auto"/>
                <w:kern w:val="0"/>
                <w:sz w:val="20"/>
                <w:szCs w:val="20"/>
              </w:rPr>
              <w:t>评价机构全称（盖章）：</w:t>
            </w:r>
            <w:r>
              <w:rPr>
                <w:rFonts w:hint="eastAsia" w:ascii="黑体" w:hAnsi="黑体" w:eastAsia="黑体" w:cs="黑体"/>
                <w:color w:val="auto"/>
                <w:kern w:val="0"/>
                <w:sz w:val="20"/>
                <w:szCs w:val="20"/>
                <w:lang w:eastAsia="zh-CN"/>
              </w:rPr>
              <w:t>中瑞诚会计师事务所（特殊普通合伙）喀什分所</w:t>
            </w:r>
            <w:r>
              <w:rPr>
                <w:rFonts w:hint="eastAsia" w:ascii="黑体" w:hAnsi="黑体" w:eastAsia="黑体" w:cs="黑体"/>
                <w:color w:val="auto"/>
                <w:kern w:val="0"/>
                <w:sz w:val="20"/>
                <w:szCs w:val="20"/>
              </w:rPr>
              <w:t>单位：万元、类、个</w:t>
            </w:r>
          </w:p>
        </w:tc>
      </w:tr>
      <w:tr>
        <w:tblPrEx>
          <w:tblLayout w:type="fixed"/>
          <w:tblCellMar>
            <w:top w:w="15" w:type="dxa"/>
            <w:left w:w="15" w:type="dxa"/>
            <w:bottom w:w="15" w:type="dxa"/>
            <w:right w:w="15" w:type="dxa"/>
          </w:tblCellMar>
        </w:tblPrEx>
        <w:trPr>
          <w:trHeight w:val="4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项目名称</w:t>
            </w:r>
          </w:p>
        </w:tc>
        <w:tc>
          <w:tcPr>
            <w:tcW w:w="49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lang w:eastAsia="zh-CN"/>
              </w:rPr>
              <w:t>疏附县塔什米里克乡7村村组道路建设项目</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黑体"/>
                <w:color w:val="0000FF"/>
                <w:sz w:val="20"/>
                <w:szCs w:val="20"/>
              </w:rPr>
            </w:pPr>
            <w:r>
              <w:rPr>
                <w:rFonts w:hint="eastAsia" w:ascii="Times New Roman" w:hAnsi="Times New Roman" w:eastAsia="仿宋_GB2312" w:cs="黑体"/>
                <w:color w:val="auto"/>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0000FF"/>
                <w:sz w:val="20"/>
                <w:szCs w:val="20"/>
                <w:lang w:val="en-US" w:eastAsia="zh-CN"/>
              </w:rPr>
            </w:pPr>
            <w:r>
              <w:rPr>
                <w:rFonts w:hint="eastAsia" w:ascii="仿宋_GB2312" w:hAnsi="仿宋_GB2312" w:eastAsia="仿宋_GB2312" w:cs="仿宋_GB2312"/>
                <w:color w:val="auto"/>
                <w:sz w:val="20"/>
                <w:szCs w:val="20"/>
                <w:lang w:eastAsia="zh-CN"/>
              </w:rPr>
              <w:t>202</w:t>
            </w:r>
            <w:r>
              <w:rPr>
                <w:rFonts w:hint="eastAsia" w:ascii="仿宋_GB2312" w:hAnsi="仿宋_GB2312" w:eastAsia="仿宋_GB2312" w:cs="仿宋_GB2312"/>
                <w:color w:val="auto"/>
                <w:sz w:val="20"/>
                <w:szCs w:val="20"/>
                <w:lang w:val="en-US" w:eastAsia="zh-CN"/>
              </w:rPr>
              <w:t>2</w:t>
            </w:r>
          </w:p>
        </w:tc>
      </w:tr>
      <w:tr>
        <w:tblPrEx>
          <w:tblLayout w:type="fixed"/>
          <w:tblCellMar>
            <w:top w:w="15" w:type="dxa"/>
            <w:left w:w="15" w:type="dxa"/>
            <w:bottom w:w="15" w:type="dxa"/>
            <w:right w:w="15" w:type="dxa"/>
          </w:tblCellMar>
        </w:tblPrEx>
        <w:trPr>
          <w:trHeight w:val="45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财政主管处室</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rPr>
              <w:t>绩效股</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auto"/>
                <w:sz w:val="20"/>
                <w:szCs w:val="20"/>
                <w:highlight w:val="none"/>
              </w:rPr>
            </w:pPr>
            <w:r>
              <w:rPr>
                <w:rFonts w:hint="eastAsia" w:ascii="仿宋_GB2312" w:hAnsi="仿宋_GB2312" w:eastAsia="仿宋_GB2312" w:cs="仿宋_GB2312"/>
                <w:color w:val="auto"/>
                <w:sz w:val="20"/>
                <w:szCs w:val="20"/>
                <w:lang w:val="en-US" w:eastAsia="zh-CN"/>
              </w:rPr>
              <w:t>林俊15809983885</w:t>
            </w:r>
          </w:p>
        </w:tc>
      </w:tr>
      <w:tr>
        <w:tblPrEx>
          <w:tblLayout w:type="fixed"/>
          <w:tblCellMar>
            <w:top w:w="15" w:type="dxa"/>
            <w:left w:w="15" w:type="dxa"/>
            <w:bottom w:w="15" w:type="dxa"/>
            <w:right w:w="15" w:type="dxa"/>
          </w:tblCellMar>
        </w:tblPrEx>
        <w:trPr>
          <w:trHeight w:val="4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主管部门</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0000FF"/>
                <w:sz w:val="20"/>
                <w:szCs w:val="20"/>
              </w:rPr>
            </w:pPr>
            <w:r>
              <w:rPr>
                <w:rFonts w:hint="eastAsia" w:ascii="Times New Roman" w:hAnsi="Times New Roman" w:eastAsia="仿宋_GB2312" w:cs="仿宋_GB2312"/>
                <w:color w:val="auto"/>
                <w:kern w:val="2"/>
                <w:sz w:val="20"/>
                <w:szCs w:val="20"/>
                <w:lang w:val="en-US" w:eastAsia="zh-CN"/>
              </w:rPr>
              <w:t>疏附县塔什米里克乡人民政府</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戴田博（17899255719）</w:t>
            </w:r>
          </w:p>
        </w:tc>
      </w:tr>
      <w:tr>
        <w:tblPrEx>
          <w:tblLayout w:type="fixed"/>
          <w:tblCellMar>
            <w:top w:w="15" w:type="dxa"/>
            <w:left w:w="15" w:type="dxa"/>
            <w:bottom w:w="15" w:type="dxa"/>
            <w:right w:w="15" w:type="dxa"/>
          </w:tblCellMar>
        </w:tblPrEx>
        <w:trPr>
          <w:trHeight w:val="376"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自评方式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实地调研、文件研读等方式</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自评分值</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自评等级</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优</w:t>
            </w:r>
          </w:p>
        </w:tc>
      </w:tr>
      <w:tr>
        <w:tblPrEx>
          <w:tblLayout w:type="fixed"/>
          <w:tblCellMar>
            <w:top w:w="15" w:type="dxa"/>
            <w:left w:w="15" w:type="dxa"/>
            <w:bottom w:w="15" w:type="dxa"/>
            <w:right w:w="15" w:type="dxa"/>
          </w:tblCellMar>
        </w:tblPrEx>
        <w:trPr>
          <w:trHeight w:val="615"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各级资金</w:t>
            </w:r>
          </w:p>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投入总数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60.00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sz w:val="20"/>
                <w:szCs w:val="20"/>
                <w:highlight w:val="none"/>
              </w:rPr>
              <w:t>抽查资金总数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60.00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sz w:val="20"/>
                <w:szCs w:val="20"/>
                <w:highlight w:val="none"/>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100%</w:t>
            </w:r>
          </w:p>
        </w:tc>
      </w:tr>
      <w:tr>
        <w:tblPrEx>
          <w:tblLayout w:type="fixed"/>
          <w:tblCellMar>
            <w:top w:w="15" w:type="dxa"/>
            <w:left w:w="15" w:type="dxa"/>
            <w:bottom w:w="15" w:type="dxa"/>
            <w:right w:w="15" w:type="dxa"/>
          </w:tblCellMar>
        </w:tblPrEx>
        <w:trPr>
          <w:trHeight w:val="592"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lang w:val="en-US" w:eastAsia="zh-CN"/>
              </w:rPr>
              <w:t>其中：</w:t>
            </w:r>
            <w:r>
              <w:rPr>
                <w:rFonts w:hint="eastAsia" w:ascii="黑体" w:hAnsi="黑体" w:eastAsia="黑体" w:cs="黑体"/>
                <w:color w:val="auto"/>
                <w:kern w:val="0"/>
                <w:sz w:val="20"/>
                <w:szCs w:val="20"/>
              </w:rPr>
              <w:t>中央财政资金拨付数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lang w:val="en-US" w:eastAsia="zh-CN"/>
              </w:rPr>
            </w:pPr>
            <w:r>
              <w:rPr>
                <w:rFonts w:hint="eastAsia" w:ascii="黑体" w:hAnsi="黑体" w:eastAsia="黑体" w:cs="黑体"/>
                <w:color w:val="auto"/>
                <w:sz w:val="20"/>
                <w:szCs w:val="20"/>
                <w:highlight w:val="none"/>
                <w:lang w:val="en-US" w:eastAsia="zh-CN"/>
              </w:rPr>
              <w:t>其中：中央财政资金抽查数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val="en-US" w:eastAsia="zh-CN"/>
              </w:rPr>
              <w:t>其中：</w:t>
            </w:r>
            <w:r>
              <w:rPr>
                <w:rFonts w:hint="eastAsia" w:ascii="黑体" w:hAnsi="黑体" w:eastAsia="黑体" w:cs="黑体"/>
                <w:color w:val="auto"/>
                <w:kern w:val="0"/>
                <w:sz w:val="20"/>
                <w:szCs w:val="20"/>
                <w:highlight w:val="none"/>
              </w:rPr>
              <w:t>中央财政资金抽查占比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6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w:t>
            </w:r>
            <w:r>
              <w:rPr>
                <w:rFonts w:hint="eastAsia" w:ascii="黑体" w:hAnsi="宋体" w:eastAsia="黑体" w:cs="黑体"/>
                <w:color w:val="000000"/>
                <w:kern w:val="0"/>
                <w:sz w:val="20"/>
                <w:szCs w:val="20"/>
                <w:highlight w:val="none"/>
              </w:rPr>
              <w:t>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60.00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其中：自治区财政资金抽查数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60.00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w:t>
            </w:r>
            <w:r>
              <w:rPr>
                <w:rFonts w:hint="eastAsia" w:ascii="黑体" w:hAnsi="宋体" w:eastAsia="黑体" w:cs="黑体"/>
                <w:color w:val="000000"/>
                <w:kern w:val="0"/>
                <w:sz w:val="20"/>
                <w:szCs w:val="20"/>
                <w:highlight w:val="none"/>
              </w:rPr>
              <w:t>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100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392"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项目类别</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基建类</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抽查类别</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基建类</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项目数量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抽查项目数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r>
      <w:tr>
        <w:tblPrEx>
          <w:tblLayout w:type="fixed"/>
          <w:tblCellMar>
            <w:top w:w="15" w:type="dxa"/>
            <w:left w:w="15" w:type="dxa"/>
            <w:bottom w:w="15" w:type="dxa"/>
            <w:right w:w="15" w:type="dxa"/>
          </w:tblCellMar>
        </w:tblPrEx>
        <w:trPr>
          <w:trHeight w:val="544"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涉及市县数</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或项目点</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抽查市县数</w:t>
            </w:r>
          </w:p>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或项目点</w:t>
            </w:r>
          </w:p>
        </w:tc>
        <w:tc>
          <w:tcPr>
            <w:tcW w:w="851"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w:t>
            </w:r>
          </w:p>
        </w:tc>
        <w:tc>
          <w:tcPr>
            <w:tcW w:w="1785" w:type="dxa"/>
            <w:gridSpan w:val="2"/>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抽查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区域</w:t>
            </w:r>
          </w:p>
        </w:tc>
        <w:tc>
          <w:tcPr>
            <w:tcW w:w="2788"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疏附县塔什米里克乡</w:t>
            </w:r>
          </w:p>
        </w:tc>
      </w:tr>
      <w:tr>
        <w:tblPrEx>
          <w:tblLayout w:type="fixed"/>
          <w:tblCellMar>
            <w:top w:w="15" w:type="dxa"/>
            <w:left w:w="15" w:type="dxa"/>
            <w:bottom w:w="15" w:type="dxa"/>
            <w:right w:w="15" w:type="dxa"/>
          </w:tblCellMar>
        </w:tblPrEx>
        <w:trPr>
          <w:trHeight w:val="556"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发放调查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问卷</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有效调查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问卷</w:t>
            </w:r>
          </w:p>
        </w:tc>
        <w:tc>
          <w:tcPr>
            <w:tcW w:w="851"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785" w:type="dxa"/>
            <w:gridSpan w:val="2"/>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满意度</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情况</w:t>
            </w:r>
          </w:p>
        </w:tc>
        <w:tc>
          <w:tcPr>
            <w:tcW w:w="2788"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95%</w:t>
            </w:r>
          </w:p>
        </w:tc>
      </w:tr>
      <w:tr>
        <w:tblPrEx>
          <w:tblLayout w:type="fixed"/>
          <w:tblCellMar>
            <w:top w:w="15" w:type="dxa"/>
            <w:left w:w="15" w:type="dxa"/>
            <w:bottom w:w="15" w:type="dxa"/>
            <w:right w:w="15" w:type="dxa"/>
          </w:tblCellMar>
        </w:tblPrEx>
        <w:trPr>
          <w:trHeight w:val="992"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绩效目标</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实现情况</w:t>
            </w:r>
          </w:p>
        </w:tc>
        <w:tc>
          <w:tcPr>
            <w:tcW w:w="7692" w:type="dxa"/>
            <w:gridSpan w:val="10"/>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ind w:firstLine="400" w:firstLineChars="200"/>
              <w:jc w:val="left"/>
              <w:textAlignment w:val="center"/>
              <w:rPr>
                <w:rFonts w:hint="eastAsia" w:ascii="Times New Roman" w:hAnsi="Times New Roman" w:eastAsia="仿宋_GB2312" w:cs="黑体"/>
                <w:color w:val="auto"/>
                <w:kern w:val="0"/>
                <w:sz w:val="20"/>
                <w:szCs w:val="20"/>
              </w:rPr>
            </w:pPr>
            <w:r>
              <w:rPr>
                <w:rFonts w:hint="eastAsia" w:ascii="仿宋_GB2312" w:hAnsi="仿宋_GB2312" w:eastAsia="仿宋_GB2312" w:cs="仿宋_GB2312"/>
                <w:color w:val="auto"/>
                <w:sz w:val="20"/>
                <w:szCs w:val="20"/>
                <w:lang w:eastAsia="zh-CN"/>
              </w:rPr>
              <w:t>截止绩效自评日，本项目已完成了村组道路1.5公里及其他附属设施的建设。通过实施塔什米里克乡7村村组道路建设项目，受益已脱贫人口数达到了1000人，明显改善了7村村民出行条件，受益已脱贫人口满意度达到了95%。</w:t>
            </w:r>
          </w:p>
        </w:tc>
      </w:tr>
      <w:tr>
        <w:tblPrEx>
          <w:tblLayout w:type="fixed"/>
          <w:tblCellMar>
            <w:top w:w="15" w:type="dxa"/>
            <w:left w:w="15" w:type="dxa"/>
            <w:bottom w:w="15" w:type="dxa"/>
            <w:right w:w="15" w:type="dxa"/>
          </w:tblCellMar>
        </w:tblPrEx>
        <w:trPr>
          <w:trHeight w:val="510"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评价问题</w:t>
            </w:r>
          </w:p>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简要情况</w:t>
            </w:r>
          </w:p>
        </w:tc>
        <w:tc>
          <w:tcPr>
            <w:tcW w:w="769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hint="eastAsia" w:ascii="Times New Roman" w:hAnsi="Times New Roman" w:eastAsia="仿宋_GB2312" w:cs="黑体"/>
                <w:color w:val="auto"/>
                <w:kern w:val="0"/>
                <w:sz w:val="20"/>
                <w:szCs w:val="20"/>
                <w:lang w:val="en-US" w:eastAsia="zh-CN"/>
              </w:rPr>
            </w:pPr>
            <w:r>
              <w:rPr>
                <w:rFonts w:hint="eastAsia" w:ascii="Times New Roman" w:hAnsi="Times New Roman" w:eastAsia="仿宋_GB2312" w:cs="黑体"/>
                <w:color w:val="auto"/>
                <w:kern w:val="0"/>
                <w:sz w:val="20"/>
                <w:szCs w:val="20"/>
                <w:lang w:val="en-US" w:eastAsia="zh-CN"/>
              </w:rPr>
              <w:t>未制定相应的财务和业务管理制度。</w:t>
            </w:r>
          </w:p>
        </w:tc>
      </w:tr>
      <w:tr>
        <w:tblPrEx>
          <w:tblLayout w:type="fixed"/>
          <w:tblCellMar>
            <w:top w:w="15" w:type="dxa"/>
            <w:left w:w="15" w:type="dxa"/>
            <w:bottom w:w="15" w:type="dxa"/>
            <w:right w:w="15" w:type="dxa"/>
          </w:tblCellMar>
        </w:tblPrEx>
        <w:trPr>
          <w:trHeight w:val="546"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评价问题</w:t>
            </w:r>
          </w:p>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简要建议</w:t>
            </w:r>
          </w:p>
        </w:tc>
        <w:tc>
          <w:tcPr>
            <w:tcW w:w="7692" w:type="dxa"/>
            <w:gridSpan w:val="10"/>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加强财务管理，健全单位财务管理制度体系，规范项目资金管理；在费用报账支付时按照预算规定的费用项目和用途进行资金使用审核，严格按照自治区，地区下达的资金管理办法制定项目资金管理办法。</w:t>
            </w:r>
          </w:p>
        </w:tc>
      </w:tr>
      <w:tr>
        <w:tblPrEx>
          <w:tblLayout w:type="fixed"/>
          <w:tblCellMar>
            <w:top w:w="15" w:type="dxa"/>
            <w:left w:w="15" w:type="dxa"/>
            <w:bottom w:w="15" w:type="dxa"/>
            <w:right w:w="15" w:type="dxa"/>
          </w:tblCellMar>
        </w:tblPrEx>
        <w:trPr>
          <w:trHeight w:val="90"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sz w:val="20"/>
                <w:szCs w:val="20"/>
              </w:rPr>
              <w:t>评价结果</w:t>
            </w:r>
          </w:p>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sz w:val="20"/>
                <w:szCs w:val="20"/>
              </w:rPr>
              <w:t>应用建议</w:t>
            </w:r>
          </w:p>
        </w:tc>
        <w:tc>
          <w:tcPr>
            <w:tcW w:w="7692" w:type="dxa"/>
            <w:gridSpan w:val="10"/>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1.建议将此次绩效评价过程中发现的问题进行及时整改；</w:t>
            </w:r>
          </w:p>
          <w:p>
            <w:pPr>
              <w:widowControl/>
              <w:spacing w:line="240" w:lineRule="exact"/>
              <w:jc w:val="left"/>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2.建议加大对绩效评价结果的应用，此次绩效评价结果，可作为202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lang w:eastAsia="zh-CN"/>
              </w:rPr>
              <w:t>年各部门（单位）改进管理、调整财政支出方向、预算编制和安排财政资金的重要依据；</w:t>
            </w:r>
          </w:p>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lang w:eastAsia="zh-CN"/>
              </w:rPr>
              <w:t>3.建议建立绩效评价结果应用制度，将202</w:t>
            </w: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lang w:eastAsia="zh-CN"/>
              </w:rPr>
              <w:t>年绩效评价结果进行公示、公开。</w:t>
            </w:r>
          </w:p>
        </w:tc>
      </w:tr>
      <w:tr>
        <w:tblPrEx>
          <w:tblLayout w:type="fixed"/>
          <w:tblCellMar>
            <w:top w:w="15" w:type="dxa"/>
            <w:left w:w="15" w:type="dxa"/>
            <w:bottom w:w="15" w:type="dxa"/>
            <w:right w:w="15" w:type="dxa"/>
          </w:tblCellMar>
        </w:tblPrEx>
        <w:trPr>
          <w:trHeight w:val="961" w:hRule="atLeast"/>
        </w:trPr>
        <w:tc>
          <w:tcPr>
            <w:tcW w:w="224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黑体" w:hAnsi="黑体" w:eastAsia="黑体" w:cs="黑体"/>
                <w:color w:val="auto"/>
                <w:sz w:val="20"/>
                <w:szCs w:val="20"/>
                <w:highlight w:val="none"/>
              </w:rPr>
              <w:t>评价时间</w:t>
            </w:r>
          </w:p>
        </w:tc>
        <w:tc>
          <w:tcPr>
            <w:tcW w:w="2246"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default" w:ascii="Times New Roman" w:hAnsi="Times New Roman"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rPr>
              <w:t>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06</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01</w:t>
            </w:r>
            <w:r>
              <w:rPr>
                <w:rFonts w:hint="eastAsia" w:ascii="仿宋_GB2312" w:hAnsi="仿宋_GB2312" w:eastAsia="仿宋_GB2312" w:cs="仿宋_GB2312"/>
                <w:color w:val="auto"/>
                <w:sz w:val="20"/>
                <w:szCs w:val="20"/>
              </w:rPr>
              <w:t>日至202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07</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10日</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黑体" w:hAnsi="黑体" w:eastAsia="黑体" w:cs="黑体"/>
                <w:color w:val="auto"/>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lang w:val="en-US" w:eastAsia="zh-CN"/>
              </w:rPr>
              <w:t>中</w:t>
            </w:r>
            <w:r>
              <w:rPr>
                <w:rFonts w:hint="eastAsia" w:ascii="仿宋_GB2312" w:hAnsi="仿宋_GB2312" w:eastAsia="仿宋_GB2312" w:cs="仿宋_GB2312"/>
                <w:color w:val="auto"/>
                <w:sz w:val="20"/>
                <w:szCs w:val="20"/>
                <w:highlight w:val="none"/>
                <w:lang w:eastAsia="zh-CN"/>
              </w:rPr>
              <w:t>瑞诚喀绩评字[202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lang w:eastAsia="zh-CN"/>
              </w:rPr>
              <w:t>]</w:t>
            </w:r>
            <w:r>
              <w:rPr>
                <w:rFonts w:hint="eastAsia" w:ascii="仿宋_GB2312" w:hAnsi="仿宋_GB2312" w:eastAsia="仿宋_GB2312" w:cs="仿宋_GB2312"/>
                <w:color w:val="auto"/>
                <w:sz w:val="20"/>
                <w:szCs w:val="20"/>
                <w:highlight w:val="none"/>
                <w:lang w:val="en-US" w:eastAsia="zh-CN"/>
              </w:rPr>
              <w:t>005</w:t>
            </w:r>
            <w:r>
              <w:rPr>
                <w:rFonts w:hint="eastAsia" w:ascii="仿宋_GB2312" w:hAnsi="仿宋_GB2312" w:eastAsia="仿宋_GB2312" w:cs="仿宋_GB2312"/>
                <w:color w:val="auto"/>
                <w:sz w:val="20"/>
                <w:szCs w:val="20"/>
                <w:highlight w:val="none"/>
                <w:lang w:eastAsia="zh-CN"/>
              </w:rPr>
              <w:t>号</w:t>
            </w:r>
          </w:p>
        </w:tc>
      </w:tr>
      <w:tr>
        <w:tblPrEx>
          <w:tblLayout w:type="fixed"/>
          <w:tblCellMar>
            <w:top w:w="15" w:type="dxa"/>
            <w:left w:w="15" w:type="dxa"/>
            <w:bottom w:w="15" w:type="dxa"/>
            <w:right w:w="15" w:type="dxa"/>
          </w:tblCellMar>
        </w:tblPrEx>
        <w:trPr>
          <w:trHeight w:val="1051" w:hRule="atLeast"/>
        </w:trPr>
        <w:tc>
          <w:tcPr>
            <w:tcW w:w="4491" w:type="dxa"/>
            <w:gridSpan w:val="7"/>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lang w:val="en-US"/>
              </w:rPr>
            </w:pPr>
            <w:r>
              <w:rPr>
                <w:rFonts w:hint="default" w:ascii="仿宋_GB2312" w:hAnsi="宋体" w:eastAsia="仿宋_GB2312" w:cs="仿宋_GB2312"/>
                <w:b/>
                <w:bCs/>
                <w:color w:val="000000"/>
                <w:sz w:val="20"/>
                <w:szCs w:val="20"/>
                <w:lang w:val="en-US"/>
              </w:rPr>
              <w:t>主评人及联系方式</w:t>
            </w:r>
          </w:p>
        </w:tc>
        <w:tc>
          <w:tcPr>
            <w:tcW w:w="4492"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仿宋_GB2312" w:hAnsi="宋体" w:eastAsia="仿宋_GB2312" w:cs="仿宋_GB2312"/>
                <w:color w:val="000000"/>
                <w:sz w:val="20"/>
                <w:szCs w:val="20"/>
                <w:lang w:val="en-US" w:eastAsia="zh-CN"/>
              </w:rPr>
              <w:t>叶金玲13899129971</w:t>
            </w:r>
          </w:p>
        </w:tc>
      </w:tr>
    </w:tbl>
    <w:p>
      <w:pPr>
        <w:jc w:val="center"/>
        <w:rPr>
          <w:rFonts w:hint="eastAsia" w:ascii="方正黑体_GBK" w:hAnsi="方正黑体_GBK" w:eastAsia="方正黑体_GBK" w:cs="方正黑体_GBK"/>
          <w:b/>
          <w:bCs/>
          <w:color w:val="auto"/>
          <w:sz w:val="44"/>
          <w:szCs w:val="44"/>
        </w:rPr>
        <w:sectPr>
          <w:footerReference r:id="rId3"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方正黑体_GBK" w:hAnsi="方正黑体_GBK" w:eastAsia="方正黑体_GBK" w:cs="方正黑体_GBK"/>
          <w:b/>
          <w:bCs/>
          <w:color w:val="auto"/>
          <w:sz w:val="44"/>
          <w:szCs w:val="44"/>
        </w:rPr>
      </w:pPr>
      <w:r>
        <w:rPr>
          <w:rFonts w:hint="eastAsia" w:ascii="方正黑体_GBK" w:hAnsi="方正黑体_GBK" w:eastAsia="方正黑体_GBK" w:cs="方正黑体_GBK"/>
          <w:b/>
          <w:bCs/>
          <w:color w:val="auto"/>
          <w:sz w:val="44"/>
          <w:szCs w:val="44"/>
        </w:rPr>
        <w:t>摘</w:t>
      </w:r>
      <w:r>
        <w:rPr>
          <w:rFonts w:hint="eastAsia" w:ascii="方正黑体_GBK" w:hAnsi="方正黑体_GBK" w:eastAsia="方正黑体_GBK" w:cs="方正黑体_GBK"/>
          <w:b/>
          <w:bCs/>
          <w:color w:val="auto"/>
          <w:sz w:val="44"/>
          <w:szCs w:val="44"/>
          <w:lang w:val="en-US" w:eastAsia="zh-CN"/>
        </w:rPr>
        <w:t xml:space="preserve">  </w:t>
      </w:r>
      <w:r>
        <w:rPr>
          <w:rFonts w:hint="eastAsia" w:ascii="方正黑体_GBK" w:hAnsi="方正黑体_GBK" w:eastAsia="方正黑体_GBK" w:cs="方正黑体_GBK"/>
          <w:b/>
          <w:bCs/>
          <w:color w:val="auto"/>
          <w:sz w:val="44"/>
          <w:szCs w:val="44"/>
        </w:rPr>
        <w:t>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规范和加强财政资金的管理，进一步发挥绩效管理工作对财政资金使用管理的导向和激励作用，提高资金使用效益，根据财政部《项目支出绩效评价管理办法》及《自治区财政支出绩效评价管理暂行办法》相关规定，受疏附县财政局委托，中瑞诚会计师事务所（特殊普通合伙）喀什分所作为第三方评价机构于2023年06月01日至2023年07月10对疏附县塔什米里克乡人民政府管理负责实施的疏附县塔什米里克乡7村村组道路建设项目（以下简称“该项目”）开展了绩效评价，评价情况如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0" w:name="_Toc3079"/>
      <w:bookmarkStart w:id="1" w:name="_Toc1784"/>
      <w:r>
        <w:rPr>
          <w:rFonts w:hint="eastAsia" w:ascii="方正黑体_GBK" w:hAnsi="方正黑体_GBK" w:eastAsia="方正黑体_GBK" w:cs="方正黑体_GBK"/>
          <w:b w:val="0"/>
          <w:bCs w:val="0"/>
          <w:color w:val="auto"/>
          <w:sz w:val="32"/>
          <w:szCs w:val="32"/>
        </w:rPr>
        <w:t>一、项目概述</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 w:name="_Toc4382"/>
      <w:r>
        <w:rPr>
          <w:rFonts w:hint="eastAsia" w:ascii="仿宋_GB2312" w:hAnsi="仿宋_GB2312" w:eastAsia="仿宋_GB2312" w:cs="仿宋_GB2312"/>
          <w:color w:val="auto"/>
          <w:sz w:val="32"/>
          <w:szCs w:val="32"/>
          <w:highlight w:val="none"/>
          <w:lang w:val="en-US" w:eastAsia="zh-CN"/>
        </w:rPr>
        <w:t>为全面贯彻党的二十大和中央关于巩固拓展脱贫攻坚成果同乡村振兴衔接工作座谈会精神，认真贯彻中央、自治区党委、喀什地委和行署关于巩固拓展脱贫攻坚成果同乡村振兴衔接工作的会议和文件精神，不断提升疏附县塔什米里克乡人民政府在脱贫攻坚中发挥的重要作用，提升农村公路安全保障能力，稳步推进“交通+特色产业”巩固拓展脱贫攻坚成果同乡村振兴衔接政策，进一步提高交通基本公共服务水平，该项目是疏附县公路交通网的组成部分，是广大农村村组最主要的运输通道，是农村经济社会发展的基础设施。加快农村公路的发展，是我国、西部地区公路现代化建设的一项紧迫的长期战略任务，是开拓农村市场，发展乡村产业、促进农村资源优势转化、调整农业生产布局及优化农业与农村经济结构、推动农村经济发展的需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因此，依据《关于疏附县塔什米里克乡7村村组道路建设项目立项的复函》文件内容及经疏附县乡村振兴局会议研究决定，于2022年10月安排疏附县塔什米里克乡人民政府实施疏附县塔什米里克乡7村村组道路建设项目，资金投入共计60.00万元，资金来源为自治区财政衔接推进乡村振兴补助资金。项目的实施完善了城市道路网格局，优化了路网结构，提高整个路网的通行能力，受益已脱贫人口数达到了1000人，改善了区域间的交通便利性。交通区区域经济增长潜力的位的改善确定了变化，经济增长潜力最终诱使经济增长。明显改善了巩固脱贫村村民出行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3" w:name="_Toc22340"/>
      <w:r>
        <w:rPr>
          <w:rFonts w:hint="eastAsia" w:ascii="方正黑体_GBK" w:hAnsi="方正黑体_GBK" w:eastAsia="方正黑体_GBK" w:cs="方正黑体_GBK"/>
          <w:b w:val="0"/>
          <w:bCs w:val="0"/>
          <w:color w:val="auto"/>
          <w:sz w:val="32"/>
          <w:szCs w:val="32"/>
        </w:rPr>
        <w:t>二、评价工作简述</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 w:name="_Toc13087"/>
      <w:r>
        <w:rPr>
          <w:rFonts w:hint="eastAsia" w:ascii="仿宋_GB2312" w:hAnsi="仿宋_GB2312" w:eastAsia="仿宋_GB2312" w:cs="仿宋_GB2312"/>
          <w:color w:val="auto"/>
          <w:sz w:val="32"/>
          <w:szCs w:val="32"/>
          <w:highlight w:val="none"/>
          <w:lang w:val="en-US" w:eastAsia="zh-CN"/>
        </w:rPr>
        <w:t>评价组自承接该项目后，立足于该项目特点，本次评价关注重点：一是针对预算编制、资金执行的相关情况评价项目预算编制、财务核算是否到位；二是评价项目实施单位的管理制度、监管考核机制是否健全；三是评价项目是否按照目标执行，项目实施效果是否达到预期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sectPr>
          <w:footerReference r:id="rId4"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_GB2312" w:hAnsi="仿宋_GB2312" w:eastAsia="仿宋_GB2312" w:cs="仿宋_GB2312"/>
          <w:color w:val="auto"/>
          <w:sz w:val="32"/>
          <w:szCs w:val="32"/>
          <w:highlight w:val="none"/>
          <w:lang w:val="en-US" w:eastAsia="zh-CN"/>
        </w:rPr>
        <w:t>评价工作组通过前期调研，了解项目管理流程及效果，从项目决策、项目过程、项目产出和项目效益四个维度制定了工作方案，明确了评价的目的、方法、原则、指标、标准、社会调查方案等，对该项目的实施情况及效益进行了核</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实；评价工作组本着科学规范的绩效评价原则，运用成本效益分析法、比较分析法等方法，严格按照工作方案，经过数据采集、问卷调查、实地调研、数据分析和报告撰写等环节，完成了绩效评价工作。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5" w:name="_Toc19179"/>
      <w:r>
        <w:rPr>
          <w:rFonts w:hint="eastAsia" w:ascii="方正黑体_GBK" w:hAnsi="方正黑体_GBK" w:eastAsia="方正黑体_GBK" w:cs="方正黑体_GBK"/>
          <w:b w:val="0"/>
          <w:bCs w:val="0"/>
          <w:color w:val="auto"/>
          <w:sz w:val="32"/>
          <w:szCs w:val="32"/>
        </w:rPr>
        <w:t>三、绩效评价分析</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财政部《项目支出绩效评价管理办法》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6" w:name="_Toc19215"/>
      <w:bookmarkStart w:id="7" w:name="_Toc4082"/>
      <w:r>
        <w:rPr>
          <w:rFonts w:hint="eastAsia" w:ascii="方正黑体_GBK" w:hAnsi="方正黑体_GBK" w:eastAsia="方正黑体_GBK" w:cs="方正黑体_GBK"/>
          <w:b w:val="0"/>
          <w:bCs w:val="0"/>
          <w:color w:val="auto"/>
          <w:sz w:val="32"/>
          <w:szCs w:val="32"/>
          <w:highlight w:val="none"/>
        </w:rPr>
        <w:t>四、评价结论</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经综合评价，项目得分为98分，其中：项目决策得分20分、项目过程得分18分，项目产出得分30分、项目效益得分30分，评价等级为优。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疏附县塔什米里克乡7村村组道路建设项目总体组织规范，完成了疏附县塔什米里克乡7村村组道路建设项目的工作目标，有效规范了项目档案资料的整理，完成了修建1.5公里乡村道路，道路补助标准为40万元/公里，项目实施后受益已脱贫人口数达到了1000人，明显改善了巩固脱贫村村民出行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在项目决策方面：项目立项依据充分，立项程序规范。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管理方面：该项目预算资金60.00万元，实际支出60.00万元，预算执行率100%。项目资金使用合规，项目财务管理制度健全，财务监督到位，所有资金支付均按照国库集中支付制度严格执行，现有项目管理制度执行情况良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项目产出方面：计划在塔什米里克乡7村新建村组道路1.5公里及其他附属设施，道路补助标准40万元/公里；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项目效益方面：项目实施后受益已脱贫人口数预计能达到1000人，明显改善巩固脱贫村村民出行条件。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总之，项目立项较规范，绩效目标合理绩效指标明确，项目管理制度较健全。通过文件研读、实地调研、数据分析等方式，全面了解该项目资金的使用效率和效果，项目管理过程规范。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8" w:name="_Toc26568"/>
      <w:bookmarkStart w:id="9" w:name="_Toc25703"/>
      <w:r>
        <w:rPr>
          <w:rFonts w:hint="eastAsia" w:ascii="方正黑体_GBK" w:hAnsi="方正黑体_GBK" w:eastAsia="方正黑体_GBK" w:cs="方正黑体_GBK"/>
          <w:b w:val="0"/>
          <w:bCs w:val="0"/>
          <w:color w:val="auto"/>
          <w:sz w:val="32"/>
          <w:szCs w:val="32"/>
          <w:highlight w:val="none"/>
          <w:lang w:val="en-US" w:eastAsia="zh-CN"/>
        </w:rPr>
        <w:t>五、</w:t>
      </w:r>
      <w:r>
        <w:rPr>
          <w:rFonts w:hint="eastAsia" w:ascii="方正黑体_GBK" w:hAnsi="方正黑体_GBK" w:eastAsia="方正黑体_GBK" w:cs="方正黑体_GBK"/>
          <w:b w:val="0"/>
          <w:bCs w:val="0"/>
          <w:color w:val="auto"/>
          <w:sz w:val="32"/>
          <w:szCs w:val="32"/>
          <w:highlight w:val="none"/>
        </w:rPr>
        <w:t>问题建议</w:t>
      </w:r>
      <w:bookmarkEnd w:id="8"/>
      <w:bookmarkEnd w:id="9"/>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0" w:name="_Toc28382"/>
      <w:r>
        <w:rPr>
          <w:rFonts w:hint="eastAsia" w:ascii="方正楷体_GBK" w:hAnsi="方正楷体_GBK" w:eastAsia="方正楷体_GBK" w:cs="方正楷体_GBK"/>
          <w:b/>
          <w:bCs/>
          <w:color w:val="auto"/>
          <w:sz w:val="32"/>
          <w:szCs w:val="32"/>
          <w:highlight w:val="none"/>
        </w:rPr>
        <w:t>（一）问题</w:t>
      </w:r>
      <w:bookmarkEnd w:id="10"/>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bookmarkStart w:id="11" w:name="_Toc25548"/>
      <w:r>
        <w:rPr>
          <w:rFonts w:hint="eastAsia" w:ascii="仿宋_GB2312" w:hAnsi="仿宋_GB2312" w:eastAsia="仿宋_GB2312" w:cs="仿宋_GB2312"/>
          <w:color w:val="auto"/>
          <w:sz w:val="32"/>
          <w:szCs w:val="32"/>
          <w:highlight w:val="none"/>
          <w:lang w:val="en-US" w:eastAsia="zh-CN"/>
        </w:rPr>
        <w:t>未制定相应的财务和业务管理制度。</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rPr>
        <w:t>）意见和建议</w:t>
      </w:r>
      <w:bookmarkEnd w:id="1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加强财务管理，健全单位财务管理制度体系，规范项目资金管理；在费用报账支付时按照预算规定的费用项目和用途进行资金使用审核，严格按照自治区，地区下达的资金管理办法制定项目资金管理办法。  </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both"/>
        <w:textAlignment w:val="auto"/>
        <w:rPr>
          <w:rFonts w:hint="eastAsia"/>
          <w:lang w:val="en-US" w:eastAsia="zh-CN"/>
        </w:rPr>
      </w:pPr>
    </w:p>
    <w:p>
      <w:pPr>
        <w:jc w:val="center"/>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ascii="Times New Roman" w:hAnsi="Times New Roman" w:eastAsia="仿宋_GB2312"/>
          <w:b/>
          <w:bCs/>
          <w:color w:val="auto"/>
          <w:sz w:val="32"/>
          <w:szCs w:val="32"/>
        </w:rPr>
      </w:pPr>
    </w:p>
    <w:p>
      <w:pPr>
        <w:pStyle w:val="2"/>
        <w:rPr>
          <w:rFonts w:hint="eastAsia"/>
        </w:rPr>
      </w:pPr>
    </w:p>
    <w:p>
      <w:pPr>
        <w:jc w:val="center"/>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绩效评价工作组成员</w:t>
      </w:r>
    </w:p>
    <w:tbl>
      <w:tblPr>
        <w:tblStyle w:val="20"/>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142"/>
        <w:gridCol w:w="1544"/>
        <w:gridCol w:w="2137"/>
        <w:gridCol w:w="1596"/>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716" w:type="dxa"/>
            <w:vAlign w:val="center"/>
          </w:tcPr>
          <w:p>
            <w:pPr>
              <w:pStyle w:val="13"/>
              <w:tabs>
                <w:tab w:val="right" w:leader="dot" w:pos="8302"/>
              </w:tabs>
              <w:spacing w:line="340" w:lineRule="exact"/>
              <w:jc w:val="both"/>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序号</w:t>
            </w:r>
          </w:p>
        </w:tc>
        <w:tc>
          <w:tcPr>
            <w:tcW w:w="1142" w:type="dxa"/>
            <w:vAlign w:val="center"/>
          </w:tcPr>
          <w:p>
            <w:pPr>
              <w:pStyle w:val="13"/>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项目职务</w:t>
            </w:r>
          </w:p>
        </w:tc>
        <w:tc>
          <w:tcPr>
            <w:tcW w:w="1544" w:type="dxa"/>
            <w:vAlign w:val="center"/>
          </w:tcPr>
          <w:p>
            <w:pPr>
              <w:pStyle w:val="13"/>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姓名</w:t>
            </w:r>
          </w:p>
        </w:tc>
        <w:tc>
          <w:tcPr>
            <w:tcW w:w="2137" w:type="dxa"/>
            <w:vAlign w:val="center"/>
          </w:tcPr>
          <w:p>
            <w:pPr>
              <w:pStyle w:val="13"/>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执业（从业）</w:t>
            </w:r>
          </w:p>
          <w:p>
            <w:pPr>
              <w:pStyle w:val="13"/>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资格</w:t>
            </w:r>
          </w:p>
        </w:tc>
        <w:tc>
          <w:tcPr>
            <w:tcW w:w="1596" w:type="dxa"/>
            <w:vAlign w:val="center"/>
          </w:tcPr>
          <w:p>
            <w:pPr>
              <w:pStyle w:val="13"/>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职称</w:t>
            </w:r>
          </w:p>
        </w:tc>
        <w:tc>
          <w:tcPr>
            <w:tcW w:w="1487" w:type="dxa"/>
            <w:vAlign w:val="center"/>
          </w:tcPr>
          <w:p>
            <w:pPr>
              <w:pStyle w:val="13"/>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3" w:hRule="atLeast"/>
        </w:trPr>
        <w:tc>
          <w:tcPr>
            <w:tcW w:w="716"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1</w:t>
            </w:r>
          </w:p>
        </w:tc>
        <w:tc>
          <w:tcPr>
            <w:tcW w:w="1142" w:type="dxa"/>
            <w:vAlign w:val="center"/>
          </w:tcPr>
          <w:p>
            <w:pPr>
              <w:pStyle w:val="13"/>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color w:val="auto"/>
                <w:kern w:val="0"/>
                <w:sz w:val="24"/>
              </w:rPr>
              <w:t>项目</w:t>
            </w:r>
            <w:r>
              <w:rPr>
                <w:rFonts w:hint="eastAsia" w:eastAsia="仿宋_GB2312" w:cs="宋体"/>
                <w:color w:val="auto"/>
                <w:kern w:val="0"/>
                <w:sz w:val="24"/>
                <w:lang w:val="en-US" w:eastAsia="zh-CN"/>
              </w:rPr>
              <w:t>主评人</w:t>
            </w:r>
          </w:p>
        </w:tc>
        <w:tc>
          <w:tcPr>
            <w:tcW w:w="1544"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叶金玲</w:t>
            </w:r>
          </w:p>
        </w:tc>
        <w:tc>
          <w:tcPr>
            <w:tcW w:w="213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1596"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1487" w:type="dxa"/>
            <w:vAlign w:val="center"/>
          </w:tcPr>
          <w:p>
            <w:pPr>
              <w:pStyle w:val="13"/>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项目总负责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3" w:hRule="atLeast"/>
        </w:trPr>
        <w:tc>
          <w:tcPr>
            <w:tcW w:w="716"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2</w:t>
            </w:r>
          </w:p>
        </w:tc>
        <w:tc>
          <w:tcPr>
            <w:tcW w:w="1142"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项目财务专家</w:t>
            </w:r>
          </w:p>
        </w:tc>
        <w:tc>
          <w:tcPr>
            <w:tcW w:w="1544" w:type="dxa"/>
            <w:vAlign w:val="center"/>
          </w:tcPr>
          <w:p>
            <w:pPr>
              <w:pStyle w:val="13"/>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孟凯</w:t>
            </w:r>
          </w:p>
        </w:tc>
        <w:tc>
          <w:tcPr>
            <w:tcW w:w="2137" w:type="dxa"/>
            <w:vAlign w:val="center"/>
          </w:tcPr>
          <w:p>
            <w:pPr>
              <w:pStyle w:val="13"/>
              <w:tabs>
                <w:tab w:val="right" w:leader="dot" w:pos="8302"/>
              </w:tabs>
              <w:spacing w:line="340" w:lineRule="exact"/>
              <w:jc w:val="center"/>
              <w:rPr>
                <w:rFonts w:hint="eastAsia"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p>
            <w:pPr>
              <w:pStyle w:val="13"/>
              <w:tabs>
                <w:tab w:val="right" w:leader="dot" w:pos="8302"/>
              </w:tabs>
              <w:spacing w:line="340" w:lineRule="exact"/>
              <w:jc w:val="center"/>
              <w:rPr>
                <w:rFonts w:hint="default"/>
                <w:lang w:val="en-US" w:eastAsia="zh-CN"/>
              </w:rPr>
            </w:pPr>
            <w:r>
              <w:rPr>
                <w:rFonts w:hint="eastAsia" w:ascii="Times New Roman" w:hAnsi="Times New Roman" w:eastAsia="仿宋_GB2312" w:cs="宋体"/>
                <w:color w:val="auto"/>
                <w:kern w:val="0"/>
                <w:sz w:val="24"/>
                <w:lang w:val="en-US" w:eastAsia="zh-CN"/>
              </w:rPr>
              <w:t>注册税务师</w:t>
            </w:r>
          </w:p>
        </w:tc>
        <w:tc>
          <w:tcPr>
            <w:tcW w:w="1596"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148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0" w:hRule="atLeast"/>
        </w:trPr>
        <w:tc>
          <w:tcPr>
            <w:tcW w:w="716"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3</w:t>
            </w:r>
          </w:p>
        </w:tc>
        <w:tc>
          <w:tcPr>
            <w:tcW w:w="1142"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项目行业专家</w:t>
            </w:r>
          </w:p>
        </w:tc>
        <w:tc>
          <w:tcPr>
            <w:tcW w:w="1544" w:type="dxa"/>
            <w:vAlign w:val="center"/>
          </w:tcPr>
          <w:p>
            <w:pPr>
              <w:pStyle w:val="13"/>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曹堂哲</w:t>
            </w:r>
          </w:p>
        </w:tc>
        <w:tc>
          <w:tcPr>
            <w:tcW w:w="213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pStyle w:val="13"/>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教授</w:t>
            </w:r>
          </w:p>
        </w:tc>
        <w:tc>
          <w:tcPr>
            <w:tcW w:w="1487" w:type="dxa"/>
            <w:vAlign w:val="center"/>
          </w:tcPr>
          <w:p>
            <w:pPr>
              <w:pStyle w:val="13"/>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中央财政大学政府管理学院教授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 w:hRule="atLeast"/>
        </w:trPr>
        <w:tc>
          <w:tcPr>
            <w:tcW w:w="716"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5</w:t>
            </w:r>
          </w:p>
        </w:tc>
        <w:tc>
          <w:tcPr>
            <w:tcW w:w="1142" w:type="dxa"/>
            <w:vAlign w:val="center"/>
          </w:tcPr>
          <w:p>
            <w:pPr>
              <w:pStyle w:val="13"/>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rPr>
              <w:t>项目组成员</w:t>
            </w:r>
          </w:p>
        </w:tc>
        <w:tc>
          <w:tcPr>
            <w:tcW w:w="1544" w:type="dxa"/>
            <w:vAlign w:val="center"/>
          </w:tcPr>
          <w:p>
            <w:pPr>
              <w:pStyle w:val="13"/>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kern w:val="0"/>
                <w:sz w:val="24"/>
                <w:lang w:val="en-US" w:eastAsia="zh-CN"/>
              </w:rPr>
              <w:t>热孜亚</w:t>
            </w:r>
          </w:p>
        </w:tc>
        <w:tc>
          <w:tcPr>
            <w:tcW w:w="213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助理</w:t>
            </w:r>
            <w:r>
              <w:rPr>
                <w:rFonts w:hint="eastAsia" w:ascii="Times New Roman" w:hAnsi="Times New Roman" w:eastAsia="仿宋_GB2312" w:cs="宋体"/>
                <w:kern w:val="0"/>
                <w:sz w:val="24"/>
              </w:rPr>
              <w:t>会计师</w:t>
            </w:r>
          </w:p>
        </w:tc>
        <w:tc>
          <w:tcPr>
            <w:tcW w:w="1487" w:type="dxa"/>
            <w:vAlign w:val="center"/>
          </w:tcPr>
          <w:p>
            <w:pPr>
              <w:pStyle w:val="13"/>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撰写报告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716"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6</w:t>
            </w:r>
          </w:p>
        </w:tc>
        <w:tc>
          <w:tcPr>
            <w:tcW w:w="1142" w:type="dxa"/>
            <w:vAlign w:val="center"/>
          </w:tcPr>
          <w:p>
            <w:pPr>
              <w:pStyle w:val="13"/>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44" w:type="dxa"/>
            <w:vAlign w:val="center"/>
          </w:tcPr>
          <w:p>
            <w:pPr>
              <w:pStyle w:val="13"/>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kern w:val="0"/>
                <w:sz w:val="24"/>
                <w:lang w:val="en-US" w:eastAsia="zh-CN"/>
              </w:rPr>
              <w:t>古丽热依汉</w:t>
            </w:r>
          </w:p>
        </w:tc>
        <w:tc>
          <w:tcPr>
            <w:tcW w:w="213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8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7" w:hRule="atLeast"/>
        </w:trPr>
        <w:tc>
          <w:tcPr>
            <w:tcW w:w="716" w:type="dxa"/>
            <w:vAlign w:val="center"/>
          </w:tcPr>
          <w:p>
            <w:pPr>
              <w:pStyle w:val="13"/>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lang w:val="en-US" w:eastAsia="zh-CN"/>
              </w:rPr>
              <w:t>7</w:t>
            </w:r>
          </w:p>
        </w:tc>
        <w:tc>
          <w:tcPr>
            <w:tcW w:w="1142"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项目组成员</w:t>
            </w:r>
          </w:p>
        </w:tc>
        <w:tc>
          <w:tcPr>
            <w:tcW w:w="1544" w:type="dxa"/>
            <w:vAlign w:val="center"/>
          </w:tcPr>
          <w:p>
            <w:pPr>
              <w:pStyle w:val="13"/>
              <w:tabs>
                <w:tab w:val="right" w:leader="dot" w:pos="8302"/>
              </w:tabs>
              <w:spacing w:line="340" w:lineRule="exact"/>
              <w:jc w:val="center"/>
              <w:rPr>
                <w:rFonts w:hint="default" w:ascii="Times New Roman" w:hAnsi="Times New Roman" w:eastAsia="仿宋_GB2312" w:cs="宋体"/>
                <w:color w:val="auto"/>
                <w:kern w:val="0"/>
                <w:sz w:val="24"/>
                <w:lang w:val="en-US"/>
              </w:rPr>
            </w:pPr>
            <w:r>
              <w:rPr>
                <w:rFonts w:hint="eastAsia" w:eastAsia="仿宋_GB2312" w:cs="宋体"/>
                <w:kern w:val="0"/>
                <w:sz w:val="24"/>
                <w:lang w:val="en-US" w:eastAsia="zh-CN"/>
              </w:rPr>
              <w:t>阿不都海比尔</w:t>
            </w:r>
          </w:p>
        </w:tc>
        <w:tc>
          <w:tcPr>
            <w:tcW w:w="213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8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0" w:hRule="atLeast"/>
        </w:trPr>
        <w:tc>
          <w:tcPr>
            <w:tcW w:w="716" w:type="dxa"/>
            <w:vAlign w:val="center"/>
          </w:tcPr>
          <w:p>
            <w:pPr>
              <w:pStyle w:val="13"/>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lang w:val="en-US" w:eastAsia="zh-CN"/>
              </w:rPr>
              <w:t>8</w:t>
            </w:r>
          </w:p>
        </w:tc>
        <w:tc>
          <w:tcPr>
            <w:tcW w:w="1142" w:type="dxa"/>
            <w:vAlign w:val="center"/>
          </w:tcPr>
          <w:p>
            <w:pPr>
              <w:pStyle w:val="13"/>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44"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r>
              <w:rPr>
                <w:rFonts w:hint="eastAsia" w:eastAsia="仿宋_GB2312" w:cs="宋体"/>
                <w:kern w:val="0"/>
                <w:sz w:val="24"/>
                <w:lang w:val="en-US" w:eastAsia="zh-CN"/>
              </w:rPr>
              <w:t>哈丽米拉</w:t>
            </w:r>
          </w:p>
        </w:tc>
        <w:tc>
          <w:tcPr>
            <w:tcW w:w="213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87" w:type="dxa"/>
            <w:vAlign w:val="center"/>
          </w:tcPr>
          <w:p>
            <w:pPr>
              <w:pStyle w:val="13"/>
              <w:tabs>
                <w:tab w:val="right" w:leader="dot" w:pos="8302"/>
              </w:tabs>
              <w:spacing w:line="340" w:lineRule="exact"/>
              <w:jc w:val="center"/>
              <w:rPr>
                <w:rFonts w:ascii="Times New Roman" w:hAnsi="Times New Roman" w:eastAsia="仿宋_GB2312" w:cs="宋体"/>
                <w:color w:val="auto"/>
                <w:kern w:val="0"/>
                <w:sz w:val="24"/>
              </w:rPr>
            </w:pPr>
          </w:p>
        </w:tc>
      </w:tr>
    </w:tbl>
    <w:p>
      <w:pPr>
        <w:pStyle w:val="13"/>
        <w:tabs>
          <w:tab w:val="right" w:leader="dot" w:pos="8302"/>
        </w:tabs>
        <w:spacing w:line="340" w:lineRule="exact"/>
        <w:jc w:val="center"/>
        <w:rPr>
          <w:rFonts w:hint="eastAsia" w:ascii="方正黑体_GBK" w:hAnsi="方正黑体_GBK" w:eastAsia="方正黑体_GBK" w:cs="方正黑体_GBK"/>
          <w:b/>
          <w:color w:val="auto"/>
          <w:sz w:val="36"/>
          <w:szCs w:val="36"/>
        </w:rPr>
      </w:pPr>
    </w:p>
    <w:p>
      <w:pPr>
        <w:pStyle w:val="13"/>
        <w:tabs>
          <w:tab w:val="right" w:leader="dot" w:pos="8302"/>
        </w:tabs>
        <w:spacing w:line="340" w:lineRule="exact"/>
        <w:jc w:val="center"/>
        <w:rPr>
          <w:rFonts w:hint="eastAsia" w:ascii="方正黑体_GBK" w:hAnsi="方正黑体_GBK" w:eastAsia="方正黑体_GBK" w:cs="方正黑体_GBK"/>
          <w:b/>
          <w:color w:val="auto"/>
          <w:sz w:val="36"/>
          <w:szCs w:val="36"/>
        </w:rPr>
        <w:sectPr>
          <w:footerReference r:id="rId5"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13"/>
        <w:tabs>
          <w:tab w:val="right" w:leader="dot" w:pos="8302"/>
        </w:tabs>
        <w:spacing w:line="340" w:lineRule="exact"/>
        <w:jc w:val="center"/>
        <w:rPr>
          <w:rFonts w:hint="eastAsia" w:ascii="方正黑体_GBK" w:hAnsi="方正黑体_GBK" w:eastAsia="方正黑体_GBK" w:cs="方正黑体_GBK"/>
          <w:b/>
          <w:color w:val="auto"/>
          <w:sz w:val="36"/>
          <w:szCs w:val="36"/>
        </w:rPr>
      </w:pPr>
      <w:r>
        <w:rPr>
          <w:rFonts w:hint="eastAsia" w:ascii="方正黑体_GBK" w:hAnsi="方正黑体_GBK" w:eastAsia="方正黑体_GBK" w:cs="方正黑体_GBK"/>
          <w:b/>
          <w:color w:val="auto"/>
          <w:sz w:val="36"/>
          <w:szCs w:val="36"/>
        </w:rPr>
        <w:t>目录</w:t>
      </w:r>
    </w:p>
    <w:sdt>
      <w:sdtPr>
        <w:rPr>
          <w:rFonts w:ascii="Times New Roman" w:hAnsi="Times New Roman" w:eastAsia="仿宋_GB2312" w:cstheme="minorBidi"/>
          <w:color w:val="auto"/>
          <w:kern w:val="2"/>
          <w:sz w:val="24"/>
          <w:szCs w:val="24"/>
          <w:lang w:val="en-US" w:eastAsia="zh-CN" w:bidi="ar-SA"/>
        </w:rPr>
        <w:id w:val="147475025"/>
        <w15:color w:val="DBDBDB"/>
        <w:docPartObj>
          <w:docPartGallery w:val="Table of Contents"/>
          <w:docPartUnique/>
        </w:docPartObj>
      </w:sdtPr>
      <w:sdtEndPr>
        <w:rPr>
          <w:rFonts w:ascii="Times New Roman" w:hAnsi="Times New Roman" w:eastAsia="仿宋_GB2312" w:cstheme="minorBidi"/>
          <w:b w:val="0"/>
          <w:bCs w:val="0"/>
          <w:color w:val="auto"/>
          <w:kern w:val="2"/>
          <w:sz w:val="21"/>
          <w:szCs w:val="24"/>
          <w:highlight w:val="none"/>
          <w:lang w:val="en-US" w:eastAsia="zh-CN" w:bidi="ar-SA"/>
        </w:rPr>
      </w:sdtEndPr>
      <w:sdtContent>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 w:val="0"/>
              <w:bCs w:val="0"/>
              <w:color w:val="auto"/>
              <w:sz w:val="24"/>
              <w:szCs w:val="24"/>
              <w:highlight w:val="none"/>
            </w:rPr>
            <w:fldChar w:fldCharType="begin"/>
          </w:r>
          <w:r>
            <w:rPr>
              <w:rFonts w:ascii="Times New Roman" w:hAnsi="Times New Roman" w:eastAsia="仿宋_GB2312"/>
              <w:b w:val="0"/>
              <w:bCs w:val="0"/>
              <w:color w:val="auto"/>
              <w:sz w:val="24"/>
              <w:szCs w:val="24"/>
              <w:highlight w:val="none"/>
            </w:rPr>
            <w:instrText xml:space="preserve">TOC \o "1-2" \h \u </w:instrText>
          </w:r>
          <w:r>
            <w:rPr>
              <w:rFonts w:ascii="Times New Roman" w:hAnsi="Times New Roman" w:eastAsia="仿宋_GB2312"/>
              <w:b w:val="0"/>
              <w:bCs w:val="0"/>
              <w:color w:val="auto"/>
              <w:sz w:val="24"/>
              <w:szCs w:val="24"/>
              <w:highlight w:val="none"/>
            </w:rPr>
            <w:fldChar w:fldCharType="separate"/>
          </w: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_Toc8280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bCs/>
              <w:szCs w:val="32"/>
            </w:rPr>
            <w:t>一、项目概述</w:t>
          </w:r>
          <w:r>
            <w:tab/>
          </w:r>
          <w:r>
            <w:fldChar w:fldCharType="begin"/>
          </w:r>
          <w:r>
            <w:instrText xml:space="preserve"> PAGEREF _Toc8280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_Toc26287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（一）项目基本情况</w:t>
          </w:r>
          <w:r>
            <w:tab/>
          </w:r>
          <w:r>
            <w:fldChar w:fldCharType="begin"/>
          </w:r>
          <w:r>
            <w:instrText xml:space="preserve"> PAGEREF _Toc26287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_Toc5447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（二）项目资金情况</w:t>
          </w:r>
          <w:r>
            <w:tab/>
          </w:r>
          <w:r>
            <w:fldChar w:fldCharType="begin"/>
          </w:r>
          <w:r>
            <w:instrText xml:space="preserve"> PAGEREF _Toc5447 \h </w:instrText>
          </w:r>
          <w:r>
            <w:fldChar w:fldCharType="separate"/>
          </w:r>
          <w:r>
            <w:t>3</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_Toc10518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（三）绩效目标设置情况</w:t>
          </w:r>
          <w:r>
            <w:tab/>
          </w:r>
          <w:r>
            <w:fldChar w:fldCharType="begin"/>
          </w:r>
          <w:r>
            <w:instrText xml:space="preserve"> PAGEREF _Toc10518 \h </w:instrText>
          </w:r>
          <w:r>
            <w:fldChar w:fldCharType="separate"/>
          </w:r>
          <w:r>
            <w:t>4</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_Toc24985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rPr>
            <w:t>二、评价工作简述</w:t>
          </w:r>
          <w:r>
            <w:tab/>
          </w:r>
          <w:r>
            <w:fldChar w:fldCharType="begin"/>
          </w:r>
          <w:r>
            <w:instrText xml:space="preserve"> PAGEREF _Toc24985 \h </w:instrText>
          </w:r>
          <w:r>
            <w:fldChar w:fldCharType="separate"/>
          </w:r>
          <w:r>
            <w:t>5</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_Toc9260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（一）评价目的</w:t>
          </w:r>
          <w:r>
            <w:tab/>
          </w:r>
          <w:r>
            <w:fldChar w:fldCharType="begin"/>
          </w:r>
          <w:r>
            <w:instrText xml:space="preserve"> PAGEREF _Toc9260 \h </w:instrText>
          </w:r>
          <w:r>
            <w:fldChar w:fldCharType="separate"/>
          </w:r>
          <w:r>
            <w:t>6</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（二）绩效评价工作</w:t>
          </w:r>
          <w:r>
            <w:rPr>
              <w:rFonts w:hint="eastAsia" w:ascii="Times New Roman" w:hAnsi="Times New Roman" w:eastAsia="仿宋_GB2312" w:cs="宋体"/>
              <w:bCs/>
              <w:szCs w:val="32"/>
              <w:lang w:val="en-US" w:eastAsia="zh-CN"/>
            </w:rPr>
            <w:t>的基本</w:t>
          </w:r>
          <w:r>
            <w:rPr>
              <w:rFonts w:hint="eastAsia" w:ascii="Times New Roman" w:hAnsi="Times New Roman" w:eastAsia="仿宋_GB2312" w:cs="宋体"/>
              <w:bCs/>
              <w:szCs w:val="32"/>
            </w:rPr>
            <w:t>思路</w:t>
          </w:r>
          <w:r>
            <w:tab/>
          </w:r>
          <w:r>
            <w:fldChar w:fldCharType="begin"/>
          </w:r>
          <w:r>
            <w:instrText xml:space="preserve"> PAGEREF _Toc77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_Toc1995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（三）评价原则</w:t>
          </w:r>
          <w:r>
            <w:tab/>
          </w:r>
          <w:r>
            <w:fldChar w:fldCharType="begin"/>
          </w:r>
          <w:r>
            <w:instrText xml:space="preserve"> PAGEREF _Toc1995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_Toc18276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（四）评价方法</w:t>
          </w:r>
          <w:r>
            <w:tab/>
          </w:r>
          <w:r>
            <w:fldChar w:fldCharType="begin"/>
          </w:r>
          <w:r>
            <w:instrText xml:space="preserve"> PAGEREF _Toc18276 \h </w:instrText>
          </w:r>
          <w:r>
            <w:fldChar w:fldCharType="separate"/>
          </w:r>
          <w:r>
            <w:t>8</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_Toc18764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（五） 指标体系</w:t>
          </w:r>
          <w:r>
            <w:tab/>
          </w:r>
          <w:r>
            <w:fldChar w:fldCharType="begin"/>
          </w:r>
          <w:r>
            <w:instrText xml:space="preserve"> PAGEREF _Toc18764 \h </w:instrText>
          </w:r>
          <w:r>
            <w:fldChar w:fldCharType="separate"/>
          </w:r>
          <w:r>
            <w:t>8</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_Toc30890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（六）评价等级划分</w:t>
          </w:r>
          <w:r>
            <w:tab/>
          </w:r>
          <w:r>
            <w:fldChar w:fldCharType="begin"/>
          </w:r>
          <w:r>
            <w:instrText xml:space="preserve"> PAGEREF _Toc30890 \h </w:instrText>
          </w:r>
          <w:r>
            <w:fldChar w:fldCharType="separate"/>
          </w:r>
          <w:r>
            <w:t>9</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_Toc9667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（七）评价工作实施情况</w:t>
          </w:r>
          <w:r>
            <w:tab/>
          </w:r>
          <w:r>
            <w:fldChar w:fldCharType="begin"/>
          </w:r>
          <w:r>
            <w:instrText xml:space="preserve"> PAGEREF _Toc9667 \h </w:instrText>
          </w:r>
          <w:r>
            <w:fldChar w:fldCharType="separate"/>
          </w:r>
          <w:r>
            <w:t>10</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_Toc7563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三、绩效评价分析</w:t>
          </w:r>
          <w:r>
            <w:tab/>
          </w:r>
          <w:r>
            <w:fldChar w:fldCharType="begin"/>
          </w:r>
          <w:r>
            <w:instrText xml:space="preserve"> PAGEREF _Toc7563 \h </w:instrText>
          </w:r>
          <w:r>
            <w:fldChar w:fldCharType="separate"/>
          </w:r>
          <w:r>
            <w:t>12</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_Toc26346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（一）项目决策分析</w:t>
          </w:r>
          <w:r>
            <w:tab/>
          </w:r>
          <w:r>
            <w:fldChar w:fldCharType="begin"/>
          </w:r>
          <w:r>
            <w:instrText xml:space="preserve"> PAGEREF _Toc26346 \h </w:instrText>
          </w:r>
          <w:r>
            <w:fldChar w:fldCharType="separate"/>
          </w:r>
          <w:r>
            <w:t>12</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_Toc11990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（二）项目管理</w:t>
          </w:r>
          <w:r>
            <w:rPr>
              <w:rFonts w:hint="eastAsia" w:ascii="Times New Roman" w:hAnsi="Times New Roman" w:eastAsia="仿宋_GB2312" w:cs="宋体"/>
              <w:bCs/>
              <w:szCs w:val="32"/>
              <w:lang w:val="en-US" w:eastAsia="zh-CN"/>
            </w:rPr>
            <w:t>过程</w:t>
          </w:r>
          <w:r>
            <w:rPr>
              <w:rFonts w:hint="eastAsia" w:ascii="Times New Roman" w:hAnsi="Times New Roman" w:eastAsia="仿宋_GB2312" w:cs="宋体"/>
              <w:bCs/>
              <w:szCs w:val="32"/>
            </w:rPr>
            <w:t>情况分析</w:t>
          </w:r>
          <w:r>
            <w:tab/>
          </w:r>
          <w:r>
            <w:fldChar w:fldCharType="begin"/>
          </w:r>
          <w:r>
            <w:instrText xml:space="preserve"> PAGEREF _Toc11990 \h </w:instrText>
          </w:r>
          <w:r>
            <w:fldChar w:fldCharType="separate"/>
          </w:r>
          <w:r>
            <w:t>16</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_Toc2152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三</w:t>
          </w:r>
          <w:r>
            <w:rPr>
              <w:rFonts w:hint="eastAsia" w:ascii="Times New Roman" w:hAnsi="Times New Roman" w:eastAsia="仿宋_GB2312" w:cs="宋体"/>
              <w:bCs/>
              <w:szCs w:val="32"/>
            </w:rPr>
            <w:t>）项目</w:t>
          </w:r>
          <w:r>
            <w:rPr>
              <w:rFonts w:hint="eastAsia" w:ascii="Times New Roman" w:hAnsi="Times New Roman" w:eastAsia="仿宋_GB2312" w:cs="宋体"/>
              <w:bCs/>
              <w:szCs w:val="32"/>
              <w:lang w:val="en-US" w:eastAsia="zh-CN"/>
            </w:rPr>
            <w:t>产出</w:t>
          </w:r>
          <w:r>
            <w:rPr>
              <w:rFonts w:hint="eastAsia" w:ascii="Times New Roman" w:hAnsi="Times New Roman" w:eastAsia="仿宋_GB2312" w:cs="宋体"/>
              <w:bCs/>
              <w:szCs w:val="32"/>
            </w:rPr>
            <w:t>情况分析</w:t>
          </w:r>
          <w:r>
            <w:tab/>
          </w:r>
          <w:r>
            <w:fldChar w:fldCharType="begin"/>
          </w:r>
          <w:r>
            <w:instrText xml:space="preserve"> PAGEREF _Toc2152 \h </w:instrText>
          </w:r>
          <w:r>
            <w:fldChar w:fldCharType="separate"/>
          </w:r>
          <w:r>
            <w:t>19</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_Toc20320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lang w:val="en-US" w:eastAsia="zh-CN"/>
            </w:rPr>
            <w:t>（四）项目效益评价分析</w:t>
          </w:r>
          <w:r>
            <w:tab/>
          </w:r>
          <w:r>
            <w:fldChar w:fldCharType="begin"/>
          </w:r>
          <w:r>
            <w:instrText xml:space="preserve"> PAGEREF _Toc20320 \h </w:instrText>
          </w:r>
          <w:r>
            <w:fldChar w:fldCharType="separate"/>
          </w:r>
          <w:r>
            <w:t>20</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_Toc2143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lang w:val="en-US" w:eastAsia="zh-CN"/>
            </w:rPr>
            <w:t>四、</w:t>
          </w:r>
          <w:r>
            <w:rPr>
              <w:rFonts w:hint="eastAsia" w:ascii="方正黑体_GBK" w:hAnsi="方正黑体_GBK" w:eastAsia="方正黑体_GBK" w:cs="方正黑体_GBK"/>
              <w:szCs w:val="32"/>
              <w:highlight w:val="none"/>
            </w:rPr>
            <w:t>评价结论</w:t>
          </w:r>
          <w:r>
            <w:tab/>
          </w:r>
          <w:r>
            <w:fldChar w:fldCharType="begin"/>
          </w:r>
          <w:r>
            <w:instrText xml:space="preserve"> PAGEREF _Toc2143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_Toc22749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（一）评分结果</w:t>
          </w:r>
          <w:r>
            <w:tab/>
          </w:r>
          <w:r>
            <w:fldChar w:fldCharType="begin"/>
          </w:r>
          <w:r>
            <w:instrText xml:space="preserve"> PAGEREF _Toc22749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_Toc17767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（二）项目总体评价结论</w:t>
          </w:r>
          <w:r>
            <w:tab/>
          </w:r>
          <w:r>
            <w:fldChar w:fldCharType="begin"/>
          </w:r>
          <w:r>
            <w:instrText xml:space="preserve"> PAGEREF _Toc17767 \h </w:instrText>
          </w:r>
          <w:r>
            <w:fldChar w:fldCharType="separate"/>
          </w:r>
          <w:r>
            <w:rPr>
              <w:b/>
            </w:rPr>
            <w:t>错误！未定义书签。</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_Toc13421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五、建议的问题</w:t>
          </w:r>
          <w:r>
            <w:tab/>
          </w:r>
          <w:r>
            <w:fldChar w:fldCharType="begin"/>
          </w:r>
          <w:r>
            <w:instrText xml:space="preserve"> PAGEREF _Toc13421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_Toc7518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（一）问题</w:t>
          </w:r>
          <w:r>
            <w:tab/>
          </w:r>
          <w:r>
            <w:fldChar w:fldCharType="begin"/>
          </w:r>
          <w:r>
            <w:instrText xml:space="preserve"> PAGEREF _Toc7518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_Toc1202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二</w:t>
          </w:r>
          <w:r>
            <w:rPr>
              <w:rFonts w:hint="eastAsia" w:ascii="Times New Roman" w:hAnsi="Times New Roman" w:eastAsia="仿宋_GB2312" w:cs="宋体"/>
              <w:bCs/>
              <w:szCs w:val="32"/>
              <w:highlight w:val="none"/>
            </w:rPr>
            <w:t>）意见和建议</w:t>
          </w:r>
          <w:r>
            <w:tab/>
          </w:r>
          <w:r>
            <w:fldChar w:fldCharType="begin"/>
          </w:r>
          <w:r>
            <w:instrText xml:space="preserve"> PAGEREF _Toc1202 \h </w:instrText>
          </w:r>
          <w:r>
            <w:fldChar w:fldCharType="separate"/>
          </w:r>
          <w:r>
            <w:rPr>
              <w:b/>
            </w:rPr>
            <w:t>错误！未定义书签。</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_Toc23475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六、主要经验及做法</w:t>
          </w:r>
          <w:r>
            <w:tab/>
          </w:r>
          <w:r>
            <w:fldChar w:fldCharType="begin"/>
          </w:r>
          <w:r>
            <w:instrText xml:space="preserve"> PAGEREF _Toc23475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_Toc5477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（一）项目实施过程有效</w:t>
          </w:r>
          <w:r>
            <w:rPr>
              <w:rFonts w:hint="eastAsia" w:ascii="Times New Roman" w:hAnsi="Times New Roman" w:eastAsia="仿宋_GB2312" w:cs="宋体"/>
              <w:bCs/>
              <w:szCs w:val="32"/>
              <w:lang w:val="en-US" w:eastAsia="zh-CN"/>
            </w:rPr>
            <w:t>监督</w:t>
          </w:r>
          <w:r>
            <w:tab/>
          </w:r>
          <w:r>
            <w:fldChar w:fldCharType="begin"/>
          </w:r>
          <w:r>
            <w:instrText xml:space="preserve"> PAGEREF _Toc5477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_Toc15132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（二）强化领导，明确职责，合理安排使用资金</w:t>
          </w:r>
          <w:r>
            <w:tab/>
          </w:r>
          <w:r>
            <w:fldChar w:fldCharType="begin"/>
          </w:r>
          <w:r>
            <w:instrText xml:space="preserve"> PAGEREF _Toc15132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_Toc25797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rPr>
            <w:t>七、评价结果应用建议</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_Toc25797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23</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_Toc32090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（一）及时对发现的问题进行整改</w:t>
          </w:r>
          <w:r>
            <w:tab/>
          </w:r>
          <w:r>
            <w:fldChar w:fldCharType="begin"/>
          </w:r>
          <w:r>
            <w:instrText xml:space="preserve"> PAGEREF _Toc32090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_Toc30900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（二） 建立绩效评价结果应用制度</w:t>
          </w:r>
          <w:r>
            <w:tab/>
          </w:r>
          <w:r>
            <w:fldChar w:fldCharType="begin"/>
          </w:r>
          <w:r>
            <w:instrText xml:space="preserve"> PAGEREF _Toc30900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_Toc19159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（三）</w:t>
          </w:r>
          <w:r>
            <w:rPr>
              <w:rFonts w:hint="eastAsia" w:ascii="Times New Roman" w:hAnsi="Times New Roman" w:eastAsia="仿宋_GB2312" w:cs="Times New Roman"/>
              <w:bCs/>
              <w:szCs w:val="32"/>
              <w:lang w:val="en-US" w:eastAsia="zh-CN"/>
            </w:rPr>
            <w:t>强化</w:t>
          </w:r>
          <w:r>
            <w:rPr>
              <w:rFonts w:hint="eastAsia" w:ascii="Times New Roman" w:hAnsi="Times New Roman" w:eastAsia="仿宋_GB2312" w:cs="Times New Roman"/>
              <w:bCs/>
              <w:szCs w:val="32"/>
            </w:rPr>
            <w:t>绩效评价结果应用</w:t>
          </w:r>
          <w:r>
            <w:tab/>
          </w:r>
          <w:r>
            <w:fldChar w:fldCharType="begin"/>
          </w:r>
          <w:r>
            <w:instrText xml:space="preserve"> PAGEREF _Toc19159 \h </w:instrText>
          </w:r>
          <w:r>
            <w:fldChar w:fldCharType="separate"/>
          </w:r>
          <w:r>
            <w:t>24</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方正黑体_GBK" w:hAnsi="方正黑体_GBK" w:eastAsia="方正黑体_GBK" w:cs="方正黑体_GBK"/>
              <w:bCs w:val="0"/>
              <w:color w:val="auto"/>
              <w:szCs w:val="24"/>
              <w:highlight w:val="none"/>
            </w:rPr>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HYPERLINK \l _Toc4420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lang w:val="en-US" w:eastAsia="zh-CN"/>
            </w:rPr>
            <w:t>八、</w:t>
          </w:r>
          <w:r>
            <w:rPr>
              <w:rFonts w:hint="eastAsia" w:ascii="方正黑体_GBK" w:hAnsi="方正黑体_GBK" w:eastAsia="方正黑体_GBK" w:cs="方正黑体_GBK"/>
              <w:bCs w:val="0"/>
              <w:color w:val="auto"/>
              <w:szCs w:val="24"/>
              <w:highlight w:val="none"/>
            </w:rPr>
            <w:t>其他需说明的问题</w:t>
          </w:r>
          <w:r>
            <w:rPr>
              <w:rFonts w:hint="eastAsia" w:ascii="方正黑体_GBK" w:hAnsi="方正黑体_GBK" w:eastAsia="方正黑体_GBK" w:cs="方正黑体_GBK"/>
              <w:bCs w:val="0"/>
              <w:color w:val="auto"/>
              <w:szCs w:val="24"/>
              <w:highlight w:val="none"/>
            </w:rPr>
            <w:tab/>
          </w: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PAGEREF _Toc4420 \h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25</w:t>
          </w:r>
          <w:r>
            <w:rPr>
              <w:rFonts w:hint="eastAsia" w:ascii="方正黑体_GBK" w:hAnsi="方正黑体_GBK" w:eastAsia="方正黑体_GBK" w:cs="方正黑体_GBK"/>
              <w:bCs w:val="0"/>
              <w:color w:val="auto"/>
              <w:szCs w:val="24"/>
              <w:highlight w:val="none"/>
            </w:rPr>
            <w:fldChar w:fldCharType="end"/>
          </w:r>
          <w:r>
            <w:rPr>
              <w:rFonts w:hint="eastAsia" w:ascii="方正黑体_GBK" w:hAnsi="方正黑体_GBK" w:eastAsia="方正黑体_GBK" w:cs="方正黑体_GBK"/>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HYPERLINK \l _Toc11055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九、附件</w:t>
          </w:r>
          <w:r>
            <w:rPr>
              <w:rFonts w:hint="eastAsia" w:ascii="方正黑体_GBK" w:hAnsi="方正黑体_GBK" w:eastAsia="方正黑体_GBK" w:cs="方正黑体_GBK"/>
              <w:bCs w:val="0"/>
              <w:color w:val="auto"/>
              <w:szCs w:val="24"/>
              <w:highlight w:val="none"/>
            </w:rPr>
            <w:tab/>
          </w: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PAGEREF _Toc11055 \h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26</w:t>
          </w:r>
          <w:r>
            <w:rPr>
              <w:rFonts w:hint="eastAsia" w:ascii="方正黑体_GBK" w:hAnsi="方正黑体_GBK" w:eastAsia="方正黑体_GBK" w:cs="方正黑体_GBK"/>
              <w:bCs w:val="0"/>
              <w:color w:val="auto"/>
              <w:szCs w:val="24"/>
              <w:highlight w:val="none"/>
            </w:rPr>
            <w:fldChar w:fldCharType="end"/>
          </w:r>
          <w:r>
            <w:rPr>
              <w:rFonts w:hint="eastAsia" w:ascii="方正黑体_GBK" w:hAnsi="方正黑体_GBK" w:eastAsia="方正黑体_GBK" w:cs="方正黑体_GBK"/>
              <w:bCs w:val="0"/>
              <w:color w:val="auto"/>
              <w:szCs w:val="24"/>
              <w:highlight w:val="none"/>
            </w:rPr>
            <w:fldChar w:fldCharType="end"/>
          </w:r>
        </w:p>
        <w:p>
          <w:pPr>
            <w:spacing w:before="0" w:beforeLines="0" w:after="0" w:afterLines="0" w:line="240" w:lineRule="auto"/>
            <w:ind w:left="0" w:leftChars="0" w:right="0" w:rightChars="0" w:firstLine="0" w:firstLineChars="0"/>
            <w:jc w:val="center"/>
            <w:rPr>
              <w:rFonts w:ascii="Times New Roman" w:hAnsi="Times New Roman" w:eastAsia="仿宋_GB2312"/>
              <w:b w:val="0"/>
              <w:bCs w:val="0"/>
              <w:color w:val="auto"/>
              <w:highlight w:val="none"/>
            </w:rPr>
          </w:pPr>
          <w:r>
            <w:rPr>
              <w:rFonts w:ascii="Times New Roman" w:hAnsi="Times New Roman" w:eastAsia="仿宋_GB2312"/>
              <w:b w:val="0"/>
              <w:bCs w:val="0"/>
              <w:color w:val="auto"/>
              <w:sz w:val="24"/>
              <w:szCs w:val="24"/>
              <w:highlight w:val="none"/>
            </w:rPr>
            <w:fldChar w:fldCharType="end"/>
          </w:r>
        </w:p>
      </w:sdtContent>
    </w:sdt>
    <w:p>
      <w:pPr>
        <w:pStyle w:val="13"/>
        <w:tabs>
          <w:tab w:val="right" w:leader="dot" w:pos="8302"/>
        </w:tabs>
        <w:spacing w:line="340" w:lineRule="exact"/>
        <w:rPr>
          <w:rFonts w:ascii="Times New Roman" w:hAnsi="Times New Roman" w:eastAsia="仿宋_GB2312" w:cs="宋体"/>
          <w:color w:val="auto"/>
          <w:sz w:val="32"/>
          <w:szCs w:val="32"/>
        </w:rPr>
      </w:pPr>
    </w:p>
    <w:p>
      <w:pPr>
        <w:spacing w:line="600" w:lineRule="exact"/>
        <w:jc w:val="center"/>
        <w:outlineLvl w:val="0"/>
        <w:rPr>
          <w:rFonts w:hint="eastAsia" w:ascii="方正黑体_GBK" w:hAnsi="方正黑体_GBK" w:eastAsia="方正黑体_GBK" w:cs="方正黑体_GBK"/>
          <w:b w:val="0"/>
          <w:bCs w:val="0"/>
          <w:color w:val="auto"/>
          <w:sz w:val="44"/>
          <w:szCs w:val="44"/>
          <w:lang w:val="en-US" w:eastAsia="zh-CN"/>
        </w:rPr>
        <w:sectPr>
          <w:footerReference r:id="rId6"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12" w:name="_Toc28273"/>
      <w:bookmarkStart w:id="13" w:name="_Toc7636"/>
      <w:bookmarkStart w:id="14" w:name="_Toc29218"/>
      <w:bookmarkStart w:id="15" w:name="_Toc24347"/>
      <w:bookmarkStart w:id="16" w:name="_Toc10426"/>
      <w:bookmarkStart w:id="17" w:name="_Toc18687"/>
      <w:bookmarkStart w:id="18" w:name="_Toc19311"/>
      <w:bookmarkStart w:id="19" w:name="_Toc16603"/>
      <w:bookmarkStart w:id="20" w:name="_Toc14725"/>
      <w:bookmarkStart w:id="21" w:name="_Toc12923"/>
      <w:bookmarkStart w:id="22" w:name="_Toc31819"/>
      <w:bookmarkStart w:id="23" w:name="_Toc1397"/>
    </w:p>
    <w:p>
      <w:pPr>
        <w:spacing w:line="600" w:lineRule="exact"/>
        <w:jc w:val="center"/>
        <w:outlineLvl w:val="0"/>
        <w:rPr>
          <w:rFonts w:hint="eastAsia" w:ascii="方正黑体_GBK" w:hAnsi="方正黑体_GBK" w:eastAsia="方正黑体_GBK" w:cs="方正黑体_GBK"/>
          <w:b w:val="0"/>
          <w:bCs w:val="0"/>
          <w:color w:val="auto"/>
          <w:sz w:val="44"/>
          <w:szCs w:val="44"/>
          <w:lang w:val="en-US" w:eastAsia="zh-CN"/>
        </w:rPr>
      </w:pPr>
      <w:r>
        <w:rPr>
          <w:rFonts w:hint="eastAsia" w:ascii="方正黑体_GBK" w:hAnsi="方正黑体_GBK" w:eastAsia="方正黑体_GBK" w:cs="方正黑体_GBK"/>
          <w:b w:val="0"/>
          <w:bCs w:val="0"/>
          <w:color w:val="auto"/>
          <w:sz w:val="44"/>
          <w:szCs w:val="44"/>
          <w:lang w:val="en-US" w:eastAsia="zh-CN"/>
        </w:rPr>
        <w:t>疏附县塔什米里克乡7村村组道路建设项目</w:t>
      </w:r>
    </w:p>
    <w:p>
      <w:pPr>
        <w:spacing w:line="600" w:lineRule="exact"/>
        <w:jc w:val="center"/>
        <w:outlineLvl w:val="0"/>
        <w:rPr>
          <w:rFonts w:hint="eastAsia" w:ascii="方正黑体_GBK" w:hAnsi="方正黑体_GBK" w:eastAsia="方正黑体_GBK" w:cs="方正黑体_GBK"/>
          <w:b w:val="0"/>
          <w:bCs w:val="0"/>
          <w:color w:val="auto"/>
          <w:sz w:val="44"/>
          <w:szCs w:val="44"/>
        </w:rPr>
      </w:pPr>
      <w:r>
        <w:rPr>
          <w:rFonts w:hint="eastAsia" w:ascii="方正黑体_GBK" w:hAnsi="方正黑体_GBK" w:eastAsia="方正黑体_GBK" w:cs="方正黑体_GBK"/>
          <w:b w:val="0"/>
          <w:bCs w:val="0"/>
          <w:color w:val="auto"/>
          <w:sz w:val="44"/>
          <w:szCs w:val="44"/>
        </w:rPr>
        <w:t>绩效评价报告</w:t>
      </w:r>
      <w:bookmarkEnd w:id="12"/>
      <w:bookmarkEnd w:id="13"/>
      <w:bookmarkEnd w:id="14"/>
      <w:bookmarkEnd w:id="15"/>
      <w:bookmarkEnd w:id="16"/>
      <w:bookmarkEnd w:id="17"/>
      <w:bookmarkEnd w:id="18"/>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jc w:val="left"/>
        <w:textAlignment w:val="auto"/>
        <w:outlineLvl w:val="0"/>
        <w:rPr>
          <w:rFonts w:hint="eastAsia" w:ascii="方正黑体_GBK" w:hAnsi="方正黑体_GBK" w:eastAsia="方正黑体_GBK" w:cs="方正黑体_GBK"/>
          <w:b/>
          <w:bCs/>
          <w:color w:val="auto"/>
          <w:sz w:val="32"/>
          <w:szCs w:val="32"/>
        </w:rPr>
      </w:pPr>
      <w:bookmarkStart w:id="24" w:name="_Toc8280"/>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jc w:val="left"/>
        <w:textAlignment w:val="auto"/>
        <w:outlineLvl w:val="0"/>
        <w:rPr>
          <w:rFonts w:hint="eastAsia" w:ascii="方正黑体_GBK" w:hAnsi="方正黑体_GBK" w:eastAsia="方正黑体_GBK" w:cs="方正黑体_GBK"/>
          <w:b/>
          <w:bCs/>
          <w:color w:val="auto"/>
          <w:sz w:val="32"/>
          <w:szCs w:val="32"/>
        </w:rPr>
      </w:pPr>
      <w:r>
        <w:rPr>
          <w:rFonts w:hint="eastAsia" w:ascii="方正黑体_GBK" w:hAnsi="方正黑体_GBK" w:eastAsia="方正黑体_GBK" w:cs="方正黑体_GBK"/>
          <w:b/>
          <w:bCs/>
          <w:color w:val="auto"/>
          <w:sz w:val="32"/>
          <w:szCs w:val="32"/>
        </w:rPr>
        <w:t>一、项目概述</w:t>
      </w:r>
      <w:bookmarkEnd w:id="24"/>
    </w:p>
    <w:p>
      <w:pPr>
        <w:pStyle w:val="32"/>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0000FF"/>
          <w:sz w:val="32"/>
          <w:szCs w:val="32"/>
        </w:rPr>
      </w:pPr>
      <w:bookmarkStart w:id="25" w:name="_Hlk24028365"/>
      <w:r>
        <w:rPr>
          <w:rFonts w:hint="eastAsia" w:ascii="Times New Roman" w:hAnsi="Times New Roman" w:eastAsia="仿宋_GB2312" w:cs="宋体"/>
          <w:b/>
          <w:bCs/>
          <w:vanish/>
          <w:color w:val="0000FF"/>
          <w:sz w:val="32"/>
          <w:szCs w:val="32"/>
        </w:rPr>
        <w:t>项目概述</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6" w:name="_Toc26287"/>
      <w:r>
        <w:rPr>
          <w:rFonts w:hint="eastAsia" w:ascii="方正楷体_GBK" w:hAnsi="方正楷体_GBK" w:eastAsia="方正楷体_GBK" w:cs="方正楷体_GBK"/>
          <w:b/>
          <w:bCs/>
          <w:color w:val="auto"/>
          <w:sz w:val="32"/>
          <w:szCs w:val="32"/>
          <w:highlight w:val="none"/>
        </w:rPr>
        <w:t>（一）项目基本情况</w:t>
      </w:r>
      <w:bookmarkEnd w:id="26"/>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0000FF"/>
          <w:sz w:val="32"/>
          <w:szCs w:val="32"/>
          <w:highlight w:val="none"/>
        </w:rPr>
      </w:pPr>
      <w:r>
        <w:rPr>
          <w:rFonts w:hint="eastAsia" w:ascii="仿宋_GB2312" w:hAnsi="仿宋_GB2312" w:eastAsia="仿宋_GB2312" w:cs="仿宋_GB2312"/>
          <w:b/>
          <w:bCs w:val="0"/>
          <w:color w:val="auto"/>
          <w:sz w:val="32"/>
          <w:szCs w:val="32"/>
          <w:highlight w:val="none"/>
        </w:rPr>
        <w:t>1.项目背景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全面部署“十四五”巩固拓展脱贫攻坚同乡村振兴相衔接工作，要求举全党全国全社会之力，有序推进农村公路改造、延伸和联网工程建设。充分发挥先行官作用，促进新型城镇化和农业现代化进程。实现农村公路路网结构明显优化，质量明显提升，养护全面加强，路产路权得到有效保护，陆域环境优美整洁，农村客运和物流服务体系健全完善，城乡交通一体化格局基本形成，适应全面建成小康社会和新型城镇化要求。因地制宜、以人为本，从解决人民群众反映最强烈的问题入手，与优化村镇布局、农村经济发展和广大群众安全便捷出行相适应。该项目是疏附县公路交通网的组成部分，是广大农村村组最主要的运输通道，是农村经济社会发展的重要基础设施。加快农村公路的发展，是我国西部地区公路现代化建设的一项紧迫的长期战略任务，是开拓农村市场，发展乡村产业、促进农村资源优势转化、调整农业生产布局及优化农业与农村经济结构、推动农村经济发展的需要。</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2.项目实施主体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该项目由疏附县塔什米里克乡人民政府负责实施,单位主要职能具</w:t>
      </w:r>
      <w:r>
        <w:rPr>
          <w:rFonts w:hint="eastAsia" w:ascii="仿宋_GB2312" w:hAnsi="仿宋_GB2312" w:eastAsia="仿宋_GB2312" w:cs="仿宋_GB2312"/>
          <w:color w:val="auto"/>
          <w:sz w:val="30"/>
          <w:szCs w:val="30"/>
          <w:highlight w:val="none"/>
          <w:lang w:val="en-US" w:eastAsia="zh-CN"/>
        </w:rPr>
        <w:t>体如下：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认真贯彻执行党的路线、方针、政策，全面加强党的领导，巩固基层政权，把握农村改革发展大局，充分发挥统揽全局的核心领导作用；完善党政组织功能，强化干部的监督、教育和管理，建立廉洁高效、运转协调、行为规范、适应社会主义市场经济和社会发展需要的管理体制；加强党的基层组织和农村基层政权建设。贯彻执行国家、自治区和地区有关公路交通运输、涉外道路运输的方针、政策、法规、规定并组织实施和监督检查；加强农村社会主义民主政治和法制建设，依法行政，坚持完善人民代表大会制度；加快农村经济发展。制定和组织实施经济、科技和社会发展计划，制定资源开发、产业结构调整方案，落实强农惠农措施，培育主导产业和市场体系，抓好招商引资，保护各种经济组织的合法权益，组织经济运行，促进经济发展；制定并组织实施乡、村建设规划，部署工程建设，地方道路建设及公共设施，水利设施的管理，负责土地、林木、水等自然资源和生态环境的保护，做好护林防火工作；改进工作方式，运用经济、法律、行政的手段进行综合管理，强化示范、引导、服务、协调功能，转变工作职能，创新工作机制，推动农业农村经济发展；加强民主法制宣传教育，负责行政区域内的文化、教育、卫生、体育、防灾减灾、低保、社会保障等社会公益事业的综合性工作和精神文明创建工作；承办县委、县政府交办的其他事项。</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3.项目内容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60.00万元，计划在塔什米里克乡7村新建村组道路1.5公里及其他附属设施，道路补助标准40万元/公里，项目实施后受益已脱贫人口满意度数预计能达到1000人，明显改善巩固脱贫村村民出行条件，受益已脱贫人口满意度预计达到95%以上。</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4.立项依据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该项目依据《疏附县塔什米里克乡7村村组道路建设项目的启动通知书》、《关于疏附县塔什米里克乡7村村组道路建设项目立项的复函》等相关政策文件与规定立项。</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7" w:name="_Toc5447"/>
      <w:r>
        <w:rPr>
          <w:rFonts w:hint="eastAsia" w:ascii="方正楷体_GBK" w:hAnsi="方正楷体_GBK" w:eastAsia="方正楷体_GBK" w:cs="方正楷体_GBK"/>
          <w:b/>
          <w:bCs/>
          <w:color w:val="auto"/>
          <w:sz w:val="32"/>
          <w:szCs w:val="32"/>
          <w:highlight w:val="none"/>
        </w:rPr>
        <w:t>（二）项目资金情况</w:t>
      </w:r>
      <w:bookmarkEnd w:id="27"/>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1.项目资金预算及来源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关于疏附县塔什米里克乡7村村组道路建设项目启动通知书》、《关于疏附县塔什米里克乡7村村组道路建设项目立项的复函》等文件内容，该项目预算资金为60.00万元，实际到位资金为60.00万元，资金来源为：自治区财政衔接推进乡村振兴补助资金60.00万元，资金到位率100%。</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2.预算执行及结果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60.00万元，截止绩效评价日，实际支付资金60.00万元，预算资金执行率100%；该项目已完成修建1.5公里乡村道路，道路补助标准为40万元/公里，项目实施后受益已脱贫人口数达到了1000人，明显改善了巩固脱贫村村民出行条件。</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8" w:name="_Toc10518"/>
      <w:r>
        <w:rPr>
          <w:rFonts w:hint="eastAsia" w:ascii="方正楷体_GBK" w:hAnsi="方正楷体_GBK" w:eastAsia="方正楷体_GBK" w:cs="方正楷体_GBK"/>
          <w:b/>
          <w:bCs/>
          <w:color w:val="auto"/>
          <w:sz w:val="32"/>
          <w:szCs w:val="32"/>
          <w:highlight w:val="none"/>
        </w:rPr>
        <w:t>（三）绩效目标设置情况</w:t>
      </w:r>
      <w:bookmarkEnd w:id="2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9" w:name="_Toc8400"/>
      <w:bookmarkStart w:id="30" w:name="_Toc26467"/>
      <w:bookmarkStart w:id="31" w:name="_Toc1757"/>
      <w:r>
        <w:rPr>
          <w:rFonts w:hint="eastAsia" w:ascii="仿宋_GB2312" w:hAnsi="仿宋_GB2312" w:eastAsia="仿宋_GB2312" w:cs="仿宋_GB2312"/>
          <w:color w:val="auto"/>
          <w:sz w:val="32"/>
          <w:szCs w:val="32"/>
          <w:highlight w:val="none"/>
          <w:lang w:val="en-US" w:eastAsia="zh-CN"/>
        </w:rPr>
        <w:t>该项目共设立一级指标3个，二级指标7个，三级指标10个，指标量化率80%。绩效目标明确了项目产出数量和预期达到的效果，绩效目标指标制定明确、细化、量化。整体来看，目标设立合理清晰。</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1.年度总目标</w:t>
      </w:r>
    </w:p>
    <w:bookmarkEnd w:id="29"/>
    <w:bookmarkEnd w:id="30"/>
    <w:bookmarkEnd w:id="31"/>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该项目主要计划在塔什米里克乡修建1.5公里乡村道路，道路补助标准40万元/公里，项目实施后受益已脱贫人口数预计能达到1000人，明显改善巩固脱贫村村民出行条件，受益已脱贫人口满意度预计达到95%以上。</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2.阶段性绩效目标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根据《关于疏附县塔什米里克乡7村村组道路建设项目启动通知书》、《关于疏附县塔什米里克乡7村村组道路建设项目立项的复函》等文件要求，结合该项目实际情况，设置的阶段性目标如下：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val="0"/>
          <w:color w:val="auto"/>
          <w:kern w:val="2"/>
          <w:sz w:val="32"/>
          <w:szCs w:val="32"/>
          <w:highlight w:val="none"/>
          <w:lang w:val="en-US" w:eastAsia="zh-CN" w:bidi="ar-SA"/>
        </w:rPr>
        <w:t xml:space="preserve"> （1）项目产出目标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①数量指标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“已脱贫村新建改建公路里程”指标，预期指标值为“大于等于1.5公里”；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②质量指标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“项目（工程）验收合格率”指标，预期指标值为“等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于100%”。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③时效指标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“项目开始时间”指标，预期指标值为“2022年10月”；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“项目完工时间”指标，预期指标值为“2022年11月”；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“资金拨付及时率”指标，预期指标值为“等于100%”；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④成本指标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“道路补助标准”指标，预期指标值为“小于等于40万元/公里”。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（2）项目效益目标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①经济效益指标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该项目不涉及经济效益指标。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②社会效益指标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“受益已脱贫人口数”指标，预期指标值为“大于等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于1000人”；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“受益已脱贫户户数”指标，预期指标值为“大于等</w:t>
      </w:r>
    </w:p>
    <w:p>
      <w:pPr>
        <w:pStyle w:val="2"/>
        <w:rPr>
          <w:rFonts w:hint="eastAsia"/>
          <w:lang w:val="en-US" w:eastAsia="zh-CN"/>
        </w:rPr>
      </w:pPr>
      <w:r>
        <w:rPr>
          <w:rFonts w:hint="eastAsia" w:ascii="仿宋_GB2312" w:hAnsi="仿宋_GB2312" w:eastAsia="仿宋_GB2312" w:cs="仿宋_GB2312"/>
          <w:color w:val="auto"/>
          <w:sz w:val="32"/>
          <w:szCs w:val="32"/>
          <w:highlight w:val="none"/>
          <w:lang w:val="en-US" w:eastAsia="zh-CN"/>
        </w:rPr>
        <w:t>于300户”；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③生态效益指标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④可持续影响指标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“工程设计使用年限”指标，预期指标值为“大于等于8年”。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（3）相关满意度目标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“受益已脱贫人口满意度”指标，预期指标值为“大于等于95%”。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rPr>
      </w:pPr>
      <w:bookmarkStart w:id="32" w:name="_Toc24985"/>
      <w:r>
        <w:rPr>
          <w:rFonts w:hint="eastAsia" w:ascii="方正黑体_GBK" w:hAnsi="方正黑体_GBK" w:eastAsia="方正黑体_GBK" w:cs="方正黑体_GBK"/>
          <w:color w:val="auto"/>
          <w:sz w:val="32"/>
          <w:szCs w:val="32"/>
        </w:rPr>
        <w:t>二、评价工作简述</w:t>
      </w:r>
      <w:bookmarkEnd w:id="3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3" w:name="_Toc3416"/>
      <w:bookmarkStart w:id="34" w:name="_Toc7630"/>
      <w:bookmarkStart w:id="35" w:name="_Toc19614"/>
      <w:r>
        <w:rPr>
          <w:rFonts w:hint="eastAsia" w:ascii="仿宋_GB2312" w:hAnsi="仿宋_GB2312" w:eastAsia="仿宋_GB2312" w:cs="仿宋_GB2312"/>
          <w:color w:val="auto"/>
          <w:sz w:val="32"/>
          <w:szCs w:val="32"/>
          <w:highlight w:val="none"/>
          <w:lang w:val="en-US" w:eastAsia="zh-CN"/>
        </w:rPr>
        <w:t>受疏附县财政局委托，中瑞诚会计师事务所（特殊普通合伙）喀什分所（以下简称“评价机构”）承担疏附县塔什米里克乡7村村组道路建设项目绩效评价工作。为更好地保障绩效评价工作的顺利实施，根据财政部颁发的《项目支出绩效评价管理办法》等文件规定，评价机构成立绩效评价工作组（以下简称“评价工作组”）对疏附县塔什米里克乡7村村组道路建设项目资金的投入、资金使用及资金使用效益等方面进行了绩效评价。</w:t>
      </w:r>
      <w:bookmarkEnd w:id="33"/>
      <w:bookmarkEnd w:id="34"/>
      <w:bookmarkEnd w:id="35"/>
    </w:p>
    <w:p>
      <w:pPr>
        <w:pStyle w:val="32"/>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评价工作简述</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6" w:name="_Toc9260"/>
      <w:r>
        <w:rPr>
          <w:rFonts w:hint="eastAsia" w:ascii="方正楷体_GBK" w:hAnsi="方正楷体_GBK" w:eastAsia="方正楷体_GBK" w:cs="方正楷体_GBK"/>
          <w:b/>
          <w:bCs/>
          <w:color w:val="auto"/>
          <w:sz w:val="32"/>
          <w:szCs w:val="32"/>
          <w:highlight w:val="none"/>
        </w:rPr>
        <w:t>（一）评价目的</w:t>
      </w:r>
      <w:bookmarkEnd w:id="3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7" w:name="_Toc18186"/>
      <w:r>
        <w:rPr>
          <w:rFonts w:hint="eastAsia" w:ascii="仿宋_GB2312" w:hAnsi="仿宋_GB2312" w:eastAsia="仿宋_GB2312" w:cs="仿宋_GB2312"/>
          <w:color w:val="auto"/>
          <w:sz w:val="32"/>
          <w:szCs w:val="32"/>
          <w:highlight w:val="none"/>
          <w:lang w:val="en-US" w:eastAsia="zh-CN"/>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专项资金使用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为全面了解该项目资金安排的科学性、预算编制合理性、资金使用合规性、规范性和使用效益、项目目标的实现情况、服务对象的满意度等。通过本次部门绩效评价来了解和掌握疏附县塔什米里克乡7村村组道路建设项目实施的具体情况，总结项目管理经验，促进项目成果转化和应用、完善项目管理办法、提高项目管理水平和资金使用效益。疏附县交通局可根据绩效评价中发现的问题，调整工作计划，完善绩效目标，加强项目管理，提高管理水平，同时为项目后续资金投入、分配和管理提供决策依据。为今后类似项目的绩效管理，提供可行性参考建议。</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8" w:name="_Toc77"/>
      <w:r>
        <w:rPr>
          <w:rFonts w:hint="eastAsia" w:ascii="方正楷体_GBK" w:hAnsi="方正楷体_GBK" w:eastAsia="方正楷体_GBK" w:cs="方正楷体_GBK"/>
          <w:b/>
          <w:bCs/>
          <w:color w:val="auto"/>
          <w:sz w:val="32"/>
          <w:szCs w:val="32"/>
          <w:highlight w:val="none"/>
        </w:rPr>
        <w:t>（二）绩效评价工作</w:t>
      </w:r>
      <w:r>
        <w:rPr>
          <w:rFonts w:hint="eastAsia" w:ascii="方正楷体_GBK" w:hAnsi="方正楷体_GBK" w:eastAsia="方正楷体_GBK" w:cs="方正楷体_GBK"/>
          <w:b/>
          <w:bCs/>
          <w:color w:val="auto"/>
          <w:sz w:val="32"/>
          <w:szCs w:val="32"/>
          <w:highlight w:val="none"/>
          <w:lang w:val="en-US" w:eastAsia="zh-CN"/>
        </w:rPr>
        <w:t>的基本</w:t>
      </w:r>
      <w:r>
        <w:rPr>
          <w:rFonts w:hint="eastAsia" w:ascii="方正楷体_GBK" w:hAnsi="方正楷体_GBK" w:eastAsia="方正楷体_GBK" w:cs="方正楷体_GBK"/>
          <w:b/>
          <w:bCs/>
          <w:color w:val="auto"/>
          <w:sz w:val="32"/>
          <w:szCs w:val="32"/>
          <w:highlight w:val="none"/>
        </w:rPr>
        <w:t>思路</w:t>
      </w:r>
      <w:bookmarkEnd w:id="37"/>
      <w:bookmarkEnd w:id="3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9" w:name="_Toc27493321"/>
      <w:bookmarkStart w:id="40" w:name="_Toc7209"/>
      <w:bookmarkStart w:id="41" w:name="_Toc27648031"/>
      <w:bookmarkStart w:id="42" w:name="_Toc14072"/>
      <w:bookmarkStart w:id="43" w:name="_Toc27651416"/>
      <w:r>
        <w:rPr>
          <w:rFonts w:hint="eastAsia" w:ascii="仿宋_GB2312" w:hAnsi="仿宋_GB2312" w:eastAsia="仿宋_GB2312" w:cs="仿宋_GB2312"/>
          <w:color w:val="auto"/>
          <w:sz w:val="32"/>
          <w:szCs w:val="32"/>
          <w:highlight w:val="none"/>
          <w:lang w:val="en-US" w:eastAsia="zh-CN"/>
        </w:rPr>
        <w:t>本次评价从项目决策（包括项目立项依据的充分性和立项程序的规范性、绩效目标的合理性和绩效指标的明确性、预算编制的科学性和资金分配的合理性）、项目过程（包括项目资金中的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评价对象疏附县塔什米里克乡7村村组道路建设项目（共计60.00万元），评价核心为专项资金的支出完成情况和效果。</w:t>
      </w:r>
      <w:bookmarkEnd w:id="39"/>
      <w:bookmarkEnd w:id="40"/>
      <w:bookmarkEnd w:id="41"/>
      <w:bookmarkEnd w:id="42"/>
      <w:bookmarkEnd w:id="43"/>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4" w:name="_Toc1995"/>
      <w:r>
        <w:rPr>
          <w:rFonts w:hint="eastAsia" w:ascii="方正楷体_GBK" w:hAnsi="方正楷体_GBK" w:eastAsia="方正楷体_GBK" w:cs="方正楷体_GBK"/>
          <w:b/>
          <w:bCs/>
          <w:color w:val="auto"/>
          <w:sz w:val="32"/>
          <w:szCs w:val="32"/>
          <w:highlight w:val="none"/>
        </w:rPr>
        <w:t>（三）评价原则</w:t>
      </w:r>
      <w:bookmarkEnd w:id="4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中华人民共和国预算法》、《中共中央国务院关于全面实施预算绩效管理的意见》及《项目支出绩效评价管理办法》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（1）科学公正、科学规范原则。绩效评价应当运用科学合理的方法，按照规范的程序，对项目绩效进行客观、公正的反映，按照科学可行的要求，采用定量与定性分析相结合的方法。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（2）分级分类原则。根据“谁支出、谁自评”的原则，根据评价对象的特点分类组织实施绩效评价工作，与相关单位职责明确，各有侧重，相互衔接。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（3）绩效相关原则。绩效评价针对具体投入及其产出绩效进行，评价结果清晰反映了支出和产出绩效之间的紧密对应关系。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（4）公正公开、透明原则。绩效评价结果应当符合真实、客观、公正的要求，依法依规公开，并自觉接受社会监督。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（3）绩效评价报告应当简明扼要，除了对绩效评价的过程、结果描述外，还应总结经验，指出问题，并就共性问题提出可操作性改进建议。</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5" w:name="_Toc18276"/>
      <w:r>
        <w:rPr>
          <w:rFonts w:hint="eastAsia" w:ascii="方正楷体_GBK" w:hAnsi="方正楷体_GBK" w:eastAsia="方正楷体_GBK" w:cs="方正楷体_GBK"/>
          <w:b/>
          <w:bCs/>
          <w:color w:val="auto"/>
          <w:sz w:val="32"/>
          <w:szCs w:val="32"/>
          <w:highlight w:val="none"/>
        </w:rPr>
        <w:t>（四）评价方法</w:t>
      </w:r>
      <w:bookmarkEnd w:id="45"/>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bookmarkStart w:id="46" w:name="_Toc18764"/>
      <w:r>
        <w:rPr>
          <w:rFonts w:hint="eastAsia" w:ascii="仿宋_GB2312" w:hAnsi="仿宋_GB2312" w:eastAsia="仿宋_GB2312" w:cs="仿宋_GB2312"/>
          <w:color w:val="auto"/>
          <w:sz w:val="32"/>
          <w:szCs w:val="32"/>
          <w:highlight w:val="none"/>
          <w:lang w:val="en-US" w:eastAsia="zh-CN"/>
        </w:rPr>
        <w:t>本次绩效评价主要采用以下评价方法：</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1.比较法，通过对绩效目标与实施效果、历史与当期情况、不同部门和地区同类支出的比较，综合分析绩效目标实现程度。</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2.因素分析法，通过综合分析影响绩效目标实现、实施效果的内外因素，评价绩效目标实现程度。</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3.公众评判法，通过专家评估、公众问卷及抽样调查等对财政支出效果进行评判，评价绩效目标实现程度。</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根据项目特点，本次评价采用比较法和公众评判法，分析项目总预算和明细预算的内容、标准、计划是否经济合理，实际产出和效益是否达到预期。</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lang w:val="en-US" w:eastAsia="zh-CN"/>
        </w:rPr>
        <w:t>（五）</w:t>
      </w:r>
      <w:r>
        <w:rPr>
          <w:rFonts w:hint="eastAsia" w:ascii="方正楷体_GBK" w:hAnsi="方正楷体_GBK" w:eastAsia="方正楷体_GBK" w:cs="方正楷体_GBK"/>
          <w:b/>
          <w:bCs/>
          <w:color w:val="auto"/>
          <w:sz w:val="32"/>
          <w:szCs w:val="32"/>
          <w:highlight w:val="none"/>
        </w:rPr>
        <w:t>指标体系</w:t>
      </w:r>
      <w:bookmarkEnd w:id="4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7" w:name="_Toc32612"/>
      <w:bookmarkStart w:id="48" w:name="_Toc22089"/>
      <w:bookmarkStart w:id="49" w:name="_Toc986"/>
      <w:bookmarkStart w:id="50" w:name="_Toc10934"/>
      <w:bookmarkStart w:id="51" w:name="_Toc8115"/>
      <w:r>
        <w:rPr>
          <w:rFonts w:hint="eastAsia" w:ascii="仿宋_GB2312" w:hAnsi="仿宋_GB2312" w:eastAsia="仿宋_GB2312" w:cs="仿宋_GB2312"/>
          <w:color w:val="auto"/>
          <w:sz w:val="32"/>
          <w:szCs w:val="32"/>
          <w:highlight w:val="none"/>
          <w:lang w:val="en-US" w:eastAsia="zh-CN"/>
        </w:rPr>
        <w:t>绩效评价指标体系根据《关于印发&lt;项目支出绩效评价管理办法&gt;的通知》等文件精神，结合专项特点，在与专家组、项目充分协商的基础上，评价工作组细化了该项目的绩效评价指标体系（详见附件一）：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一级指标为：决策、过程、产出、效益。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二级指标为：项目立项、绩效目标、资金投入、资金管理、组织实施、产出数量、产出质量、产出时效、产出成本、项目效益。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bookmarkEnd w:id="47"/>
      <w:bookmarkEnd w:id="48"/>
      <w:bookmarkEnd w:id="49"/>
      <w:bookmarkEnd w:id="50"/>
      <w:bookmarkEnd w:id="51"/>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52" w:name="_Toc30890"/>
      <w:bookmarkStart w:id="53" w:name="_Toc16367"/>
      <w:r>
        <w:rPr>
          <w:rFonts w:hint="eastAsia" w:ascii="方正楷体_GBK" w:hAnsi="方正楷体_GBK" w:eastAsia="方正楷体_GBK" w:cs="方正楷体_GBK"/>
          <w:b/>
          <w:bCs/>
          <w:color w:val="auto"/>
          <w:sz w:val="32"/>
          <w:szCs w:val="32"/>
          <w:highlight w:val="none"/>
          <w:lang w:val="en-US" w:eastAsia="zh-CN"/>
        </w:rPr>
        <w:t>（六）评价等级划分</w:t>
      </w:r>
      <w:bookmarkEnd w:id="52"/>
      <w:bookmarkEnd w:id="5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财政部颁发的《项目支出绩效评价管理办法》等相关文件精神，本次绩效评价结果主要采取评分和评级相结合的方式，具体分值和等级可根据不同评价的内容设定。总分一般设置为100分，其中项目决策20分、项目管理20分、项目产出30分、项目绩效30分。评价结果分为优、良、中、差四个等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优（90分（含）—100分）；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良（80分（含）—90分）；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中（70分（含）—80分）；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差（0分—70分）。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对在项目进行绩效评价的过程中，如果实施单位有弄虚作假、瞒报谎报情况之行为，绩效评价组将如实上报至疏附县财政局，并予以通报批评；情节严重的，绩效评价结果将直接判定为不合格等级。</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54" w:name="_Toc9667"/>
      <w:r>
        <w:rPr>
          <w:rFonts w:hint="eastAsia" w:ascii="方正楷体_GBK" w:hAnsi="方正楷体_GBK" w:eastAsia="方正楷体_GBK" w:cs="方正楷体_GBK"/>
          <w:b/>
          <w:bCs/>
          <w:color w:val="auto"/>
          <w:sz w:val="32"/>
          <w:szCs w:val="32"/>
          <w:highlight w:val="none"/>
          <w:lang w:val="en-US" w:eastAsia="zh-CN"/>
        </w:rPr>
        <w:t>（七）评价工作实施情况</w:t>
      </w:r>
      <w:bookmarkEnd w:id="54"/>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55" w:name="_Toc8898"/>
      <w:bookmarkStart w:id="56" w:name="_Toc12973"/>
      <w:r>
        <w:rPr>
          <w:rFonts w:hint="eastAsia" w:ascii="仿宋_GB2312" w:hAnsi="仿宋_GB2312" w:eastAsia="仿宋_GB2312" w:cs="仿宋_GB2312"/>
          <w:b/>
          <w:bCs w:val="0"/>
          <w:color w:val="auto"/>
          <w:sz w:val="32"/>
          <w:szCs w:val="32"/>
          <w:highlight w:val="none"/>
          <w:lang w:val="en-US" w:eastAsia="zh-CN"/>
        </w:rPr>
        <w:t>1.评价工作程序和时间安排</w:t>
      </w:r>
      <w:bookmarkEnd w:id="55"/>
      <w:bookmarkEnd w:id="5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本次绩效自评各阶段具体工作内容及时间进度安排详见下表：</w:t>
      </w:r>
    </w:p>
    <w:p>
      <w:pPr>
        <w:pStyle w:val="32"/>
        <w:spacing w:after="156" w:afterLines="50"/>
        <w:ind w:left="425" w:firstLine="0" w:firstLineChars="0"/>
        <w:jc w:val="center"/>
        <w:rPr>
          <w:rFonts w:hint="eastAsia" w:ascii="黑体" w:hAnsi="黑体" w:eastAsia="黑体" w:cs="黑体"/>
          <w:color w:val="auto"/>
          <w:sz w:val="32"/>
          <w:szCs w:val="32"/>
        </w:rPr>
      </w:pPr>
      <w:bookmarkStart w:id="57" w:name="_Toc427_WPSOffice_Level2"/>
      <w:bookmarkStart w:id="58" w:name="_Toc9542_WPSOffice_Level2"/>
      <w:bookmarkStart w:id="59" w:name="_Toc28992"/>
      <w:bookmarkStart w:id="60" w:name="_Toc3615"/>
      <w:r>
        <w:rPr>
          <w:rFonts w:hint="eastAsia" w:ascii="黑体" w:hAnsi="黑体" w:eastAsia="黑体" w:cs="黑体"/>
          <w:color w:val="auto"/>
          <w:sz w:val="32"/>
          <w:szCs w:val="32"/>
        </w:rPr>
        <w:t>绩效评价工作程序和时间安排表</w:t>
      </w:r>
      <w:bookmarkEnd w:id="57"/>
      <w:bookmarkEnd w:id="58"/>
    </w:p>
    <w:tbl>
      <w:tblPr>
        <w:tblStyle w:val="1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34"/>
        <w:gridCol w:w="4738"/>
        <w:gridCol w:w="1369"/>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88" w:type="dxa"/>
            <w:shd w:val="clear" w:color="auto" w:fill="C0C0C0"/>
            <w:vAlign w:val="center"/>
          </w:tcPr>
          <w:p>
            <w:pPr>
              <w:adjustRightInd w:val="0"/>
              <w:snapToGrid w:val="0"/>
              <w:jc w:val="distribute"/>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阶段</w:t>
            </w:r>
          </w:p>
          <w:p>
            <w:pPr>
              <w:adjustRightInd w:val="0"/>
              <w:snapToGrid w:val="0"/>
              <w:jc w:val="distribute"/>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安排</w:t>
            </w:r>
          </w:p>
        </w:tc>
        <w:tc>
          <w:tcPr>
            <w:tcW w:w="5272" w:type="dxa"/>
            <w:gridSpan w:val="2"/>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工作内容</w:t>
            </w:r>
          </w:p>
        </w:tc>
        <w:tc>
          <w:tcPr>
            <w:tcW w:w="1369" w:type="dxa"/>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进度安排</w:t>
            </w:r>
          </w:p>
        </w:tc>
        <w:tc>
          <w:tcPr>
            <w:tcW w:w="1175" w:type="dxa"/>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参与方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jc w:val="center"/>
        </w:trPr>
        <w:tc>
          <w:tcPr>
            <w:tcW w:w="688" w:type="dxa"/>
            <w:vMerge w:val="restart"/>
            <w:shd w:val="clear" w:color="auto" w:fill="auto"/>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pacing w:val="40"/>
                <w:sz w:val="20"/>
                <w:szCs w:val="20"/>
                <w:highlight w:val="none"/>
              </w:rPr>
              <w:t>评价准备阶段</w:t>
            </w: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制定《项目实施工作方案》，收集并研究分析项目政策资料，编制指标评价体系和资料清单，并发送被评价单位准备资料。</w:t>
            </w:r>
          </w:p>
        </w:tc>
        <w:tc>
          <w:tcPr>
            <w:tcW w:w="1369" w:type="dxa"/>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01</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restart"/>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编写相关文本</w:t>
            </w:r>
          </w:p>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准备资料</w:t>
            </w:r>
          </w:p>
        </w:tc>
        <w:tc>
          <w:tcPr>
            <w:tcW w:w="4738" w:type="dxa"/>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首轮提交文本及资料：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1.项目单位提交自评绩效报告；</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2.项目单位按照资料清单要求准备相关资料，提交评价工作组。</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日</w:t>
            </w:r>
          </w:p>
        </w:tc>
        <w:tc>
          <w:tcPr>
            <w:tcW w:w="1175" w:type="dxa"/>
            <w:vMerge w:val="restart"/>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continue"/>
            <w:shd w:val="clear" w:color="auto" w:fill="auto"/>
            <w:vAlign w:val="center"/>
          </w:tcPr>
          <w:p>
            <w:pPr>
              <w:adjustRightInd w:val="0"/>
              <w:snapToGrid w:val="0"/>
              <w:jc w:val="left"/>
              <w:rPr>
                <w:rFonts w:hint="eastAsia" w:ascii="仿宋" w:hAnsi="仿宋" w:eastAsia="仿宋" w:cs="仿宋"/>
                <w:color w:val="auto"/>
                <w:sz w:val="20"/>
                <w:szCs w:val="20"/>
                <w:highlight w:val="none"/>
              </w:rPr>
            </w:pPr>
          </w:p>
        </w:tc>
        <w:tc>
          <w:tcPr>
            <w:tcW w:w="4738" w:type="dxa"/>
            <w:tcBorders>
              <w:bottom w:val="single" w:color="auto" w:sz="4" w:space="0"/>
            </w:tcBorders>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修改文本及补充资料：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1.评价工作组提出绩效报告修改意见，并反馈项目单位进行修改；</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2.评价工作组对资料进行审核，提出补充修改意见。</w:t>
            </w:r>
          </w:p>
        </w:tc>
        <w:tc>
          <w:tcPr>
            <w:tcW w:w="1369"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08</w:t>
            </w:r>
            <w:r>
              <w:rPr>
                <w:rFonts w:hint="eastAsia" w:ascii="Times New Roman" w:hAnsi="Times New Roman" w:eastAsia="仿宋_GB2312" w:cs="仿宋"/>
                <w:color w:val="auto"/>
                <w:sz w:val="20"/>
                <w:szCs w:val="20"/>
                <w:highlight w:val="none"/>
              </w:rPr>
              <w:t>日</w:t>
            </w:r>
          </w:p>
        </w:tc>
        <w:tc>
          <w:tcPr>
            <w:tcW w:w="1175" w:type="dxa"/>
            <w:vMerge w:val="continue"/>
            <w:shd w:val="clear" w:color="auto" w:fill="auto"/>
            <w:vAlign w:val="center"/>
          </w:tcPr>
          <w:p>
            <w:pPr>
              <w:adjustRightInd w:val="0"/>
              <w:snapToGrid w:val="0"/>
              <w:jc w:val="center"/>
              <w:rPr>
                <w:rFonts w:hint="eastAsia" w:ascii="仿宋" w:hAnsi="仿宋" w:eastAsia="仿宋"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9"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continue"/>
            <w:shd w:val="clear" w:color="auto" w:fill="auto"/>
            <w:vAlign w:val="center"/>
          </w:tcPr>
          <w:p>
            <w:pPr>
              <w:adjustRightInd w:val="0"/>
              <w:snapToGrid w:val="0"/>
              <w:spacing w:after="120"/>
              <w:jc w:val="left"/>
              <w:rPr>
                <w:rFonts w:hint="eastAsia" w:ascii="仿宋" w:hAnsi="仿宋" w:eastAsia="仿宋" w:cs="仿宋"/>
                <w:b/>
                <w:bCs/>
                <w:color w:val="auto"/>
                <w:sz w:val="20"/>
                <w:szCs w:val="20"/>
                <w:highlight w:val="none"/>
              </w:rPr>
            </w:pPr>
          </w:p>
        </w:tc>
        <w:tc>
          <w:tcPr>
            <w:tcW w:w="4738" w:type="dxa"/>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确定终版文本及资料：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1.评价工作组再次审核绩效报告，项目单位参照修改意见进行修改并定稿；</w:t>
            </w:r>
          </w:p>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2.项目单位按照补充修改意见完善资料，并将终版资料提交评价工作组，并签署资料确认单。</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10</w:t>
            </w:r>
            <w:r>
              <w:rPr>
                <w:rFonts w:hint="eastAsia" w:ascii="Times New Roman" w:hAnsi="Times New Roman" w:eastAsia="仿宋_GB2312" w:cs="仿宋"/>
                <w:color w:val="auto"/>
                <w:sz w:val="20"/>
                <w:szCs w:val="20"/>
                <w:highlight w:val="none"/>
              </w:rPr>
              <w:t>日</w:t>
            </w:r>
          </w:p>
        </w:tc>
        <w:tc>
          <w:tcPr>
            <w:tcW w:w="1175" w:type="dxa"/>
            <w:vMerge w:val="continue"/>
            <w:shd w:val="clear" w:color="auto" w:fill="auto"/>
            <w:vAlign w:val="center"/>
          </w:tcPr>
          <w:p>
            <w:pPr>
              <w:adjustRightInd w:val="0"/>
              <w:snapToGrid w:val="0"/>
              <w:jc w:val="center"/>
              <w:rPr>
                <w:rFonts w:hint="eastAsia" w:ascii="仿宋" w:hAnsi="仿宋" w:eastAsia="仿宋"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688" w:type="dxa"/>
            <w:vMerge w:val="continue"/>
            <w:shd w:val="clear" w:color="auto" w:fill="auto"/>
            <w:textDirection w:val="tbRlV"/>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整理、分析资料：</w:t>
            </w:r>
            <w:r>
              <w:rPr>
                <w:rFonts w:hint="eastAsia" w:ascii="Times New Roman" w:hAnsi="Times New Roman" w:eastAsia="仿宋_GB2312" w:cs="仿宋"/>
                <w:color w:val="auto"/>
                <w:sz w:val="20"/>
                <w:szCs w:val="20"/>
                <w:highlight w:val="none"/>
              </w:rPr>
              <w:t>评价工作组对所收集资料进行整理、对资金支出情况进行分析，就有关问题与项目单位核实。</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15</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688" w:type="dxa"/>
            <w:vMerge w:val="continue"/>
            <w:shd w:val="clear" w:color="auto" w:fill="auto"/>
            <w:textDirection w:val="tbRlV"/>
            <w:vAlign w:val="center"/>
          </w:tcPr>
          <w:p>
            <w:pPr>
              <w:adjustRightInd w:val="0"/>
              <w:snapToGrid w:val="0"/>
              <w:ind w:left="113" w:leftChars="0" w:firstLine="560" w:firstLineChars="200"/>
              <w:jc w:val="center"/>
              <w:rPr>
                <w:rFonts w:hint="eastAsia" w:ascii="仿宋" w:hAnsi="仿宋" w:eastAsia="仿宋" w:cs="仿宋"/>
                <w:color w:val="auto"/>
                <w:spacing w:val="40"/>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成立评价工作小组：</w:t>
            </w:r>
            <w:r>
              <w:rPr>
                <w:rFonts w:hint="eastAsia" w:ascii="Times New Roman" w:hAnsi="Times New Roman" w:eastAsia="仿宋_GB2312" w:cs="仿宋"/>
                <w:color w:val="auto"/>
                <w:sz w:val="20"/>
                <w:szCs w:val="20"/>
                <w:highlight w:val="none"/>
              </w:rPr>
              <w:t>遴选相关业务、财务、管理等组成评价工作小组，并对小组成员进行培训。</w:t>
            </w:r>
          </w:p>
        </w:tc>
        <w:tc>
          <w:tcPr>
            <w:tcW w:w="1369" w:type="dxa"/>
            <w:tcBorders>
              <w:bottom w:val="single" w:color="auto" w:sz="4" w:space="0"/>
            </w:tcBorders>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17</w:t>
            </w:r>
            <w:r>
              <w:rPr>
                <w:rFonts w:hint="eastAsia" w:ascii="Times New Roman" w:hAnsi="Times New Roman" w:eastAsia="仿宋_GB2312" w:cs="仿宋"/>
                <w:color w:val="auto"/>
                <w:sz w:val="20"/>
                <w:szCs w:val="20"/>
                <w:highlight w:val="none"/>
              </w:rPr>
              <w:t>日</w:t>
            </w:r>
          </w:p>
        </w:tc>
        <w:tc>
          <w:tcPr>
            <w:tcW w:w="1175"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jc w:val="center"/>
        </w:trPr>
        <w:tc>
          <w:tcPr>
            <w:tcW w:w="688" w:type="dxa"/>
            <w:vMerge w:val="restart"/>
            <w:shd w:val="clear" w:color="auto" w:fill="auto"/>
            <w:textDirection w:val="tbRlV"/>
            <w:vAlign w:val="center"/>
          </w:tcPr>
          <w:p>
            <w:pPr>
              <w:adjustRightInd w:val="0"/>
              <w:snapToGrid w:val="0"/>
              <w:ind w:firstLine="281" w:firstLineChars="100"/>
              <w:rPr>
                <w:rFonts w:hint="eastAsia" w:ascii="仿宋" w:hAnsi="仿宋" w:eastAsia="仿宋" w:cs="仿宋"/>
                <w:color w:val="auto"/>
                <w:spacing w:val="40"/>
                <w:sz w:val="20"/>
                <w:szCs w:val="20"/>
                <w:highlight w:val="none"/>
              </w:rPr>
            </w:pPr>
            <w:r>
              <w:rPr>
                <w:rFonts w:hint="eastAsia" w:ascii="Times New Roman" w:hAnsi="Times New Roman" w:eastAsia="仿宋_GB2312" w:cs="仿宋"/>
                <w:b/>
                <w:bCs/>
                <w:color w:val="auto"/>
                <w:spacing w:val="40"/>
                <w:sz w:val="20"/>
                <w:szCs w:val="20"/>
                <w:highlight w:val="none"/>
              </w:rPr>
              <w:t>评价实施阶段</w:t>
            </w: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现场调研：</w:t>
            </w:r>
            <w:r>
              <w:rPr>
                <w:rFonts w:hint="eastAsia" w:ascii="Times New Roman" w:hAnsi="Times New Roman" w:eastAsia="仿宋_GB2312" w:cs="仿宋"/>
                <w:color w:val="auto"/>
                <w:sz w:val="20"/>
                <w:szCs w:val="20"/>
                <w:highlight w:val="none"/>
              </w:rPr>
              <w:t>根据项目情况，评价工作组对项目现场进行调研，核实项目完成情况及效益实现情况。</w:t>
            </w:r>
          </w:p>
        </w:tc>
        <w:tc>
          <w:tcPr>
            <w:tcW w:w="1369" w:type="dxa"/>
            <w:tcBorders>
              <w:bottom w:val="single" w:color="auto" w:sz="4" w:space="0"/>
            </w:tcBorders>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21</w:t>
            </w:r>
            <w:r>
              <w:rPr>
                <w:rFonts w:hint="eastAsia" w:ascii="Times New Roman" w:hAnsi="Times New Roman" w:eastAsia="仿宋_GB2312" w:cs="仿宋"/>
                <w:color w:val="auto"/>
                <w:sz w:val="20"/>
                <w:szCs w:val="20"/>
                <w:highlight w:val="none"/>
              </w:rPr>
              <w:t>日</w:t>
            </w:r>
          </w:p>
        </w:tc>
        <w:tc>
          <w:tcPr>
            <w:tcW w:w="1175" w:type="dxa"/>
            <w:tcBorders>
              <w:bottom w:val="single" w:color="auto" w:sz="4" w:space="0"/>
            </w:tcBorders>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组织针对性培训：</w:t>
            </w:r>
            <w:r>
              <w:rPr>
                <w:rFonts w:hint="eastAsia" w:ascii="Times New Roman" w:hAnsi="Times New Roman" w:eastAsia="仿宋_GB2312" w:cs="仿宋"/>
                <w:color w:val="auto"/>
                <w:sz w:val="20"/>
                <w:szCs w:val="20"/>
                <w:highlight w:val="none"/>
              </w:rPr>
              <w:t>评价工作组根据预算部门（单位）的不同需求，开展有针对性的培训工作。</w:t>
            </w:r>
          </w:p>
        </w:tc>
        <w:tc>
          <w:tcPr>
            <w:tcW w:w="1369" w:type="dxa"/>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22</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现场评价会：</w:t>
            </w:r>
            <w:r>
              <w:rPr>
                <w:rFonts w:hint="eastAsia" w:ascii="Times New Roman" w:hAnsi="Times New Roman" w:eastAsia="仿宋_GB2312" w:cs="仿宋"/>
                <w:color w:val="auto"/>
                <w:sz w:val="20"/>
                <w:szCs w:val="20"/>
                <w:highlight w:val="none"/>
              </w:rPr>
              <w:t>召开现场评价会议，核实项目执行情况，出具评价意见。</w:t>
            </w:r>
          </w:p>
        </w:tc>
        <w:tc>
          <w:tcPr>
            <w:tcW w:w="1369" w:type="dxa"/>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24</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jc w:val="center"/>
        </w:trPr>
        <w:tc>
          <w:tcPr>
            <w:tcW w:w="688" w:type="dxa"/>
            <w:vMerge w:val="restart"/>
            <w:shd w:val="clear" w:color="auto" w:fill="auto"/>
            <w:textDirection w:val="tbRlV"/>
            <w:vAlign w:val="center"/>
          </w:tcPr>
          <w:p>
            <w:pPr>
              <w:adjustRightInd w:val="0"/>
              <w:snapToGrid w:val="0"/>
              <w:ind w:firstLine="120" w:firstLineChars="50"/>
              <w:rPr>
                <w:rFonts w:hint="eastAsia" w:ascii="仿宋" w:hAnsi="仿宋" w:eastAsia="仿宋" w:cs="仿宋"/>
                <w:color w:val="auto"/>
                <w:spacing w:val="20"/>
                <w:sz w:val="20"/>
                <w:szCs w:val="20"/>
                <w:highlight w:val="none"/>
              </w:rPr>
            </w:pPr>
            <w:r>
              <w:rPr>
                <w:rFonts w:hint="eastAsia" w:ascii="Times New Roman" w:hAnsi="Times New Roman" w:eastAsia="仿宋_GB2312" w:cs="仿宋"/>
                <w:b/>
                <w:bCs/>
                <w:color w:val="auto"/>
                <w:spacing w:val="20"/>
                <w:sz w:val="20"/>
                <w:szCs w:val="20"/>
                <w:highlight w:val="none"/>
              </w:rPr>
              <w:t>形成报告阶段</w:t>
            </w:r>
          </w:p>
        </w:tc>
        <w:tc>
          <w:tcPr>
            <w:tcW w:w="5272" w:type="dxa"/>
            <w:gridSpan w:val="2"/>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撰写报告：</w:t>
            </w:r>
            <w:r>
              <w:rPr>
                <w:rFonts w:hint="eastAsia" w:ascii="Times New Roman" w:hAnsi="Times New Roman" w:eastAsia="仿宋_GB2312" w:cs="仿宋"/>
                <w:color w:val="auto"/>
                <w:sz w:val="20"/>
                <w:szCs w:val="20"/>
                <w:highlight w:val="none"/>
              </w:rPr>
              <w:t>评价工作组撰写项目绩效评价报告。</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25</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0"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lang w:val="en-US" w:eastAsia="zh-CN"/>
              </w:rPr>
              <w:t>专家评审会：</w:t>
            </w:r>
            <w:r>
              <w:rPr>
                <w:rFonts w:hint="eastAsia" w:ascii="Times New Roman" w:hAnsi="Times New Roman" w:eastAsia="仿宋_GB2312" w:cs="仿宋"/>
                <w:color w:val="auto"/>
                <w:sz w:val="20"/>
                <w:szCs w:val="20"/>
                <w:highlight w:val="none"/>
                <w:lang w:val="en-US" w:eastAsia="zh-CN"/>
              </w:rPr>
              <w:t>行业专家，第三方专家以及财政部门，邀请人大代表监督全过程，对报告提出整改意见和需修改完善的内容，评价工作组及时作出整改。</w:t>
            </w:r>
          </w:p>
        </w:tc>
        <w:tc>
          <w:tcPr>
            <w:tcW w:w="1369" w:type="dxa"/>
            <w:tcBorders>
              <w:bottom w:val="single" w:color="auto" w:sz="4" w:space="0"/>
            </w:tcBorders>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lang w:eastAsia="zh-CN"/>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27</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lang w:val="en-US" w:eastAsia="zh-CN"/>
              </w:rPr>
              <w:t>邀请专家评价机构项目单位委托单位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0"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报告征求意见：</w:t>
            </w:r>
            <w:r>
              <w:rPr>
                <w:rFonts w:hint="eastAsia" w:ascii="Times New Roman" w:hAnsi="Times New Roman" w:eastAsia="仿宋_GB2312" w:cs="仿宋"/>
                <w:color w:val="auto"/>
                <w:sz w:val="20"/>
                <w:szCs w:val="20"/>
                <w:highlight w:val="none"/>
              </w:rPr>
              <w:t>评价报告经评价机构三级审核后，送交委托方及项目单位征求意见。</w:t>
            </w:r>
          </w:p>
        </w:tc>
        <w:tc>
          <w:tcPr>
            <w:tcW w:w="1369"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28</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报送报告：</w:t>
            </w:r>
            <w:r>
              <w:rPr>
                <w:rFonts w:hint="eastAsia" w:ascii="Times New Roman" w:hAnsi="Times New Roman" w:eastAsia="仿宋_GB2312" w:cs="仿宋"/>
                <w:color w:val="auto"/>
                <w:sz w:val="20"/>
                <w:szCs w:val="20"/>
                <w:highlight w:val="none"/>
              </w:rPr>
              <w:t>根据委托方意见修改报告，在规定时间内正式向委托方报送绩效评价报告。</w:t>
            </w:r>
          </w:p>
        </w:tc>
        <w:tc>
          <w:tcPr>
            <w:tcW w:w="1369" w:type="dxa"/>
            <w:shd w:val="clear" w:color="auto" w:fill="auto"/>
            <w:vAlign w:val="center"/>
          </w:tcPr>
          <w:p>
            <w:pPr>
              <w:adjustRightInd w:val="0"/>
              <w:snapToGrid w:val="0"/>
              <w:spacing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3年06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30</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bl>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2.实地调研概况</w:t>
      </w:r>
      <w:bookmarkEnd w:id="59"/>
      <w:bookmarkEnd w:id="6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走访调查：采取现场走访调查的形式，了解项目实际情况。到项目实施单位及实施现场，深入实地进行调研和分析，严格按照项目实施方案进行管理，了解前期工作及项目实施情况。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研读文件：通过检查实施单位自评（总结）报告、研读相关制度文件等，了解在项目实施过程中，作为项目主管单位，是否对项目实施进行协调监督管理，是否制定相关、有效的监督管理制度，是否监督落实项目建设质量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审阅项目财务收支情况：审阅该项目实施单位记录资金收支的凭证、后附单据及相关文件，审阅该项目的相关规定，审核资金收支是否合规等。</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61" w:name="_Toc7563"/>
      <w:r>
        <w:rPr>
          <w:rFonts w:hint="eastAsia" w:ascii="方正黑体_GBK" w:hAnsi="方正黑体_GBK" w:eastAsia="方正黑体_GBK" w:cs="方正黑体_GBK"/>
          <w:color w:val="auto"/>
          <w:sz w:val="32"/>
          <w:szCs w:val="32"/>
          <w:highlight w:val="none"/>
        </w:rPr>
        <w:t>三、绩效评价分析</w:t>
      </w:r>
      <w:bookmarkEnd w:id="61"/>
    </w:p>
    <w:p>
      <w:pPr>
        <w:pStyle w:val="32"/>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绩效评价分析</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2" w:name="_Toc26346"/>
      <w:r>
        <w:rPr>
          <w:rFonts w:hint="eastAsia" w:ascii="方正楷体_GBK" w:hAnsi="方正楷体_GBK" w:eastAsia="方正楷体_GBK" w:cs="方正楷体_GBK"/>
          <w:b/>
          <w:bCs/>
          <w:color w:val="auto"/>
          <w:sz w:val="32"/>
          <w:szCs w:val="32"/>
          <w:highlight w:val="none"/>
          <w:lang w:val="en-US" w:eastAsia="zh-CN"/>
        </w:rPr>
        <w:t>（一）项目决策分析</w:t>
      </w:r>
      <w:bookmarkEnd w:id="62"/>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63" w:name="_Toc27861"/>
      <w:r>
        <w:rPr>
          <w:rFonts w:hint="eastAsia" w:ascii="仿宋_GB2312" w:hAnsi="仿宋_GB2312" w:eastAsia="仿宋_GB2312" w:cs="仿宋_GB2312"/>
          <w:b/>
          <w:bCs w:val="0"/>
          <w:color w:val="auto"/>
          <w:sz w:val="32"/>
          <w:szCs w:val="32"/>
          <w:highlight w:val="none"/>
        </w:rPr>
        <w:t>1.</w:t>
      </w:r>
      <w:r>
        <w:rPr>
          <w:rFonts w:hint="eastAsia" w:ascii="仿宋_GB2312" w:hAnsi="仿宋_GB2312" w:eastAsia="仿宋_GB2312" w:cs="仿宋_GB2312"/>
          <w:b/>
          <w:bCs w:val="0"/>
          <w:color w:val="auto"/>
          <w:sz w:val="32"/>
          <w:szCs w:val="32"/>
          <w:highlight w:val="none"/>
          <w:lang w:val="en-US" w:eastAsia="zh-CN"/>
        </w:rPr>
        <w:t>项目立项情况</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（1）立项依据的充分性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该项目依据《疏附县塔什米里克乡7村村组道路建设项目的启动通知书》、《关于疏附县塔什米里克乡7村村组道路建设项目立项的复函》、《疏附县塔什米里克乡7村村组道路建设项目的实施方案》等文件立项，项目立项符合国家法律法规、国民经济发展规划和相关政策； 该项目遵循财政部《项目支出绩效评价管理办法》和自治区财政厅《自治区财政支出绩效评价管理暂行办法》等相关政策文件与规定，对疏附县塔什米里克乡7村村组道路建设项目进行公示公开，入户核实，确定受益对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该项目立项依据符合《自治区党委自治区人民政府关于全面实施预算绩效管理的实施意见》、《自治区全面实施预算绩效管理的工作方案》、《关于印发〈自治区财政支出绩效评价管理暂行办法〉的通知》、《财政部关于印发&lt;项目支出绩效评价管理办法&gt;》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该项目立项与部门职责范围相符，属于部门履职所需；与疏附县塔什米里克乡人民政府“加强农村社会主义民主政治和法制建设，依法行政，坚持完善人民代表大会制度；加快农村经济发展。制定和组织实施经济、科技和社会发展计划，制定资源开发、产业结构调整方案，落实强农惠农措施，培育主导产业和市场体系，抓好招商引资，保护各种经济组织的合法权益，组织经济运行，促进经济发展；制定并组织实施乡、村建设规划，部署工程建设，地方道路建设及公共设施，水利设施的管理，负责土地、林木、水等自然资源和生态环境的保护，做好护林防火工作”的职能一致。其职能职责为贯彻执行国家有关工作的法规、方针和政策；负责本次项目工作事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④项目属于公共财政支持范围，符合中央、地方事权支出责任划分原则；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⑤项目未与相关部门同类项目或部门内部相关项目重复。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总之，该项目立项依据充分，相关总体要求，项目申报、批复程序符合相关管理办法并围绕疏附县年度工作和工作计划制定经费预算。</w:t>
      </w:r>
      <w:r>
        <w:rPr>
          <w:rFonts w:hint="eastAsia" w:ascii="仿宋_GB2312" w:hAnsi="仿宋_GB2312" w:eastAsia="仿宋_GB2312" w:cs="仿宋_GB2312"/>
          <w:color w:val="000000"/>
          <w:sz w:val="32"/>
          <w:szCs w:val="32"/>
          <w:lang w:val="en-US" w:eastAsia="zh-CN"/>
        </w:rPr>
        <w:t xml:space="preserve">根据评分标准，该指标分值为5分，实际得分5分。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（2）立项程序规范性</w:t>
      </w:r>
    </w:p>
    <w:bookmarkEnd w:id="63"/>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依据情况：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疏附县塔什米里克乡7村村组道路建设项目的实施方案》，由疏附县塔什米里克乡人民政府对该项目进行立项申请，取得发改委批复后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决策程序情况：通过对项目前期工作进行调研和对项目可行性进行研究分析，并结合项目实施方案，成立了项目管理领导小组，对项目加强管理。由戴田博（疏附县塔什米里克乡人民政府常务）任组长，加强疏附县塔什米里克乡7村村组道路建设项目管理工作的组织领导，并将疏附县塔什米里克乡7村村组道路建设项目作为疏附县塔什米里克乡人民政府考评和绩效考核工作的重要内容。该项目属于基建类项目，由疏附县塔什米里克乡人民政府自行实施，实施过程均按照本单位制定的管理制度执行。该项目按照规定的程序申请设立，审批文件、材料符合相关要求，项目决策程序比较规范。</w:t>
      </w:r>
      <w:r>
        <w:rPr>
          <w:rFonts w:hint="eastAsia" w:ascii="仿宋_GB2312" w:hAnsi="仿宋_GB2312" w:eastAsia="仿宋_GB2312" w:cs="仿宋_GB2312"/>
          <w:color w:val="000000"/>
          <w:sz w:val="32"/>
          <w:szCs w:val="32"/>
          <w:lang w:val="en-US" w:eastAsia="zh-CN"/>
        </w:rPr>
        <w:t xml:space="preserve">根据评分标准，该指标分值为3分，实际得分3分。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2.绩效目标设立情况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绩效目标合理性：项目已设定绩效目标；项目设定一级指标3个，二级指标7个，三级指标10个。项目绩效目标与实际工作内容具有相关性;项目预期产出效益和效果符合正常的业绩水平；与预算确定的项目投资额或资金量相匹配并明确了总体思路及目标、对任务进行了详细分解，对目标进行了细化。</w:t>
      </w:r>
      <w:r>
        <w:rPr>
          <w:rFonts w:hint="eastAsia" w:ascii="仿宋_GB2312" w:hAnsi="仿宋_GB2312" w:eastAsia="仿宋_GB2312" w:cs="仿宋_GB2312"/>
          <w:color w:val="000000"/>
          <w:sz w:val="32"/>
          <w:szCs w:val="32"/>
          <w:lang w:val="en-US" w:eastAsia="zh-CN"/>
        </w:rPr>
        <w:t xml:space="preserve">根据评分标准，该指标分值为3分，实际得分3分。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绩效指标明确性：项目实施有明确的年度目标，且将绩效目标细化为一级指标3个，二级指标7个，三级指标10个。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数量指标：已脱贫村新建改建公路里程1.5公里；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质量指标：项目（工程）验收合格率 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时效指标：项目开始时间2022年10月，项目完工时间2022年11月；资金拨付及时率100%；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成本指标：道路补助标准40万元/公里；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社会效益指标：受益已脱贫人口数1000人，受益已脱贫户户数30户；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可持续影响指标：工程设计使用年限8年；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服务对象满意度指标：受益已脱贫人口满意度95%。</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②绩效指标通过清晰、可衡量的指标值予以体现；通过指标设定数与实际完成数对比，指标均已完成。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③与项目目标任务数或计划数相对应,绩效指标明确；总之，绩效指标的内涵明确、具体、可衡量。所设立的绩效指标可以考核并能够指导具体业务工作。指标与评价对象密切相关，全面反映项目决策、项目和资金管理、产出和效益的核心指标，绩效目标设立符合相关政策要求和单位工作计划，明确了项目产出数量和预期达到的效果。整体来看，绩效目标设立比较明确。</w:t>
      </w:r>
      <w:r>
        <w:rPr>
          <w:rFonts w:hint="eastAsia" w:ascii="仿宋_GB2312" w:hAnsi="仿宋_GB2312" w:eastAsia="仿宋_GB2312" w:cs="仿宋_GB2312"/>
          <w:color w:val="000000"/>
          <w:sz w:val="32"/>
          <w:szCs w:val="32"/>
          <w:lang w:val="en-US" w:eastAsia="zh-CN"/>
        </w:rPr>
        <w:t xml:space="preserve">根据评分标准，该指标分值为2分，实际得分2分。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3.资金投入情况</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（1）预算编制科学性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该项目预算资金为60.00万元，项目预算内容与项目内容相匹配，项目预算编制是经过科学论证、有明确标准，资金额度与年度目标相适应。</w:t>
      </w:r>
      <w:r>
        <w:rPr>
          <w:rFonts w:hint="eastAsia" w:ascii="仿宋_GB2312" w:hAnsi="仿宋_GB2312" w:eastAsia="仿宋_GB2312" w:cs="仿宋_GB2312"/>
          <w:color w:val="000000"/>
          <w:sz w:val="32"/>
          <w:szCs w:val="32"/>
          <w:lang w:val="en-US" w:eastAsia="zh-CN"/>
        </w:rPr>
        <w:t xml:space="preserve">根据评分标准，该指标分值为5分，实际得分5分。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 xml:space="preserve"> (2)资金分配合理性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该项目预算资金分配具有测算依据，分配额度合理，与补助单位或地方实际相适应，与工作任务相匹配，充分体现了资金分配的合理性。</w:t>
      </w:r>
      <w:r>
        <w:rPr>
          <w:rFonts w:hint="eastAsia" w:ascii="仿宋_GB2312" w:hAnsi="仿宋_GB2312" w:eastAsia="仿宋_GB2312" w:cs="仿宋_GB2312"/>
          <w:color w:val="000000"/>
          <w:sz w:val="32"/>
          <w:szCs w:val="32"/>
          <w:lang w:val="en-US" w:eastAsia="zh-CN"/>
        </w:rPr>
        <w:t xml:space="preserve">根据评分标准，该指标分值为2分，实际得分2分。  </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4" w:name="_Toc11990"/>
      <w:r>
        <w:rPr>
          <w:rFonts w:hint="eastAsia" w:ascii="方正楷体_GBK" w:hAnsi="方正楷体_GBK" w:eastAsia="方正楷体_GBK" w:cs="方正楷体_GBK"/>
          <w:b/>
          <w:bCs/>
          <w:color w:val="auto"/>
          <w:sz w:val="32"/>
          <w:szCs w:val="32"/>
          <w:highlight w:val="none"/>
          <w:lang w:val="en-US" w:eastAsia="zh-CN"/>
        </w:rPr>
        <w:t>（二）项目管理过程情况分析</w:t>
      </w:r>
      <w:bookmarkEnd w:id="64"/>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65" w:name="_Toc11398"/>
      <w:r>
        <w:rPr>
          <w:rFonts w:hint="eastAsia" w:ascii="仿宋_GB2312" w:hAnsi="仿宋_GB2312" w:eastAsia="仿宋_GB2312" w:cs="仿宋_GB2312"/>
          <w:b/>
          <w:bCs w:val="0"/>
          <w:color w:val="auto"/>
          <w:sz w:val="32"/>
          <w:szCs w:val="32"/>
          <w:highlight w:val="none"/>
          <w:lang w:val="en-US" w:eastAsia="zh-CN"/>
        </w:rPr>
        <w:t>1.项目资金</w:t>
      </w:r>
      <w:bookmarkEnd w:id="65"/>
      <w:r>
        <w:rPr>
          <w:rFonts w:hint="eastAsia" w:ascii="仿宋_GB2312" w:hAnsi="仿宋_GB2312" w:eastAsia="仿宋_GB2312" w:cs="仿宋_GB2312"/>
          <w:b/>
          <w:bCs w:val="0"/>
          <w:color w:val="auto"/>
          <w:sz w:val="32"/>
          <w:szCs w:val="32"/>
          <w:highlight w:val="none"/>
          <w:lang w:val="en-US" w:eastAsia="zh-CN"/>
        </w:rPr>
        <w:t>情况</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该项目预算安排总额为60.00万元，项目资金来源为：中央财政衔接推进乡村振兴补助资金:，到位资金60.00万元，资金到位率100%。</w:t>
      </w:r>
      <w:r>
        <w:rPr>
          <w:rFonts w:hint="eastAsia" w:ascii="仿宋_GB2312" w:hAnsi="仿宋_GB2312" w:eastAsia="仿宋_GB2312" w:cs="仿宋_GB2312"/>
          <w:color w:val="000000"/>
          <w:sz w:val="32"/>
          <w:szCs w:val="32"/>
          <w:lang w:val="en-US" w:eastAsia="zh-CN"/>
        </w:rPr>
        <w:t xml:space="preserve">根据评分标准，该指标分值为2分，实际得分2分。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（2）预算管理情况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该项目预算资金60.00万元，实际支出60.00万元，预算执行率100%，预算执行与预算编制基本一致。</w:t>
      </w:r>
      <w:r>
        <w:rPr>
          <w:rFonts w:hint="eastAsia" w:ascii="仿宋_GB2312" w:hAnsi="仿宋_GB2312" w:eastAsia="仿宋_GB2312" w:cs="仿宋_GB2312"/>
          <w:color w:val="000000"/>
          <w:sz w:val="32"/>
          <w:szCs w:val="32"/>
          <w:lang w:val="en-US" w:eastAsia="zh-CN"/>
        </w:rPr>
        <w:t xml:space="preserve">根据评分标准，该指标分值为5分，实际得分5分。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(3)资金使用合规性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该项目由疏附县塔什米里克乡人民政府主管并具体负责实施。</w:t>
      </w:r>
      <w:r>
        <w:rPr>
          <w:rFonts w:hint="eastAsia" w:ascii="仿宋_GB2312" w:hAnsi="仿宋_GB2312" w:eastAsia="仿宋_GB2312" w:cs="仿宋_GB2312"/>
          <w:sz w:val="32"/>
          <w:szCs w:val="32"/>
          <w:highlight w:val="none"/>
          <w:lang w:val="en-US" w:eastAsia="zh-CN"/>
        </w:rPr>
        <w:t>项目资金使用严格按照据《中央财政衔接推进乡村振兴补助资金管理办法》及《新疆维吾尔自治区财政衔接推进乡村振兴补助资金管理办法》</w:t>
      </w:r>
      <w:r>
        <w:rPr>
          <w:rFonts w:hint="eastAsia" w:ascii="仿宋_GB2312" w:hAnsi="仿宋_GB2312" w:eastAsia="仿宋_GB2312" w:cs="仿宋_GB2312"/>
          <w:color w:val="auto"/>
          <w:kern w:val="2"/>
          <w:sz w:val="32"/>
          <w:szCs w:val="32"/>
          <w:highlight w:val="none"/>
          <w:lang w:val="en-US" w:eastAsia="zh-CN" w:bidi="ar-SA"/>
        </w:rPr>
        <w:t>等文件要求实施。</w:t>
      </w:r>
      <w:r>
        <w:rPr>
          <w:rFonts w:hint="eastAsia" w:ascii="仿宋_GB2312" w:hAnsi="仿宋_GB2312" w:eastAsia="仿宋_GB2312" w:cs="仿宋_GB2312"/>
          <w:color w:val="auto"/>
          <w:sz w:val="32"/>
          <w:szCs w:val="32"/>
          <w:highlight w:val="none"/>
          <w:lang w:val="en-US" w:eastAsia="zh-CN"/>
        </w:rPr>
        <w:t>确保项目实施单位的资金预算申请、资金执行、资金调整、监督检查、验收等过程在相关制度和流程的有效监督项目执行进度拨付项目款，资金支付由分管县委领导、主管管控之下，该单位根据项目执行进度拨付项目款，资金支付由分管县委领导、主管财务县委领导、财政局及县乡村振兴局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w:t>
      </w:r>
      <w:r>
        <w:rPr>
          <w:rFonts w:hint="eastAsia" w:ascii="仿宋_GB2312" w:hAnsi="仿宋_GB2312" w:eastAsia="仿宋_GB2312" w:cs="仿宋_GB2312"/>
          <w:color w:val="000000"/>
          <w:sz w:val="32"/>
          <w:szCs w:val="32"/>
          <w:lang w:val="en-US" w:eastAsia="zh-CN"/>
        </w:rPr>
        <w:t xml:space="preserve">根据评分标准，该指标分值为5分，实际得分5分。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2.组织实施情况</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根据《中华人民共和国预算法》、《自治区党委自治区人民政府关于全面实施预算绩效管理的实施意见》、《自治区全面实施预算绩效管理的工作方案》和《关于印发〈自治区财政支出绩效评价管理暂行办法〉的通知》等相关文件，预算资金指定专人管理。同时要建立健全内部财务管理制度，制定了《疏附县塔什米里克乡7村村组道路建设项目实施方案》，加强会计日常核算和监督，加强资金的预算、控制、分析和检查工作，但疏附县塔什米里克乡人民政府未专门制定该项目资金管理办法及相应的财务和业务管理制度，</w:t>
      </w:r>
      <w:r>
        <w:rPr>
          <w:rFonts w:hint="eastAsia" w:ascii="仿宋_GB2312" w:hAnsi="仿宋_GB2312" w:eastAsia="仿宋_GB2312" w:cs="仿宋_GB2312"/>
          <w:color w:val="000000"/>
          <w:sz w:val="32"/>
          <w:szCs w:val="32"/>
          <w:lang w:val="en-US" w:eastAsia="zh-CN"/>
        </w:rPr>
        <w:t xml:space="preserve">根据评分标准，该指标分值为4分，实际得分2分。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管理依据《中华人民共和国预算法》、新疆维吾尔自治区财政厅下发的《自治区党委自治区人民政府关于全面实施预算绩效管理的实施意见》、《自治区全面实施预算绩效管理的工作方案》和《项目支出绩效评价管理办法》、关于印发《自治区财政支出绩效评价管理暂行办法》的通知、《关于转发&lt;中共中央国务院关于实现巩固拓展脱贫攻坚成果同乡村振兴有效衔接的意见&gt;的通知》、《关于印发&lt;新疆维吾尔自治区财政资金衔接推进乡村振兴补助资金（巩固拓展脱贫攻坚成果和乡村振兴任务）项目管理办法（暂行）&gt;的通知》等相关文件要求,</w:t>
      </w:r>
      <w:r>
        <w:rPr>
          <w:rFonts w:hint="eastAsia" w:ascii="仿宋_GB2312" w:hAnsi="仿宋_GB2312" w:eastAsia="仿宋_GB2312" w:cs="仿宋_GB2312"/>
          <w:b/>
          <w:bCs/>
          <w:color w:val="auto"/>
          <w:sz w:val="32"/>
          <w:szCs w:val="32"/>
          <w:highlight w:val="none"/>
          <w:lang w:val="en-US" w:eastAsia="zh-CN"/>
        </w:rPr>
        <w:t>一是</w:t>
      </w:r>
      <w:r>
        <w:rPr>
          <w:rFonts w:hint="eastAsia" w:ascii="仿宋_GB2312" w:hAnsi="仿宋_GB2312" w:eastAsia="仿宋_GB2312" w:cs="仿宋_GB2312"/>
          <w:color w:val="auto"/>
          <w:sz w:val="32"/>
          <w:szCs w:val="32"/>
          <w:highlight w:val="none"/>
          <w:lang w:val="en-US" w:eastAsia="zh-CN"/>
        </w:rPr>
        <w:t>采取现场调研的方式，对疏附县塔什米里克乡7村村组道路建设项目资金管理工作进行监督检查。对资金执行及项目实施情况进行监督，及时对发现的问题进行反馈，督促指导项目运行管理，确保项目的高效运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color w:val="auto"/>
          <w:sz w:val="32"/>
          <w:szCs w:val="32"/>
          <w:highlight w:val="none"/>
          <w:lang w:val="en-US" w:eastAsia="zh-CN"/>
        </w:rPr>
        <w:t>为加快推进该项目的实施，该单位成立疏附县塔什米里克乡7村村组道路建设项目管理领导小组，负责对项目建设、组织协调、运转服务，研究解决项目实施中的困难和问题，创造良好的项目实施环境。领导小组成员名单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组长：戴田博（疏附县塔什米里克乡人民政府常务副乡长）负责建立健全工作机制，组织、协调项目实施过程相关管理工作，对项目实施全过程进行管控；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副组长：徐嫣侠（疏附县塔什米里克乡人民政府副乡长）负责保障项目的有效运行、对项目实施全过程进行有效监督，掌握项目的具体实施进度；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员：杨建宇（疏附县塔什米里克乡人民政府干部）负责对制定实施方案，精心制定计划，工程项目进行管理，具体为对工程的委托实施、工程建设、竣工验收的管理工作；同时负责资金的拨付、建立真实、完整、规范的档案，参与项目实施验收等工作，该项目组织机构健全，分工明确，责任清晰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b w:val="0"/>
          <w:bCs w:val="0"/>
          <w:color w:val="auto"/>
          <w:sz w:val="32"/>
          <w:szCs w:val="32"/>
          <w:highlight w:val="none"/>
          <w:lang w:val="en-US" w:eastAsia="zh-CN"/>
        </w:rPr>
        <w:t>三是</w:t>
      </w:r>
      <w:r>
        <w:rPr>
          <w:rFonts w:hint="eastAsia" w:ascii="仿宋_GB2312" w:hAnsi="仿宋_GB2312" w:eastAsia="仿宋_GB2312" w:cs="仿宋_GB2312"/>
          <w:color w:val="auto"/>
          <w:sz w:val="32"/>
          <w:szCs w:val="32"/>
          <w:highlight w:val="none"/>
          <w:lang w:val="en-US" w:eastAsia="zh-CN"/>
        </w:rPr>
        <w:t>加强对项目资金的预算执行及日常监督管理，确保每个项目按照规定的用途实施。资金拨付坚持按项目、预算、进度、指定用途拨款，确保财政专项资金规范使用。项目实施过程中各级单位履行监管职能，各项制度执行有效。</w:t>
      </w:r>
      <w:r>
        <w:rPr>
          <w:rFonts w:hint="eastAsia" w:ascii="仿宋_GB2312" w:hAnsi="仿宋_GB2312" w:eastAsia="仿宋_GB2312" w:cs="仿宋_GB2312"/>
          <w:color w:val="000000"/>
          <w:sz w:val="32"/>
          <w:szCs w:val="32"/>
          <w:lang w:val="en-US" w:eastAsia="zh-CN"/>
        </w:rPr>
        <w:t xml:space="preserve">根据评分标准，该指标分值为4分，实际得分4分。  </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6" w:name="_Toc2152"/>
      <w:r>
        <w:rPr>
          <w:rFonts w:hint="eastAsia" w:ascii="方正楷体_GBK" w:hAnsi="方正楷体_GBK" w:eastAsia="方正楷体_GBK" w:cs="方正楷体_GBK"/>
          <w:b/>
          <w:bCs/>
          <w:color w:val="auto"/>
          <w:sz w:val="32"/>
          <w:szCs w:val="32"/>
          <w:highlight w:val="none"/>
          <w:lang w:val="en-US" w:eastAsia="zh-CN"/>
        </w:rPr>
        <w:t>（三）项目产出情况分析</w:t>
      </w:r>
      <w:bookmarkEnd w:id="66"/>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1.产出数量情况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截止绩效评价日，已完成建设1.5公里公路里程，数量指标已达成预期值。</w:t>
      </w:r>
      <w:r>
        <w:rPr>
          <w:rFonts w:hint="eastAsia" w:ascii="仿宋_GB2312" w:hAnsi="仿宋_GB2312" w:eastAsia="仿宋_GB2312" w:cs="仿宋_GB2312"/>
          <w:color w:val="000000"/>
          <w:sz w:val="32"/>
          <w:szCs w:val="32"/>
          <w:lang w:val="en-US" w:eastAsia="zh-CN"/>
        </w:rPr>
        <w:t xml:space="preserve">根据评分标准，该指标分值为8分，实际得分8分。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2.产出质量情况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截止绩效评价日，“项目验收合格率”指标预期值为100%，实际完成值为100%，与预期目标一致，质量指标已完成，完成率为100%。</w:t>
      </w:r>
      <w:r>
        <w:rPr>
          <w:rFonts w:hint="eastAsia" w:ascii="仿宋_GB2312" w:hAnsi="仿宋_GB2312" w:eastAsia="仿宋_GB2312" w:cs="仿宋_GB2312"/>
          <w:color w:val="000000"/>
          <w:sz w:val="32"/>
          <w:szCs w:val="32"/>
          <w:lang w:val="en-US" w:eastAsia="zh-CN"/>
        </w:rPr>
        <w:t xml:space="preserve">根据评分标准，该指标分值为8分，实际得分8分。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3.产出时效情况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该项目开始时间为2022年10月，项目完成时间为2022年11月，资金拨付及时率为100%，与预期目标指标一致；时效指标已完成。</w:t>
      </w:r>
      <w:r>
        <w:rPr>
          <w:rFonts w:hint="eastAsia" w:ascii="仿宋_GB2312" w:hAnsi="仿宋_GB2312" w:eastAsia="仿宋_GB2312" w:cs="仿宋_GB2312"/>
          <w:color w:val="000000"/>
          <w:sz w:val="32"/>
          <w:szCs w:val="32"/>
          <w:lang w:val="en-US" w:eastAsia="zh-CN"/>
        </w:rPr>
        <w:t xml:space="preserve">根据评分标准，该指标分值为6分，实际得分6分。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4.产出成本情况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疏附县塔什米里克乡7村村组道路建设项目道路补助标准40万元/公里，项目预算资金60.00万元，截止绩效评价日，已支付60.00万元，该项目补助经费已控制在绩效目标预算范围之内。</w:t>
      </w:r>
      <w:r>
        <w:rPr>
          <w:rFonts w:hint="eastAsia" w:ascii="仿宋_GB2312" w:hAnsi="仿宋_GB2312" w:eastAsia="仿宋_GB2312" w:cs="仿宋_GB2312"/>
          <w:color w:val="000000"/>
          <w:sz w:val="32"/>
          <w:szCs w:val="32"/>
          <w:lang w:val="en-US" w:eastAsia="zh-CN"/>
        </w:rPr>
        <w:t xml:space="preserve">根据评分标准，该指标分值为8分，实际得分8分。  </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7" w:name="_Toc20320"/>
      <w:r>
        <w:rPr>
          <w:rFonts w:hint="eastAsia" w:ascii="方正楷体_GBK" w:hAnsi="方正楷体_GBK" w:eastAsia="方正楷体_GBK" w:cs="方正楷体_GBK"/>
          <w:b/>
          <w:bCs/>
          <w:color w:val="auto"/>
          <w:sz w:val="32"/>
          <w:szCs w:val="32"/>
          <w:highlight w:val="none"/>
          <w:lang w:val="en-US" w:eastAsia="zh-CN"/>
        </w:rPr>
        <w:t>（四）项目效益评价分析</w:t>
      </w:r>
      <w:bookmarkEnd w:id="67"/>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1.经济效益情况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该项目不涉及经济效益指标。</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2.社会效益情况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实施后受益已脱贫人口数达到了1000人，受益已脱贫户户数达到了30户，完善了城市道路网格局，优化了路网结构，提高整个路网的通行能力，改善了区域间的交通便利性。交通区区域经济增长潜力的位的改善确定了变化，经济增长潜力最终诱使经济增长。明显改善了巩固脱贫村村民出行条件。</w:t>
      </w:r>
      <w:r>
        <w:rPr>
          <w:rFonts w:hint="eastAsia" w:ascii="仿宋_GB2312" w:hAnsi="仿宋_GB2312" w:eastAsia="仿宋_GB2312" w:cs="仿宋_GB2312"/>
          <w:color w:val="000000"/>
          <w:sz w:val="32"/>
          <w:szCs w:val="32"/>
          <w:lang w:val="en-US" w:eastAsia="zh-CN"/>
        </w:rPr>
        <w:t xml:space="preserve">根据评分标准，该指标分值为10分，实际得分10分。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3.生态效益指标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4.可持续影响情况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“工程设计使用年限”指标预期值大于等于8年，实际完成值为8年。</w:t>
      </w:r>
      <w:r>
        <w:rPr>
          <w:rFonts w:hint="eastAsia" w:ascii="仿宋_GB2312" w:hAnsi="仿宋_GB2312" w:eastAsia="仿宋_GB2312" w:cs="仿宋_GB2312"/>
          <w:color w:val="000000"/>
          <w:sz w:val="32"/>
          <w:szCs w:val="32"/>
          <w:lang w:val="en-US" w:eastAsia="zh-CN"/>
        </w:rPr>
        <w:t xml:space="preserve">根据评分标准，该指标分值为10分，实际得分10分。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5.服务对象满意度情况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通过走访受益对象，发放调查问卷一共100份，回收有效问卷共计100份，按照调查问卷来看，受益已脱贫人口满意度程度达到了95%。</w:t>
      </w:r>
      <w:r>
        <w:rPr>
          <w:rFonts w:hint="eastAsia" w:ascii="仿宋_GB2312" w:hAnsi="仿宋_GB2312" w:eastAsia="仿宋_GB2312" w:cs="仿宋_GB2312"/>
          <w:color w:val="000000"/>
          <w:sz w:val="32"/>
          <w:szCs w:val="32"/>
          <w:lang w:val="en-US" w:eastAsia="zh-CN"/>
        </w:rPr>
        <w:t xml:space="preserve">根据评分标准，该指标分值为10分，实际得分10分。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68" w:name="_Toc2143"/>
      <w:r>
        <w:rPr>
          <w:rFonts w:hint="eastAsia" w:ascii="方正黑体_GBK" w:hAnsi="方正黑体_GBK" w:eastAsia="方正黑体_GBK" w:cs="方正黑体_GBK"/>
          <w:color w:val="auto"/>
          <w:sz w:val="32"/>
          <w:szCs w:val="32"/>
          <w:highlight w:val="none"/>
          <w:lang w:val="en-US" w:eastAsia="zh-CN"/>
        </w:rPr>
        <w:t>四、</w:t>
      </w:r>
      <w:r>
        <w:rPr>
          <w:rFonts w:hint="eastAsia" w:ascii="方正黑体_GBK" w:hAnsi="方正黑体_GBK" w:eastAsia="方正黑体_GBK" w:cs="方正黑体_GBK"/>
          <w:color w:val="auto"/>
          <w:sz w:val="32"/>
          <w:szCs w:val="32"/>
          <w:highlight w:val="none"/>
        </w:rPr>
        <w:t>评价结论</w:t>
      </w:r>
      <w:bookmarkEnd w:id="68"/>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9" w:name="_Toc22749"/>
      <w:r>
        <w:rPr>
          <w:rFonts w:hint="eastAsia" w:ascii="方正楷体_GBK" w:hAnsi="方正楷体_GBK" w:eastAsia="方正楷体_GBK" w:cs="方正楷体_GBK"/>
          <w:b/>
          <w:bCs/>
          <w:color w:val="auto"/>
          <w:sz w:val="32"/>
          <w:szCs w:val="32"/>
          <w:highlight w:val="none"/>
          <w:lang w:val="en-US" w:eastAsia="zh-CN"/>
        </w:rPr>
        <w:t>（一）评分结果</w:t>
      </w:r>
      <w:bookmarkEnd w:id="6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经综合评价，项目得分为98分，评价等级为优，一级指标各项得分情况见下表：</w:t>
      </w:r>
    </w:p>
    <w:p>
      <w:pPr>
        <w:pStyle w:val="39"/>
        <w:rPr>
          <w:rFonts w:ascii="Times New Roman" w:hAnsi="Times New Roman" w:eastAsia="仿宋_GB2312"/>
          <w:color w:val="auto"/>
          <w:highlight w:val="none"/>
        </w:rPr>
      </w:pPr>
      <w:r>
        <w:rPr>
          <w:rFonts w:hint="eastAsia" w:ascii="Times New Roman" w:hAnsi="Times New Roman" w:eastAsia="仿宋_GB2312"/>
          <w:color w:val="auto"/>
          <w:highlight w:val="none"/>
          <w:lang w:eastAsia="zh-CN"/>
        </w:rPr>
        <w:t>202</w:t>
      </w:r>
      <w:r>
        <w:rPr>
          <w:rFonts w:hint="eastAsia"/>
          <w:color w:val="auto"/>
          <w:highlight w:val="none"/>
          <w:lang w:val="en-US" w:eastAsia="zh-CN"/>
        </w:rPr>
        <w:t>2</w:t>
      </w:r>
      <w:r>
        <w:rPr>
          <w:rFonts w:hint="eastAsia" w:ascii="Times New Roman" w:hAnsi="Times New Roman" w:eastAsia="仿宋_GB2312"/>
          <w:color w:val="auto"/>
          <w:highlight w:val="none"/>
        </w:rPr>
        <w:t>年度该项目绩效评价</w:t>
      </w:r>
      <w:r>
        <w:rPr>
          <w:rFonts w:ascii="Times New Roman" w:hAnsi="Times New Roman" w:eastAsia="仿宋_GB2312"/>
          <w:color w:val="auto"/>
          <w:highlight w:val="none"/>
        </w:rPr>
        <w:t>得分情况表</w:t>
      </w:r>
    </w:p>
    <w:tbl>
      <w:tblPr>
        <w:tblStyle w:val="19"/>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543"/>
        <w:gridCol w:w="1413"/>
        <w:gridCol w:w="1152"/>
        <w:gridCol w:w="1290"/>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2" w:hRule="atLeast"/>
          <w:jc w:val="center"/>
        </w:trPr>
        <w:tc>
          <w:tcPr>
            <w:tcW w:w="1517" w:type="dxa"/>
            <w:tcBorders>
              <w:bottom w:val="single" w:color="auto" w:sz="4" w:space="0"/>
            </w:tcBorders>
            <w:shd w:val="clear" w:color="auto" w:fill="A6A6A6"/>
            <w:vAlign w:val="center"/>
          </w:tcPr>
          <w:p>
            <w:pPr>
              <w:pStyle w:val="39"/>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指标</w:t>
            </w:r>
          </w:p>
        </w:tc>
        <w:tc>
          <w:tcPr>
            <w:tcW w:w="1543" w:type="dxa"/>
            <w:tcBorders>
              <w:bottom w:val="single" w:color="auto" w:sz="4" w:space="0"/>
            </w:tcBorders>
            <w:shd w:val="clear" w:color="auto" w:fill="A6A6A6"/>
            <w:vAlign w:val="center"/>
          </w:tcPr>
          <w:p>
            <w:pPr>
              <w:pStyle w:val="39"/>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项目决策</w:t>
            </w:r>
          </w:p>
        </w:tc>
        <w:tc>
          <w:tcPr>
            <w:tcW w:w="1413" w:type="dxa"/>
            <w:tcBorders>
              <w:bottom w:val="single" w:color="auto" w:sz="4" w:space="0"/>
            </w:tcBorders>
            <w:shd w:val="clear" w:color="auto" w:fill="A6A6A6"/>
            <w:vAlign w:val="center"/>
          </w:tcPr>
          <w:p>
            <w:pPr>
              <w:pStyle w:val="39"/>
              <w:spacing w:line="240" w:lineRule="exact"/>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cs="仿宋"/>
                <w:color w:val="auto"/>
                <w:sz w:val="21"/>
                <w:szCs w:val="21"/>
                <w:highlight w:val="none"/>
                <w:lang w:val="en-US" w:eastAsia="zh-CN"/>
              </w:rPr>
              <w:t>过程</w:t>
            </w:r>
          </w:p>
        </w:tc>
        <w:tc>
          <w:tcPr>
            <w:tcW w:w="1152" w:type="dxa"/>
            <w:tcBorders>
              <w:bottom w:val="single" w:color="auto" w:sz="4" w:space="0"/>
            </w:tcBorders>
            <w:shd w:val="clear" w:color="auto" w:fill="A6A6A6"/>
            <w:vAlign w:val="center"/>
          </w:tcPr>
          <w:p>
            <w:pPr>
              <w:pStyle w:val="39"/>
              <w:spacing w:line="240" w:lineRule="exact"/>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val="en-US" w:eastAsia="zh-CN"/>
              </w:rPr>
              <w:t>项目产出</w:t>
            </w:r>
          </w:p>
        </w:tc>
        <w:tc>
          <w:tcPr>
            <w:tcW w:w="1290" w:type="dxa"/>
            <w:tcBorders>
              <w:bottom w:val="single" w:color="auto" w:sz="4" w:space="0"/>
            </w:tcBorders>
            <w:shd w:val="clear" w:color="auto" w:fill="A6A6A6"/>
            <w:vAlign w:val="center"/>
          </w:tcPr>
          <w:p>
            <w:pPr>
              <w:pStyle w:val="39"/>
              <w:spacing w:line="240" w:lineRule="exact"/>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ascii="Times New Roman" w:hAnsi="Times New Roman" w:eastAsia="仿宋_GB2312" w:cs="仿宋"/>
                <w:color w:val="auto"/>
                <w:sz w:val="21"/>
                <w:szCs w:val="21"/>
                <w:highlight w:val="none"/>
                <w:lang w:val="en-US" w:eastAsia="zh-CN"/>
              </w:rPr>
              <w:t>效益</w:t>
            </w:r>
          </w:p>
        </w:tc>
        <w:tc>
          <w:tcPr>
            <w:tcW w:w="1388" w:type="dxa"/>
            <w:tcBorders>
              <w:bottom w:val="single" w:color="auto" w:sz="4" w:space="0"/>
            </w:tcBorders>
            <w:shd w:val="clear" w:color="auto" w:fill="A6A6A6"/>
            <w:vAlign w:val="center"/>
          </w:tcPr>
          <w:p>
            <w:pPr>
              <w:pStyle w:val="39"/>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517" w:type="dxa"/>
            <w:vAlign w:val="center"/>
          </w:tcPr>
          <w:p>
            <w:pPr>
              <w:pStyle w:val="39"/>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权重</w:t>
            </w:r>
          </w:p>
        </w:tc>
        <w:tc>
          <w:tcPr>
            <w:tcW w:w="1543" w:type="dxa"/>
            <w:vAlign w:val="center"/>
          </w:tcPr>
          <w:p>
            <w:pPr>
              <w:pStyle w:val="39"/>
              <w:spacing w:line="240" w:lineRule="exact"/>
              <w:rPr>
                <w:rFonts w:hint="eastAsia" w:ascii="Times New Roman" w:hAnsi="Times New Roman" w:eastAsia="仿宋_GB2312" w:cs="仿宋"/>
                <w:b w:val="0"/>
                <w:color w:val="auto"/>
                <w:sz w:val="21"/>
                <w:szCs w:val="21"/>
                <w:highlight w:val="none"/>
                <w:lang w:eastAsia="zh-CN"/>
              </w:rPr>
            </w:pPr>
            <w:r>
              <w:rPr>
                <w:rFonts w:hint="eastAsia" w:ascii="Times New Roman" w:hAnsi="Times New Roman" w:eastAsia="仿宋_GB2312" w:cs="仿宋"/>
                <w:b w:val="0"/>
                <w:color w:val="auto"/>
                <w:sz w:val="21"/>
                <w:szCs w:val="21"/>
                <w:highlight w:val="none"/>
              </w:rPr>
              <w:t>2</w:t>
            </w:r>
            <w:r>
              <w:rPr>
                <w:rFonts w:hint="eastAsia" w:ascii="Times New Roman" w:hAnsi="Times New Roman" w:eastAsia="仿宋_GB2312" w:cs="仿宋"/>
                <w:b w:val="0"/>
                <w:color w:val="auto"/>
                <w:sz w:val="21"/>
                <w:szCs w:val="21"/>
                <w:highlight w:val="none"/>
                <w:lang w:val="en-US" w:eastAsia="zh-CN"/>
              </w:rPr>
              <w:t>0</w:t>
            </w:r>
          </w:p>
        </w:tc>
        <w:tc>
          <w:tcPr>
            <w:tcW w:w="1413" w:type="dxa"/>
            <w:vAlign w:val="center"/>
          </w:tcPr>
          <w:p>
            <w:pPr>
              <w:pStyle w:val="39"/>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152" w:type="dxa"/>
            <w:vAlign w:val="center"/>
          </w:tcPr>
          <w:p>
            <w:pPr>
              <w:pStyle w:val="39"/>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9"/>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9"/>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1517" w:type="dxa"/>
            <w:vAlign w:val="center"/>
          </w:tcPr>
          <w:p>
            <w:pPr>
              <w:pStyle w:val="39"/>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分值</w:t>
            </w:r>
          </w:p>
        </w:tc>
        <w:tc>
          <w:tcPr>
            <w:tcW w:w="1543" w:type="dxa"/>
            <w:vAlign w:val="center"/>
          </w:tcPr>
          <w:p>
            <w:pPr>
              <w:pStyle w:val="39"/>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413" w:type="dxa"/>
            <w:vAlign w:val="center"/>
          </w:tcPr>
          <w:p>
            <w:pPr>
              <w:pStyle w:val="39"/>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18</w:t>
            </w:r>
          </w:p>
        </w:tc>
        <w:tc>
          <w:tcPr>
            <w:tcW w:w="1152" w:type="dxa"/>
            <w:vAlign w:val="center"/>
          </w:tcPr>
          <w:p>
            <w:pPr>
              <w:pStyle w:val="39"/>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30</w:t>
            </w:r>
          </w:p>
        </w:tc>
        <w:tc>
          <w:tcPr>
            <w:tcW w:w="1290" w:type="dxa"/>
            <w:vAlign w:val="center"/>
          </w:tcPr>
          <w:p>
            <w:pPr>
              <w:pStyle w:val="39"/>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30</w:t>
            </w:r>
          </w:p>
        </w:tc>
        <w:tc>
          <w:tcPr>
            <w:tcW w:w="1388" w:type="dxa"/>
            <w:vAlign w:val="center"/>
          </w:tcPr>
          <w:p>
            <w:pPr>
              <w:pStyle w:val="39"/>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jc w:val="center"/>
        </w:trPr>
        <w:tc>
          <w:tcPr>
            <w:tcW w:w="1517" w:type="dxa"/>
            <w:vAlign w:val="center"/>
          </w:tcPr>
          <w:p>
            <w:pPr>
              <w:pStyle w:val="39"/>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得分率</w:t>
            </w:r>
          </w:p>
        </w:tc>
        <w:tc>
          <w:tcPr>
            <w:tcW w:w="1543" w:type="dxa"/>
            <w:vAlign w:val="center"/>
          </w:tcPr>
          <w:p>
            <w:pPr>
              <w:pStyle w:val="39"/>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413" w:type="dxa"/>
            <w:vAlign w:val="center"/>
          </w:tcPr>
          <w:p>
            <w:pPr>
              <w:pStyle w:val="39"/>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90</w:t>
            </w:r>
            <w:r>
              <w:rPr>
                <w:rFonts w:hint="eastAsia" w:ascii="Times New Roman" w:hAnsi="Times New Roman" w:eastAsia="仿宋_GB2312" w:cs="仿宋"/>
                <w:b w:val="0"/>
                <w:color w:val="auto"/>
                <w:sz w:val="21"/>
                <w:szCs w:val="21"/>
                <w:highlight w:val="none"/>
              </w:rPr>
              <w:t>%</w:t>
            </w:r>
          </w:p>
        </w:tc>
        <w:tc>
          <w:tcPr>
            <w:tcW w:w="1152" w:type="dxa"/>
            <w:vAlign w:val="center"/>
          </w:tcPr>
          <w:p>
            <w:pPr>
              <w:pStyle w:val="39"/>
              <w:spacing w:line="240" w:lineRule="exact"/>
              <w:rPr>
                <w:rFonts w:hint="eastAsia"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290" w:type="dxa"/>
            <w:vAlign w:val="center"/>
          </w:tcPr>
          <w:p>
            <w:pPr>
              <w:pStyle w:val="39"/>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388" w:type="dxa"/>
            <w:vAlign w:val="center"/>
          </w:tcPr>
          <w:p>
            <w:pPr>
              <w:pStyle w:val="39"/>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98</w:t>
            </w:r>
            <w:r>
              <w:rPr>
                <w:rFonts w:hint="eastAsia" w:ascii="Times New Roman" w:hAnsi="Times New Roman" w:eastAsia="仿宋_GB2312" w:cs="仿宋"/>
                <w:b w:val="0"/>
                <w:color w:val="auto"/>
                <w:sz w:val="21"/>
                <w:szCs w:val="21"/>
                <w:highlight w:val="none"/>
              </w:rPr>
              <w:t>%</w:t>
            </w:r>
          </w:p>
        </w:tc>
      </w:tr>
    </w:tbl>
    <w:p>
      <w:pPr>
        <w:pStyle w:val="32"/>
        <w:numPr>
          <w:ilvl w:val="0"/>
          <w:numId w:val="3"/>
        </w:numPr>
        <w:adjustRightInd w:val="0"/>
        <w:snapToGrid w:val="0"/>
        <w:spacing w:line="560" w:lineRule="exact"/>
        <w:ind w:left="0" w:firstLine="643"/>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评价结论</w:t>
      </w:r>
    </w:p>
    <w:p>
      <w:pPr>
        <w:pStyle w:val="32"/>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0" w:name="_Toc5939"/>
      <w:r>
        <w:rPr>
          <w:rFonts w:hint="eastAsia" w:ascii="方正楷体_GBK" w:hAnsi="方正楷体_GBK" w:eastAsia="方正楷体_GBK" w:cs="方正楷体_GBK"/>
          <w:b/>
          <w:bCs/>
          <w:color w:val="auto"/>
          <w:sz w:val="32"/>
          <w:szCs w:val="32"/>
          <w:highlight w:val="none"/>
          <w:lang w:val="en-US" w:eastAsia="zh-CN"/>
        </w:rPr>
        <w:t>（二）综合分析评价</w:t>
      </w:r>
    </w:p>
    <w:p>
      <w:pPr>
        <w:pStyle w:val="3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是根据所收集的资料，结合现场勘查等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开展专家评审会，行业专家、第三方专家以及财政部门，邀请人大代表监督全过程，对报告提出整改意见和需修改完善的内容，评价工作组及时作出整改。五是征求</w:t>
      </w:r>
      <w:r>
        <w:rPr>
          <w:rFonts w:hint="eastAsia" w:ascii="仿宋_GB2312" w:hAnsi="仿宋_GB2312" w:eastAsia="仿宋_GB2312" w:cs="仿宋_GB2312"/>
          <w:color w:val="auto"/>
          <w:kern w:val="2"/>
          <w:sz w:val="32"/>
          <w:szCs w:val="32"/>
          <w:highlight w:val="none"/>
          <w:lang w:val="en-US" w:eastAsia="zh-CN" w:bidi="ar-SA"/>
        </w:rPr>
        <w:t>疏附</w:t>
      </w:r>
      <w:r>
        <w:rPr>
          <w:rFonts w:hint="default" w:ascii="仿宋_GB2312" w:hAnsi="仿宋_GB2312" w:eastAsia="仿宋_GB2312" w:cs="仿宋_GB2312"/>
          <w:color w:val="auto"/>
          <w:kern w:val="2"/>
          <w:sz w:val="32"/>
          <w:szCs w:val="32"/>
          <w:highlight w:val="none"/>
          <w:lang w:val="en-US" w:eastAsia="zh-CN" w:bidi="ar-SA"/>
        </w:rPr>
        <w:t>县财政局和项目实施单位的意见，并结合反馈意见形成正式报告。</w:t>
      </w:r>
    </w:p>
    <w:p>
      <w:pPr>
        <w:pStyle w:val="3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三</w:t>
      </w:r>
      <w:r>
        <w:rPr>
          <w:rFonts w:hint="eastAsia" w:ascii="方正楷体_GBK" w:hAnsi="方正楷体_GBK" w:eastAsia="方正楷体_GBK" w:cs="方正楷体_GBK"/>
          <w:b/>
          <w:bCs/>
          <w:color w:val="auto"/>
          <w:sz w:val="32"/>
          <w:szCs w:val="32"/>
          <w:highlight w:val="none"/>
        </w:rPr>
        <w:t>）项目总体评价结论</w:t>
      </w:r>
      <w:bookmarkEnd w:id="7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较规范，绩效目标合理，绩效指标明确，项目管理制度较健全，制度建设基本有效执行。项目预算资金60.00万元，到位资金60.00万元，资金到位率100%，实际支出60.00万元，预算资金执行率100%。资金使用程序较规范，能够做到专项资金专款专用，未发现截留、挤占、挪用、虚列支出等情况。项目实施后受益已脱贫人口数达到了1000人，明显改善了巩固脱贫村村民出行条件，受益已脱贫人口满意度达到了95%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lang w:val="en-US" w:eastAsia="zh-CN"/>
        </w:rPr>
      </w:pPr>
      <w:bookmarkStart w:id="71" w:name="_Toc13421"/>
      <w:r>
        <w:rPr>
          <w:rFonts w:hint="eastAsia" w:ascii="方正黑体_GBK" w:hAnsi="方正黑体_GBK" w:eastAsia="方正黑体_GBK" w:cs="方正黑体_GBK"/>
          <w:color w:val="auto"/>
          <w:sz w:val="32"/>
          <w:szCs w:val="32"/>
          <w:highlight w:val="none"/>
        </w:rPr>
        <w:t>五、建议的问题</w:t>
      </w:r>
      <w:bookmarkEnd w:id="71"/>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2" w:name="_Toc7518"/>
      <w:bookmarkStart w:id="73" w:name="_Toc14039"/>
      <w:r>
        <w:rPr>
          <w:rFonts w:hint="eastAsia" w:ascii="方正楷体_GBK" w:hAnsi="方正楷体_GBK" w:eastAsia="方正楷体_GBK" w:cs="方正楷体_GBK"/>
          <w:b/>
          <w:bCs/>
          <w:color w:val="auto"/>
          <w:sz w:val="32"/>
          <w:szCs w:val="32"/>
          <w:highlight w:val="none"/>
          <w:lang w:val="en-US" w:eastAsia="zh-CN"/>
        </w:rPr>
        <w:t>（一）问题</w:t>
      </w:r>
      <w:bookmarkEnd w:id="72"/>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bookmarkStart w:id="74" w:name="_Toc23475"/>
      <w:r>
        <w:rPr>
          <w:rFonts w:hint="eastAsia" w:ascii="仿宋_GB2312" w:hAnsi="仿宋_GB2312" w:eastAsia="仿宋_GB2312" w:cs="仿宋_GB2312"/>
          <w:color w:val="auto"/>
          <w:sz w:val="32"/>
          <w:szCs w:val="32"/>
          <w:highlight w:val="none"/>
          <w:lang w:val="en-US" w:eastAsia="zh-CN"/>
        </w:rPr>
        <w:t>未制定相应的财务和业务管理制度。</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rPr>
        <w:t>）意见和建议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建议加强财务管理，健全单位财务管理制度体系，规范项目资金管理；在费用报账支付时按照预算规定的费用项目和用途进行资金使用审核，严格按照自治区，地区下达的资金管理办法制定项目资金管理办法。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六、主要经验及做法</w:t>
      </w:r>
      <w:bookmarkEnd w:id="73"/>
      <w:bookmarkEnd w:id="74"/>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5" w:name="_Toc25465"/>
      <w:bookmarkStart w:id="76" w:name="_Toc5477"/>
      <w:bookmarkStart w:id="77" w:name="_Toc16919"/>
      <w:r>
        <w:rPr>
          <w:rFonts w:hint="eastAsia" w:ascii="方正楷体_GBK" w:hAnsi="方正楷体_GBK" w:eastAsia="方正楷体_GBK" w:cs="方正楷体_GBK"/>
          <w:b/>
          <w:bCs/>
          <w:color w:val="auto"/>
          <w:sz w:val="32"/>
          <w:szCs w:val="32"/>
          <w:highlight w:val="none"/>
          <w:lang w:val="en-US" w:eastAsia="zh-CN"/>
        </w:rPr>
        <w:t>（一）项目实施过程有效</w:t>
      </w:r>
      <w:bookmarkEnd w:id="75"/>
      <w:bookmarkEnd w:id="76"/>
      <w:r>
        <w:rPr>
          <w:rFonts w:hint="eastAsia" w:ascii="方正楷体_GBK" w:hAnsi="方正楷体_GBK" w:eastAsia="方正楷体_GBK" w:cs="方正楷体_GBK"/>
          <w:b/>
          <w:bCs/>
          <w:color w:val="auto"/>
          <w:sz w:val="32"/>
          <w:szCs w:val="32"/>
          <w:highlight w:val="none"/>
          <w:lang w:val="en-US" w:eastAsia="zh-CN"/>
        </w:rPr>
        <w:t>监督</w:t>
      </w:r>
      <w:bookmarkStart w:id="112" w:name="_GoBack"/>
      <w:bookmarkEnd w:id="11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78" w:name="_Toc191"/>
      <w:r>
        <w:rPr>
          <w:rFonts w:hint="eastAsia" w:ascii="仿宋_GB2312" w:hAnsi="仿宋_GB2312" w:eastAsia="仿宋_GB2312" w:cs="仿宋_GB2312"/>
          <w:color w:val="auto"/>
          <w:sz w:val="32"/>
          <w:szCs w:val="32"/>
          <w:highlight w:val="none"/>
          <w:lang w:val="en-US" w:eastAsia="zh-CN"/>
        </w:rPr>
        <w:t>疏附县财政局针对项目实施全过程进行绩效管理；根据专项资金管理工作，于5月、8月对该项目开展绩效工作，实行项目预算执行率与工作完成进度双监督，并全面把握资金使用效率和项目实施开展进度，督促相关责任人按期保质完成工作。</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9" w:name="_Toc15132"/>
      <w:r>
        <w:rPr>
          <w:rFonts w:hint="eastAsia" w:ascii="方正楷体_GBK" w:hAnsi="方正楷体_GBK" w:eastAsia="方正楷体_GBK" w:cs="方正楷体_GBK"/>
          <w:b/>
          <w:bCs/>
          <w:color w:val="auto"/>
          <w:sz w:val="32"/>
          <w:szCs w:val="32"/>
          <w:highlight w:val="none"/>
          <w:lang w:val="en-US" w:eastAsia="zh-CN"/>
        </w:rPr>
        <w:t>（二）强化领导，明确职责，合理安排使用资金</w:t>
      </w:r>
      <w:bookmarkEnd w:id="78"/>
      <w:bookmarkEnd w:id="79"/>
    </w:p>
    <w:bookmarkEnd w:id="77"/>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80" w:name="_Toc30107"/>
      <w:bookmarkStart w:id="81" w:name="_Toc24288"/>
      <w:bookmarkStart w:id="82" w:name="_Toc7837"/>
      <w:bookmarkStart w:id="83" w:name="_Toc14723"/>
      <w:bookmarkStart w:id="84" w:name="_Toc22725"/>
      <w:r>
        <w:rPr>
          <w:rFonts w:hint="eastAsia" w:ascii="仿宋_GB2312" w:hAnsi="仿宋_GB2312" w:eastAsia="仿宋_GB2312" w:cs="仿宋_GB2312"/>
          <w:color w:val="auto"/>
          <w:sz w:val="32"/>
          <w:szCs w:val="32"/>
          <w:highlight w:val="none"/>
          <w:lang w:val="en-US" w:eastAsia="zh-CN"/>
        </w:rPr>
        <w:t>疏附县塔什米里克乡人民政府按照财务管理制度，认真落实项目工作任务，资金安排、资金配套数额、项目监管制度等方面做出了相应的规定，并高度重视，提高政治站位，牢固树立“花钱必问效、无效必问责”的绩效理念，切实增强绩效管理工作的主动性、积极性，对项目资金进行监管，从而提高资金的效益。</w:t>
      </w:r>
    </w:p>
    <w:p>
      <w:pPr>
        <w:keepNext w:val="0"/>
        <w:keepLines w:val="0"/>
        <w:pageBreakBefore w:val="0"/>
        <w:widowControl w:val="0"/>
        <w:tabs>
          <w:tab w:val="left" w:pos="938"/>
        </w:tabs>
        <w:kinsoku/>
        <w:wordWrap/>
        <w:overflowPunct/>
        <w:topLinePunct w:val="0"/>
        <w:autoSpaceDE/>
        <w:autoSpaceDN/>
        <w:bidi w:val="0"/>
        <w:spacing w:line="560" w:lineRule="exact"/>
        <w:ind w:left="0" w:leftChars="0" w:firstLine="640" w:firstLineChars="200"/>
        <w:textAlignment w:val="auto"/>
        <w:outlineLvl w:val="0"/>
        <w:rPr>
          <w:rFonts w:hint="eastAsia" w:ascii="方正黑体_GBK" w:hAnsi="方正黑体_GBK" w:eastAsia="方正黑体_GBK" w:cs="方正黑体_GBK"/>
          <w:b w:val="0"/>
          <w:bCs w:val="0"/>
          <w:color w:val="auto"/>
          <w:sz w:val="32"/>
          <w:szCs w:val="32"/>
        </w:rPr>
      </w:pPr>
      <w:bookmarkStart w:id="85" w:name="_Toc25797"/>
      <w:r>
        <w:rPr>
          <w:rFonts w:hint="eastAsia" w:ascii="方正黑体_GBK" w:hAnsi="方正黑体_GBK" w:eastAsia="方正黑体_GBK" w:cs="方正黑体_GBK"/>
          <w:b w:val="0"/>
          <w:bCs w:val="0"/>
          <w:color w:val="auto"/>
          <w:sz w:val="32"/>
          <w:szCs w:val="32"/>
        </w:rPr>
        <w:t>七、评价结果应用建议</w:t>
      </w:r>
      <w:bookmarkEnd w:id="80"/>
      <w:bookmarkEnd w:id="85"/>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6" w:name="_Toc32090"/>
      <w:r>
        <w:rPr>
          <w:rFonts w:hint="eastAsia" w:ascii="方正楷体_GBK" w:hAnsi="方正楷体_GBK" w:eastAsia="方正楷体_GBK" w:cs="方正楷体_GBK"/>
          <w:b/>
          <w:bCs/>
          <w:color w:val="auto"/>
          <w:sz w:val="32"/>
          <w:szCs w:val="32"/>
          <w:highlight w:val="none"/>
          <w:lang w:val="en-US" w:eastAsia="zh-CN"/>
        </w:rPr>
        <w:t>（一）及时对发现的问题进行整改</w:t>
      </w:r>
      <w:bookmarkEnd w:id="81"/>
      <w:bookmarkEnd w:id="8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87" w:name="_Toc31513"/>
      <w:r>
        <w:rPr>
          <w:rFonts w:hint="eastAsia" w:ascii="仿宋_GB2312" w:hAnsi="仿宋_GB2312" w:eastAsia="仿宋_GB2312" w:cs="仿宋_GB2312"/>
          <w:color w:val="auto"/>
          <w:sz w:val="32"/>
          <w:szCs w:val="32"/>
          <w:highlight w:val="none"/>
          <w:lang w:val="en-US" w:eastAsia="zh-CN"/>
        </w:rPr>
        <w:t>在绩效管理工作中，针对绩效评价中发现的问题，建议项目管理单位进行梳理，对能够整改的问题及时进行整改，并将整改过程及佐证资料形成档案，提交财政局进行备案，不能整改的问题以后加强管理，切实提高财政资源配置效率和使用效益。</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8" w:name="_Toc30900"/>
      <w:r>
        <w:rPr>
          <w:rFonts w:hint="eastAsia" w:ascii="方正楷体_GBK" w:hAnsi="方正楷体_GBK" w:eastAsia="方正楷体_GBK" w:cs="方正楷体_GBK"/>
          <w:b/>
          <w:bCs/>
          <w:color w:val="auto"/>
          <w:sz w:val="32"/>
          <w:szCs w:val="32"/>
          <w:highlight w:val="none"/>
          <w:lang w:val="en-US" w:eastAsia="zh-CN"/>
        </w:rPr>
        <w:t>（二）建立绩效评价结果应用制度</w:t>
      </w:r>
      <w:bookmarkEnd w:id="87"/>
      <w:bookmarkEnd w:id="8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此次绩效评价结果作为以后年度建设资金分配的重要依据。应将此次绩效评价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1.建议建立实施绩效评价结果公开制度（结果反馈制度、结果共享制度、结果报告制度、结果公示制度）；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2.建议建立绩效评价结果通报、约谈和问责机制；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3.建议建立绩效评价结果在部门预算中激励与约束挂钩机制；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4.建议建立评价结果惩处机制。</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9" w:name="_Toc10628"/>
      <w:bookmarkStart w:id="90" w:name="_Toc19159"/>
      <w:r>
        <w:rPr>
          <w:rFonts w:hint="eastAsia" w:ascii="方正楷体_GBK" w:hAnsi="方正楷体_GBK" w:eastAsia="方正楷体_GBK" w:cs="方正楷体_GBK"/>
          <w:b/>
          <w:bCs/>
          <w:color w:val="auto"/>
          <w:sz w:val="32"/>
          <w:szCs w:val="32"/>
          <w:highlight w:val="none"/>
          <w:lang w:val="en-US" w:eastAsia="zh-CN"/>
        </w:rPr>
        <w:t>（三）强化绩效评价结果应用</w:t>
      </w:r>
      <w:bookmarkEnd w:id="89"/>
      <w:bookmarkEnd w:id="9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一是严格落实评价结果与预算安排挂钩制度。要严格执行《喀什地区财政支出绩效评价结果应用暂行办法》文件规定，充分应用评价结果，对低效无效资金一律削减或取消。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二是将此次评价工作开展情况及评价结果纳入喀什地区全面实施预算绩效管理年度综合评价考核范畴，年终形成总结报告，上报地委、行署和地区人大。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三是进一步加大对评价结果的应用，疏附县2022年度项目绩效评价情况，可作为以后年度部门单位项目预算编制和安排财政资金的重要依据。</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91" w:name="_Toc13172"/>
      <w:r>
        <w:rPr>
          <w:rFonts w:hint="eastAsia" w:ascii="方正楷体_GBK" w:hAnsi="方正楷体_GBK" w:eastAsia="方正楷体_GBK" w:cs="方正楷体_GBK"/>
          <w:b/>
          <w:bCs/>
          <w:color w:val="auto"/>
          <w:sz w:val="32"/>
          <w:szCs w:val="32"/>
          <w:highlight w:val="none"/>
          <w:lang w:val="en-US" w:eastAsia="zh-CN"/>
        </w:rPr>
        <w:t>（四）评价结果公开</w:t>
      </w:r>
      <w:bookmarkEnd w:id="9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建议按照政府信息公开管理的相关规定将绩效评价结果向社会公开评价结果，提高工作透明度，接受社会公众的监督。</w:t>
      </w:r>
      <w:bookmarkEnd w:id="82"/>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92" w:name="_Toc4420"/>
      <w:r>
        <w:rPr>
          <w:rFonts w:hint="eastAsia" w:ascii="方正黑体_GBK" w:hAnsi="方正黑体_GBK" w:eastAsia="方正黑体_GBK" w:cs="方正黑体_GBK"/>
          <w:b w:val="0"/>
          <w:bCs w:val="0"/>
          <w:color w:val="auto"/>
          <w:sz w:val="32"/>
          <w:szCs w:val="32"/>
          <w:lang w:val="en-US" w:eastAsia="zh-CN"/>
        </w:rPr>
        <w:t>八、</w:t>
      </w:r>
      <w:r>
        <w:rPr>
          <w:rFonts w:hint="eastAsia" w:ascii="方正黑体_GBK" w:hAnsi="方正黑体_GBK" w:eastAsia="方正黑体_GBK" w:cs="方正黑体_GBK"/>
          <w:b w:val="0"/>
          <w:bCs w:val="0"/>
          <w:color w:val="auto"/>
          <w:sz w:val="32"/>
          <w:szCs w:val="32"/>
        </w:rPr>
        <w:t>其他需</w:t>
      </w:r>
      <w:r>
        <w:rPr>
          <w:rFonts w:hint="eastAsia" w:ascii="方正黑体_GBK" w:hAnsi="方正黑体_GBK" w:eastAsia="方正黑体_GBK" w:cs="方正黑体_GBK"/>
          <w:b w:val="0"/>
          <w:bCs w:val="0"/>
          <w:color w:val="auto"/>
          <w:sz w:val="32"/>
          <w:szCs w:val="32"/>
          <w:lang w:val="en-US" w:eastAsia="zh-CN"/>
        </w:rPr>
        <w:t>要</w:t>
      </w:r>
      <w:r>
        <w:rPr>
          <w:rFonts w:hint="eastAsia" w:ascii="方正黑体_GBK" w:hAnsi="方正黑体_GBK" w:eastAsia="方正黑体_GBK" w:cs="方正黑体_GBK"/>
          <w:b w:val="0"/>
          <w:bCs w:val="0"/>
          <w:color w:val="auto"/>
          <w:sz w:val="32"/>
          <w:szCs w:val="32"/>
        </w:rPr>
        <w:t>说明的问题</w:t>
      </w:r>
      <w:bookmarkEnd w:id="83"/>
      <w:bookmarkEnd w:id="84"/>
      <w:bookmarkEnd w:id="9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第一，该项目部分间接产生的效果无法准确在短期内衡量，因此很难认定项目产生的全部效果。通过指标来反映绩效，指标的科学性和全面性需要不断地完善和研究。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五，各级财政部门、预算部门和单位及其工作人员在绩效评价管理工作中存在违反《项目支出绩效评价管理办法》文件行为，以及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93" w:name="_Toc11055"/>
      <w:r>
        <w:rPr>
          <w:rFonts w:hint="eastAsia" w:ascii="方正黑体_GBK" w:hAnsi="方正黑体_GBK" w:eastAsia="方正黑体_GBK" w:cs="方正黑体_GBK"/>
          <w:b w:val="0"/>
          <w:bCs w:val="0"/>
          <w:color w:val="auto"/>
          <w:sz w:val="32"/>
          <w:szCs w:val="32"/>
        </w:rPr>
        <w:t>九、附件</w:t>
      </w:r>
      <w:bookmarkEnd w:id="93"/>
    </w:p>
    <w:bookmarkEnd w:id="25"/>
    <w:p>
      <w:pPr>
        <w:pStyle w:val="32"/>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firstLine="643"/>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94" w:name="_Toc11156"/>
      <w:bookmarkStart w:id="95" w:name="_Toc13969"/>
      <w:bookmarkStart w:id="96" w:name="_Toc9070"/>
      <w:bookmarkStart w:id="97" w:name="_Toc5066"/>
      <w:bookmarkStart w:id="98" w:name="_Toc3379"/>
      <w:r>
        <w:rPr>
          <w:rFonts w:hint="eastAsia" w:ascii="仿宋_GB2312" w:hAnsi="仿宋_GB2312" w:eastAsia="仿宋_GB2312" w:cs="仿宋_GB2312"/>
          <w:color w:val="auto"/>
          <w:sz w:val="32"/>
          <w:szCs w:val="32"/>
          <w:highlight w:val="none"/>
          <w:lang w:val="en-US" w:eastAsia="zh-CN"/>
        </w:rPr>
        <w:t>附件一、疏附县塔什米里克乡7村村组道路建设项目支出绩效评价指标体系</w:t>
      </w:r>
      <w:bookmarkEnd w:id="94"/>
      <w:bookmarkEnd w:id="95"/>
      <w:bookmarkEnd w:id="96"/>
      <w:bookmarkEnd w:id="97"/>
      <w:bookmarkEnd w:id="9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99" w:name="_Toc31506"/>
      <w:bookmarkStart w:id="100" w:name="_Toc17647"/>
      <w:bookmarkStart w:id="101" w:name="_Toc32762"/>
      <w:bookmarkStart w:id="102" w:name="_Toc5753"/>
      <w:bookmarkStart w:id="103" w:name="_Toc19426"/>
      <w:r>
        <w:rPr>
          <w:rFonts w:hint="eastAsia" w:ascii="仿宋_GB2312" w:hAnsi="仿宋_GB2312" w:eastAsia="仿宋_GB2312" w:cs="仿宋_GB2312"/>
          <w:color w:val="auto"/>
          <w:sz w:val="32"/>
          <w:szCs w:val="32"/>
          <w:highlight w:val="none"/>
          <w:lang w:val="en-US" w:eastAsia="zh-CN"/>
        </w:rPr>
        <w:t>附件二、疏附县塔什米里克乡7村村组道路建设项目资金使用明细表</w:t>
      </w:r>
      <w:bookmarkEnd w:id="99"/>
      <w:bookmarkEnd w:id="100"/>
      <w:bookmarkEnd w:id="101"/>
      <w:bookmarkEnd w:id="102"/>
      <w:bookmarkEnd w:id="10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104" w:name="_Toc27746"/>
      <w:bookmarkStart w:id="105" w:name="_Toc27332"/>
      <w:bookmarkStart w:id="106" w:name="_Toc21161"/>
      <w:bookmarkStart w:id="107" w:name="_Toc16544"/>
      <w:bookmarkStart w:id="108" w:name="_Toc22995"/>
      <w:r>
        <w:rPr>
          <w:rFonts w:hint="eastAsia" w:ascii="仿宋_GB2312" w:hAnsi="仿宋_GB2312" w:eastAsia="仿宋_GB2312" w:cs="仿宋_GB2312"/>
          <w:color w:val="auto"/>
          <w:sz w:val="32"/>
          <w:szCs w:val="32"/>
          <w:highlight w:val="none"/>
          <w:lang w:val="en-US" w:eastAsia="zh-CN"/>
        </w:rPr>
        <w:t>附件三、疏附县塔什米里克乡7村村组道路建设项目</w:t>
      </w:r>
      <w:bookmarkEnd w:id="104"/>
      <w:bookmarkEnd w:id="105"/>
      <w:bookmarkEnd w:id="106"/>
      <w:bookmarkEnd w:id="107"/>
      <w:bookmarkEnd w:id="108"/>
      <w:bookmarkStart w:id="109" w:name="_Toc20564"/>
      <w:bookmarkStart w:id="110" w:name="_Toc16822"/>
      <w:bookmarkStart w:id="111" w:name="_Toc18769"/>
      <w:r>
        <w:rPr>
          <w:rFonts w:hint="eastAsia" w:ascii="仿宋_GB2312" w:hAnsi="仿宋_GB2312" w:eastAsia="仿宋_GB2312" w:cs="仿宋_GB2312"/>
          <w:color w:val="auto"/>
          <w:sz w:val="32"/>
          <w:szCs w:val="32"/>
          <w:highlight w:val="none"/>
          <w:lang w:val="en-US" w:eastAsia="zh-CN"/>
        </w:rPr>
        <w:t>绩效评价调查问卷统计表</w:t>
      </w:r>
    </w:p>
    <w:bookmarkEnd w:id="109"/>
    <w:bookmarkEnd w:id="110"/>
    <w:bookmarkEnd w:id="111"/>
    <w:p>
      <w:pPr>
        <w:widowControl/>
        <w:numPr>
          <w:ilvl w:val="0"/>
          <w:numId w:val="0"/>
        </w:numPr>
        <w:adjustRightInd w:val="0"/>
        <w:snapToGrid w:val="0"/>
        <w:spacing w:line="560" w:lineRule="exact"/>
        <w:ind w:firstLine="640" w:firstLineChars="200"/>
        <w:jc w:val="left"/>
        <w:outlineLvl w:val="9"/>
        <w:rPr>
          <w:rFonts w:hint="eastAsia" w:ascii="Times New Roman" w:hAnsi="Times New Roman"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中瑞诚会计师事务所（特殊普通合伙）喀什分所</w:t>
      </w:r>
    </w:p>
    <w:p>
      <w:pPr>
        <w:keepNext w:val="0"/>
        <w:keepLines w:val="0"/>
        <w:pageBreakBefore w:val="0"/>
        <w:widowControl w:val="0"/>
        <w:kinsoku/>
        <w:wordWrap/>
        <w:overflowPunct/>
        <w:topLinePunct w:val="0"/>
        <w:autoSpaceDE/>
        <w:autoSpaceDN/>
        <w:bidi w:val="0"/>
        <w:adjustRightInd/>
        <w:snapToGrid/>
        <w:spacing w:line="560" w:lineRule="exact"/>
        <w:ind w:firstLine="3200" w:firstLineChars="1000"/>
        <w:jc w:val="both"/>
        <w:textAlignment w:val="auto"/>
        <w:rPr>
          <w:rFonts w:hint="eastAsia" w:ascii="仿宋_GB2312" w:hAnsi="仿宋_GB2312" w:eastAsia="仿宋_GB2312" w:cs="仿宋_GB2312"/>
          <w:color w:val="auto"/>
          <w:sz w:val="32"/>
          <w:szCs w:val="32"/>
          <w:highlight w:val="none"/>
          <w:lang w:val="en-US" w:eastAsia="zh-CN"/>
        </w:rPr>
        <w:sectPr>
          <w:footerReference r:id="rId7"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_GB2312" w:hAnsi="仿宋_GB2312" w:eastAsia="仿宋_GB2312" w:cs="仿宋_GB2312"/>
          <w:color w:val="auto"/>
          <w:sz w:val="32"/>
          <w:szCs w:val="32"/>
          <w:highlight w:val="none"/>
          <w:lang w:val="en-US" w:eastAsia="zh-CN"/>
        </w:rPr>
        <w:t>2023年07月10日</w:t>
      </w:r>
    </w:p>
    <w:tbl>
      <w:tblPr>
        <w:tblStyle w:val="19"/>
        <w:tblW w:w="141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6"/>
        <w:gridCol w:w="1331"/>
        <w:gridCol w:w="1331"/>
        <w:gridCol w:w="3338"/>
        <w:gridCol w:w="486"/>
        <w:gridCol w:w="5487"/>
        <w:gridCol w:w="621"/>
        <w:gridCol w:w="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93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附件一</w:t>
            </w:r>
          </w:p>
        </w:tc>
        <w:tc>
          <w:tcPr>
            <w:tcW w:w="133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33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333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48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548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62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6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14171"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疏附县塔什米里克乡7村村组道路建设项目绩效评价指标体系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2"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　</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①项目立项符合国家法律法规、国民经济发展规划和相关政策（1分）；否则，不得分。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②项目立项符合行业发展规划和政策要求（1分）否则，不得分；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③项目立项与部门职责范围相符，属于部门履职所需（1分）否则，不得分；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④项目属于公共财政支持范围，符合中央、地方事权支出责任划分原则（1分）否则，不得分；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⑤项目与相关部门同类项目或部门内部相关项目重复（1分）否则，不得分。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①项目按照规定的程序申请设立（1分）否则，不得分；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②审批文件、材料符合相关要求（1分）否则，不得分；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③事前已经过必要的可行性研究、专家论证、风险评估、绩效评估、集体决策（1分）否则，不得分。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绩效目标合理性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①项目有绩效目标，（1分），否则，不得分；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②项目绩效目标与实际工作内容具有相关性，预期产出效益和效果符合正常的业绩水平，否则，不得分（1分）；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③与预算确定的项目投资额或资金量相匹配，否则，不得分（1分）。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绩效指标明确性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①项目绩效目标细化分解为具体的绩效指标，（1分）否则，不得分；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②通过清晰、可衡量的指标值予以体现，与项目目标任务数或计划数相对应，否则，不得分（1分）。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①预算编制经过科学论证（1分）否则，不得分；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②预算内容与项目内容匹配（1.5分）否则，不得分；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③预算额度测算依据充分，按照标准编制（1.5分）否则，不得分；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④预算确定的项目投资额或资金量与工作任务相匹配（1分）否则，不得分。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①预算资金分配依据充分（1分）否则，不得分；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②资金分配额度合理，与项目单位或地方实际相适应（1分）否则，不得分。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①资金到位率为100%的，得满分。（2分）。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②资金未全额到位的，按照满分乘以到位率计算得分。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 ）。</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①预算执行率为100%的，得满分（5分）；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②资金未执行完毕的，按照满分乘以到位率计算得分。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（预算执行率=（实际支出资金/实际到位资金）×100%）。</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①符合国家财经法规和财务管理制度以及有关专项资金管理办法的规定（1分）否则，不得分；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②资金的拨付有完整的审批程序和手续（1分）否则，不得分；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③符合项目预算批复或合同规定的用途（1分）否则，不得分；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④不存在截留、挤占、挪用、虚列支出等情况（2分）否则，不得分。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①已制定或具有相应的财务和业务管理制度（2分）否则，不得分；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未制定相应的财务和业务管理制度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②财务和业务管理制度合法、合规、完整（2分）否则，不得分。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①遵守相关法律法规和相关管理规定（1分）否则，不得分；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②项目调整及支出调整手续完备（1分）否则，不得分；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③项目合同书、验收报告、技术鉴定等资料齐全并及时归档（1分）否则，不得分；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④项目实施的人员条件、场地设备、信息支撑等落实到位（1分）否则，不得分。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①已脱贫村新建改建公路里程1.5公里，完成该指标得8分，否则按比例得分；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实际完成率=（实际产出数/计划产出数）×100% 。</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实际产出数：一定时期（本年度或项目期）内项目实际产出的产品或提供的服务数量。</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①项目（工程）验收合格率等于100%，完成该指标得8分，否则按比例得分；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质量达标率=（质量达标产出数/实际产出数）×100%。</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质量达标产出数：一定时期（本年度或项目期）内实际达到既定质量标准的产品或服务数量。</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完成及时性</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项目实际完成时间与计划完成时间的比较，用以反映和考核项目产出时效目标的实现程度。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①项目开工时间2022年10月，完成该指标得2分，否则按比例得分；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②项目完工时间2022年11月，完成该指标得2分，否则按比例得分；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③资金拨付及时率等于100%，完成该指标得2分，否则按比例得分。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实际完成时间：项目实施单位完成该项目实际所耗用的时间。                                                计划完成时间：按照项目实施计划或相关规定完成该项目所需的时间。</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产出成本</w:t>
            </w:r>
          </w:p>
        </w:tc>
        <w:tc>
          <w:tcPr>
            <w:tcW w:w="133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成本节约率</w:t>
            </w:r>
          </w:p>
        </w:tc>
        <w:tc>
          <w:tcPr>
            <w:tcW w:w="333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完成项目计划工作目标的实际节约成本与计划成本的比率，用以反映和考核项目的成本节约程度。</w:t>
            </w:r>
          </w:p>
        </w:tc>
        <w:tc>
          <w:tcPr>
            <w:tcW w:w="48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道路补助标准40万元/公里，完成该指标得8分，否则按比例得分；</w:t>
            </w:r>
          </w:p>
        </w:tc>
        <w:tc>
          <w:tcPr>
            <w:tcW w:w="621"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1" w:type="dxa"/>
            <w:vMerge w:val="restar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9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　</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项目实施所产生的经济效益是否达到预期值</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①经济效益：无</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项目实施所产生的社会效益是否达到预期值</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②社会效益：受益已脱贫人口数大于等于1000人，完成该指标得10分，否则按比例得分；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对生态环境产生的影响</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③生态效益：无</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项目的可持续影响是否达到预计的期限</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④可持续影响：工程设计使用年限大于等于8年，完成该指标得10分，否则按比例得分；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3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社会公众或服务对象对项目实施效果的满意程度。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根据问卷调查，受益已脱贫人口满意度：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 ①受益已脱贫人口满意度大于等于95%，得10分；</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②受益已脱贫人口满意度小于95%大于等于85%，得8分；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③受益已脱贫人口满意度小于85%大于等于70%，得5分；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④受益已脱贫人口满意度小于等于70%，不得分。</w:t>
            </w: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35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3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pStyle w:val="2"/>
        <w:rPr>
          <w:rFonts w:hint="eastAsia"/>
          <w:lang w:val="en-US" w:eastAsia="zh-CN"/>
        </w:rPr>
        <w:sectPr>
          <w:footerReference r:id="rId8" w:type="default"/>
          <w:pgSz w:w="16838" w:h="11906" w:orient="landscape"/>
          <w:pgMar w:top="1800" w:right="1440" w:bottom="1700" w:left="144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9"/>
        <w:tblW w:w="141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9"/>
        <w:gridCol w:w="696"/>
        <w:gridCol w:w="821"/>
        <w:gridCol w:w="813"/>
        <w:gridCol w:w="834"/>
        <w:gridCol w:w="834"/>
        <w:gridCol w:w="667"/>
        <w:gridCol w:w="821"/>
        <w:gridCol w:w="813"/>
        <w:gridCol w:w="834"/>
        <w:gridCol w:w="707"/>
        <w:gridCol w:w="735"/>
        <w:gridCol w:w="894"/>
        <w:gridCol w:w="681"/>
        <w:gridCol w:w="665"/>
        <w:gridCol w:w="561"/>
        <w:gridCol w:w="518"/>
        <w:gridCol w:w="1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84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附件二</w:t>
            </w:r>
          </w:p>
        </w:tc>
        <w:tc>
          <w:tcPr>
            <w:tcW w:w="696" w:type="dxa"/>
            <w:tcBorders>
              <w:top w:val="nil"/>
              <w:left w:val="nil"/>
              <w:bottom w:val="nil"/>
              <w:right w:val="nil"/>
            </w:tcBorders>
            <w:shd w:val="clear" w:color="auto" w:fill="auto"/>
            <w:vAlign w:val="center"/>
          </w:tcPr>
          <w:p>
            <w:pPr>
              <w:rPr>
                <w:rFonts w:hint="eastAsia" w:ascii="仿宋" w:hAnsi="仿宋" w:eastAsia="仿宋" w:cs="仿宋"/>
                <w:i w:val="0"/>
                <w:iCs w:val="0"/>
                <w:color w:val="000000"/>
                <w:sz w:val="20"/>
                <w:szCs w:val="20"/>
                <w:u w:val="none"/>
              </w:rPr>
            </w:pPr>
          </w:p>
        </w:tc>
        <w:tc>
          <w:tcPr>
            <w:tcW w:w="82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13"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3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3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6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2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13"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3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0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3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894"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8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6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61"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1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422" w:type="dxa"/>
            <w:tcBorders>
              <w:top w:val="nil"/>
              <w:left w:val="nil"/>
              <w:bottom w:val="nil"/>
              <w:right w:val="nil"/>
            </w:tcBorders>
            <w:shd w:val="clear" w:color="auto" w:fill="auto"/>
            <w:noWrap/>
            <w:vAlign w:val="center"/>
          </w:tcPr>
          <w:p>
            <w:pP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14165"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资金使用情况明细表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5514"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项目名称：疏附县塔什米里克乡7村村组道路建设项目</w:t>
            </w:r>
          </w:p>
        </w:tc>
        <w:tc>
          <w:tcPr>
            <w:tcW w:w="391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截止日期：2022年12月31日</w:t>
            </w:r>
          </w:p>
        </w:tc>
        <w:tc>
          <w:tcPr>
            <w:tcW w:w="894"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681"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665"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561"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518"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1422"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实施单位名称</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年度</w:t>
            </w:r>
          </w:p>
        </w:tc>
        <w:tc>
          <w:tcPr>
            <w:tcW w:w="39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预算批复资金</w:t>
            </w:r>
          </w:p>
        </w:tc>
        <w:tc>
          <w:tcPr>
            <w:tcW w:w="39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资金到位情况</w:t>
            </w: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实际支出</w:t>
            </w:r>
          </w:p>
        </w:tc>
        <w:tc>
          <w:tcPr>
            <w:tcW w:w="2425"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剩余资金</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项目尾款</w:t>
            </w:r>
          </w:p>
        </w:tc>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结余资金</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调整资金</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疏附县塔什米里克乡人民政府</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60.00 </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60.00 </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60.00 </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60.00 </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60.00 </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4" w:hRule="atLeast"/>
        </w:trPr>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60.00 </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60.00 </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60.00 </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60.00 </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60.00 </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pStyle w:val="2"/>
        <w:rPr>
          <w:rFonts w:hint="eastAsia"/>
          <w:lang w:val="en-US" w:eastAsia="zh-CN"/>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both"/>
        <w:rPr>
          <w:rFonts w:hint="eastAsia" w:ascii="Times New Roman" w:hAnsi="Times New Roman" w:eastAsia="仿宋_GB2312"/>
          <w:sz w:val="36"/>
          <w:szCs w:val="36"/>
        </w:rPr>
      </w:pPr>
      <w:r>
        <w:rPr>
          <w:rFonts w:hint="eastAsia" w:ascii="Times New Roman" w:hAnsi="Times New Roman" w:eastAsia="仿宋_GB2312" w:cs="仿宋"/>
          <w:sz w:val="28"/>
          <w:szCs w:val="28"/>
          <w:lang w:val="en-US" w:eastAsia="zh-CN"/>
        </w:rPr>
        <w:t>附件四</w:t>
      </w:r>
      <w:r>
        <w:rPr>
          <w:rFonts w:hint="eastAsia" w:ascii="Times New Roman" w:hAnsi="Times New Roman" w:eastAsia="仿宋_GB2312"/>
          <w:sz w:val="36"/>
          <w:szCs w:val="36"/>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44"/>
          <w:szCs w:val="44"/>
          <w:lang w:val="en-US" w:eastAsia="zh-CN"/>
        </w:rPr>
      </w:pPr>
      <w:r>
        <w:rPr>
          <w:rFonts w:hint="eastAsia" w:ascii="Times New Roman" w:hAnsi="Times New Roman" w:eastAsia="仿宋_GB2312"/>
          <w:b/>
          <w:bCs/>
          <w:sz w:val="44"/>
          <w:szCs w:val="44"/>
          <w:lang w:eastAsia="zh-CN"/>
        </w:rPr>
        <w:t>疏附县塔什米里克乡7村村组道路建设项目</w:t>
      </w:r>
      <w:r>
        <w:rPr>
          <w:rFonts w:hint="eastAsia" w:ascii="Times New Roman" w:hAnsi="Times New Roman" w:eastAsia="仿宋_GB2312"/>
          <w:b/>
          <w:bCs/>
          <w:sz w:val="44"/>
          <w:szCs w:val="44"/>
        </w:rPr>
        <w:t>绩效评价调查问卷</w:t>
      </w:r>
      <w:r>
        <w:rPr>
          <w:rFonts w:hint="eastAsia" w:ascii="Times New Roman" w:hAnsi="Times New Roman" w:eastAsia="仿宋_GB2312"/>
          <w:b/>
          <w:bCs/>
          <w:sz w:val="44"/>
          <w:szCs w:val="44"/>
          <w:lang w:val="en-US"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为真实反映</w:t>
      </w:r>
      <w:r>
        <w:rPr>
          <w:rFonts w:hint="eastAsia" w:ascii="Times New Roman" w:hAnsi="Times New Roman" w:eastAsia="仿宋_GB2312" w:cs="仿宋"/>
          <w:color w:val="000000"/>
          <w:kern w:val="0"/>
          <w:sz w:val="32"/>
          <w:szCs w:val="32"/>
          <w:lang w:eastAsia="zh-CN" w:bidi="ar"/>
        </w:rPr>
        <w:t>疏附县塔什米里克乡7村村组道路建设项目</w:t>
      </w:r>
      <w:r>
        <w:rPr>
          <w:rFonts w:hint="eastAsia" w:ascii="Times New Roman" w:hAnsi="Times New Roman" w:eastAsia="仿宋_GB2312" w:cs="仿宋"/>
          <w:color w:val="000000"/>
          <w:kern w:val="0"/>
          <w:sz w:val="32"/>
          <w:szCs w:val="32"/>
          <w:lang w:bidi="ar"/>
        </w:rPr>
        <w:t>支出绩效和受益人满意度情况，本次对</w:t>
      </w:r>
      <w:r>
        <w:rPr>
          <w:rFonts w:hint="eastAsia" w:ascii="Times New Roman" w:hAnsi="Times New Roman" w:eastAsia="仿宋_GB2312" w:cs="仿宋"/>
          <w:color w:val="000000"/>
          <w:kern w:val="0"/>
          <w:sz w:val="32"/>
          <w:szCs w:val="32"/>
          <w:lang w:eastAsia="zh-CN" w:bidi="ar"/>
        </w:rPr>
        <w:t>受益已脱贫人口满意度</w:t>
      </w:r>
      <w:r>
        <w:rPr>
          <w:rFonts w:hint="eastAsia" w:ascii="Times New Roman" w:hAnsi="Times New Roman" w:eastAsia="仿宋_GB2312" w:cs="仿宋"/>
          <w:color w:val="000000"/>
          <w:kern w:val="0"/>
          <w:sz w:val="32"/>
          <w:szCs w:val="32"/>
          <w:lang w:bidi="ar"/>
        </w:rPr>
        <w:t>进行问卷调查，回收有效问卷共计100份，回收率100%。主要反馈如下：</w:t>
      </w:r>
    </w:p>
    <w:tbl>
      <w:tblPr>
        <w:tblStyle w:val="19"/>
        <w:tblW w:w="8333" w:type="dxa"/>
        <w:jc w:val="center"/>
        <w:tblInd w:w="0" w:type="dxa"/>
        <w:tblLayout w:type="fixed"/>
        <w:tblCellMar>
          <w:top w:w="15" w:type="dxa"/>
          <w:left w:w="15" w:type="dxa"/>
          <w:bottom w:w="15" w:type="dxa"/>
          <w:right w:w="15" w:type="dxa"/>
        </w:tblCellMar>
      </w:tblPr>
      <w:tblGrid>
        <w:gridCol w:w="692"/>
        <w:gridCol w:w="2547"/>
        <w:gridCol w:w="1614"/>
        <w:gridCol w:w="1339"/>
        <w:gridCol w:w="2141"/>
      </w:tblGrid>
      <w:tr>
        <w:tblPrEx>
          <w:tblLayout w:type="fixed"/>
          <w:tblCellMar>
            <w:top w:w="15" w:type="dxa"/>
            <w:left w:w="15" w:type="dxa"/>
            <w:bottom w:w="15" w:type="dxa"/>
            <w:right w:w="15" w:type="dxa"/>
          </w:tblCellMar>
        </w:tblPrEx>
        <w:trPr>
          <w:trHeight w:val="283" w:hRule="atLeast"/>
          <w:jc w:val="center"/>
        </w:trPr>
        <w:tc>
          <w:tcPr>
            <w:tcW w:w="6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序号</w:t>
            </w:r>
          </w:p>
          <w:p>
            <w:pPr>
              <w:jc w:val="center"/>
              <w:textAlignment w:val="center"/>
              <w:rPr>
                <w:rFonts w:ascii="Times New Roman" w:hAnsi="Times New Roman" w:eastAsia="仿宋_GB2312" w:cs="仿宋"/>
                <w:b/>
                <w:bCs/>
                <w:color w:val="000000"/>
                <w:sz w:val="24"/>
                <w:szCs w:val="24"/>
              </w:rPr>
            </w:pPr>
          </w:p>
        </w:tc>
        <w:tc>
          <w:tcPr>
            <w:tcW w:w="254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问题</w:t>
            </w:r>
          </w:p>
        </w:tc>
        <w:tc>
          <w:tcPr>
            <w:tcW w:w="29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回应情况</w:t>
            </w:r>
          </w:p>
        </w:tc>
        <w:tc>
          <w:tcPr>
            <w:tcW w:w="21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比例</w:t>
            </w:r>
          </w:p>
        </w:tc>
      </w:tr>
      <w:tr>
        <w:tblPrEx>
          <w:tblLayout w:type="fixed"/>
          <w:tblCellMar>
            <w:top w:w="15" w:type="dxa"/>
            <w:left w:w="15" w:type="dxa"/>
            <w:bottom w:w="15" w:type="dxa"/>
            <w:right w:w="15" w:type="dxa"/>
          </w:tblCellMar>
        </w:tblPrEx>
        <w:trPr>
          <w:trHeight w:val="524" w:hRule="atLeast"/>
          <w:jc w:val="center"/>
        </w:trPr>
        <w:tc>
          <w:tcPr>
            <w:tcW w:w="692"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2547"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1614"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w:t>
            </w:r>
          </w:p>
        </w:tc>
        <w:tc>
          <w:tcPr>
            <w:tcW w:w="1339"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回应2</w:t>
            </w:r>
          </w:p>
        </w:tc>
        <w:tc>
          <w:tcPr>
            <w:tcW w:w="2141"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回应1占比情况%</w:t>
            </w:r>
          </w:p>
        </w:tc>
      </w:tr>
      <w:tr>
        <w:tblPrEx>
          <w:tblLayout w:type="fixed"/>
          <w:tblCellMar>
            <w:top w:w="15" w:type="dxa"/>
            <w:left w:w="15" w:type="dxa"/>
            <w:bottom w:w="15" w:type="dxa"/>
            <w:right w:w="15" w:type="dxa"/>
          </w:tblCellMar>
        </w:tblPrEx>
        <w:trPr>
          <w:trHeight w:val="522"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1</w:t>
            </w:r>
          </w:p>
        </w:tc>
        <w:tc>
          <w:tcPr>
            <w:tcW w:w="2547" w:type="dxa"/>
            <w:vMerge w:val="restart"/>
            <w:tcBorders>
              <w:top w:val="single" w:color="000000" w:sz="4" w:space="0"/>
              <w:left w:val="single" w:color="000000" w:sz="4" w:space="0"/>
              <w:right w:val="single" w:color="000000" w:sz="4" w:space="0"/>
            </w:tcBorders>
            <w:vAlign w:val="center"/>
          </w:tcPr>
          <w:p>
            <w:pPr>
              <w:widowControl/>
              <w:ind w:right="124" w:rightChars="59"/>
              <w:jc w:val="left"/>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GB2321"/>
                <w:sz w:val="24"/>
                <w:szCs w:val="24"/>
              </w:rPr>
              <w:t>您是否</w:t>
            </w:r>
            <w:r>
              <w:rPr>
                <w:rFonts w:hint="eastAsia" w:ascii="Times New Roman" w:hAnsi="Times New Roman" w:eastAsia="仿宋_GB2312" w:cs="仿宋-GB2321"/>
                <w:sz w:val="24"/>
                <w:szCs w:val="24"/>
                <w:lang w:val="en-US" w:eastAsia="zh-CN"/>
              </w:rPr>
              <w:t>有了解本项目</w:t>
            </w:r>
            <w:r>
              <w:rPr>
                <w:rFonts w:hint="eastAsia" w:ascii="Times New Roman" w:hAnsi="Times New Roman" w:eastAsia="仿宋_GB2312" w:cs="仿宋-GB2321"/>
                <w:sz w:val="24"/>
                <w:szCs w:val="24"/>
              </w:rPr>
              <w:t>？</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sz w:val="24"/>
                <w:szCs w:val="24"/>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97</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32"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97</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3</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66"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2</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您认为项目的实施是否改善出行条件？</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596"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90"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3</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项目的实施是否提高生活质量？</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26" w:hRule="atLeast"/>
          <w:jc w:val="center"/>
        </w:trPr>
        <w:tc>
          <w:tcPr>
            <w:tcW w:w="692"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1339"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2141"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578" w:hRule="atLeast"/>
          <w:jc w:val="center"/>
        </w:trPr>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4</w:t>
            </w:r>
          </w:p>
        </w:tc>
        <w:tc>
          <w:tcPr>
            <w:tcW w:w="254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项目的实施是否改善交通不便情况</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100</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2141" w:type="dxa"/>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r>
      <w:tr>
        <w:tblPrEx>
          <w:tblLayout w:type="fixed"/>
          <w:tblCellMar>
            <w:top w:w="15" w:type="dxa"/>
            <w:left w:w="15" w:type="dxa"/>
            <w:bottom w:w="15" w:type="dxa"/>
            <w:right w:w="15" w:type="dxa"/>
          </w:tblCellMar>
        </w:tblPrEx>
        <w:trPr>
          <w:trHeight w:val="440" w:hRule="atLeast"/>
          <w:jc w:val="center"/>
        </w:trPr>
        <w:tc>
          <w:tcPr>
            <w:tcW w:w="69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5</w:t>
            </w:r>
          </w:p>
        </w:tc>
        <w:tc>
          <w:tcPr>
            <w:tcW w:w="254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eastAsia="仿宋_GB2312" w:cs="仿宋-GB2321"/>
                <w:sz w:val="24"/>
                <w:szCs w:val="24"/>
              </w:rPr>
            </w:pPr>
            <w:r>
              <w:rPr>
                <w:rFonts w:hint="eastAsia" w:ascii="Times New Roman" w:hAnsi="Times New Roman" w:eastAsia="仿宋_GB2312" w:cs="仿宋-GB2321"/>
                <w:sz w:val="24"/>
                <w:szCs w:val="24"/>
                <w:lang w:eastAsia="zh-CN"/>
              </w:rPr>
              <w:t>您对该项目的实施</w:t>
            </w:r>
            <w:r>
              <w:rPr>
                <w:rFonts w:hint="eastAsia" w:ascii="Times New Roman" w:hAnsi="Times New Roman" w:eastAsia="仿宋_GB2312" w:cs="仿宋-GB2321"/>
                <w:sz w:val="24"/>
                <w:szCs w:val="24"/>
                <w:lang w:val="en-US" w:eastAsia="zh-CN"/>
              </w:rPr>
              <w:t>效果</w:t>
            </w:r>
            <w:r>
              <w:rPr>
                <w:rFonts w:hint="eastAsia" w:ascii="Times New Roman" w:hAnsi="Times New Roman" w:eastAsia="仿宋_GB2312" w:cs="仿宋-GB2321"/>
                <w:sz w:val="24"/>
                <w:szCs w:val="24"/>
                <w:lang w:eastAsia="zh-CN"/>
              </w:rPr>
              <w:t>是否满意</w:t>
            </w:r>
            <w:r>
              <w:rPr>
                <w:rFonts w:hint="eastAsia" w:ascii="Times New Roman" w:hAnsi="Times New Roman" w:eastAsia="仿宋_GB2312" w:cs="仿宋-GB2321"/>
                <w:sz w:val="24"/>
                <w:szCs w:val="24"/>
              </w:rPr>
              <w:t>？</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满意</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不满意</w:t>
            </w:r>
          </w:p>
        </w:tc>
        <w:tc>
          <w:tcPr>
            <w:tcW w:w="2141"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r>
      <w:tr>
        <w:tblPrEx>
          <w:tblLayout w:type="fixed"/>
          <w:tblCellMar>
            <w:top w:w="15" w:type="dxa"/>
            <w:left w:w="15" w:type="dxa"/>
            <w:bottom w:w="15" w:type="dxa"/>
            <w:right w:w="15" w:type="dxa"/>
          </w:tblCellMar>
        </w:tblPrEx>
        <w:trPr>
          <w:trHeight w:val="412" w:hRule="atLeast"/>
          <w:jc w:val="center"/>
        </w:trPr>
        <w:tc>
          <w:tcPr>
            <w:tcW w:w="6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tabs>
                <w:tab w:val="left" w:pos="325"/>
              </w:tabs>
              <w:jc w:val="center"/>
              <w:textAlignment w:val="center"/>
              <w:rPr>
                <w:rFonts w:hint="default" w:ascii="Times New Roman" w:hAnsi="Times New Roman" w:eastAsia="仿宋_GB2312" w:cs="仿宋"/>
                <w:color w:val="000000"/>
                <w:sz w:val="24"/>
                <w:szCs w:val="24"/>
                <w:lang w:val="en-US"/>
              </w:rPr>
            </w:pPr>
            <w:r>
              <w:rPr>
                <w:rFonts w:hint="eastAsia" w:ascii="Times New Roman" w:hAnsi="Times New Roman" w:eastAsia="仿宋_GB2312" w:cs="仿宋"/>
                <w:color w:val="000000"/>
                <w:kern w:val="0"/>
                <w:sz w:val="24"/>
                <w:szCs w:val="24"/>
                <w:lang w:val="en-US" w:eastAsia="zh-CN" w:bidi="ar"/>
              </w:rPr>
              <w:t>95</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5</w:t>
            </w:r>
          </w:p>
        </w:tc>
        <w:tc>
          <w:tcPr>
            <w:tcW w:w="2141"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上述结果显示，</w:t>
      </w:r>
      <w:r>
        <w:rPr>
          <w:rFonts w:hint="eastAsia" w:ascii="Times New Roman" w:hAnsi="Times New Roman" w:eastAsia="仿宋_GB2312" w:cs="仿宋"/>
          <w:color w:val="000000"/>
          <w:kern w:val="0"/>
          <w:sz w:val="32"/>
          <w:szCs w:val="32"/>
          <w:lang w:val="en-US" w:eastAsia="zh-CN" w:bidi="ar"/>
        </w:rPr>
        <w:t>受益群众对</w:t>
      </w:r>
      <w:r>
        <w:rPr>
          <w:rFonts w:hint="eastAsia" w:ascii="仿宋_GB2312" w:hAnsi="仿宋_GB2312" w:eastAsia="仿宋_GB2312" w:cs="仿宋_GB2312"/>
          <w:color w:val="000000"/>
          <w:kern w:val="0"/>
          <w:sz w:val="32"/>
          <w:szCs w:val="32"/>
          <w:lang w:val="en-US" w:eastAsia="zh-CN" w:bidi="ar"/>
        </w:rPr>
        <w:t>疏附县塔什米里克乡7村村组道路建设项目</w:t>
      </w:r>
      <w:r>
        <w:rPr>
          <w:rFonts w:hint="eastAsia" w:ascii="Times New Roman" w:hAnsi="Times New Roman" w:eastAsia="仿宋_GB2312" w:cs="仿宋"/>
          <w:color w:val="000000"/>
          <w:kern w:val="0"/>
          <w:sz w:val="32"/>
          <w:szCs w:val="32"/>
          <w:lang w:bidi="ar"/>
        </w:rPr>
        <w:t>实施情况总体是满意的。此次满意度调查仅从“受益已脱贫人口满意度”考核，满意度达</w:t>
      </w:r>
      <w:r>
        <w:rPr>
          <w:rFonts w:hint="eastAsia" w:ascii="Times New Roman" w:hAnsi="Times New Roman" w:eastAsia="仿宋_GB2312" w:cs="仿宋"/>
          <w:color w:val="000000"/>
          <w:kern w:val="0"/>
          <w:sz w:val="32"/>
          <w:szCs w:val="32"/>
          <w:lang w:val="en-US" w:eastAsia="zh-CN" w:bidi="ar"/>
        </w:rPr>
        <w:t>到了</w:t>
      </w:r>
      <w:r>
        <w:rPr>
          <w:rFonts w:hint="eastAsia" w:ascii="Times New Roman" w:hAnsi="Times New Roman" w:eastAsia="仿宋_GB2312" w:cs="仿宋"/>
          <w:color w:val="000000"/>
          <w:kern w:val="0"/>
          <w:sz w:val="32"/>
          <w:szCs w:val="32"/>
          <w:lang w:bidi="ar"/>
        </w:rPr>
        <w:t>9</w:t>
      </w:r>
      <w:r>
        <w:rPr>
          <w:rFonts w:hint="eastAsia" w:ascii="Times New Roman" w:hAnsi="Times New Roman" w:eastAsia="仿宋_GB2312" w:cs="仿宋"/>
          <w:color w:val="000000"/>
          <w:kern w:val="0"/>
          <w:sz w:val="32"/>
          <w:szCs w:val="32"/>
          <w:lang w:val="en-US" w:eastAsia="zh-CN" w:bidi="ar"/>
        </w:rPr>
        <w:t>5</w:t>
      </w:r>
      <w:r>
        <w:rPr>
          <w:rFonts w:hint="eastAsia" w:ascii="Times New Roman" w:hAnsi="Times New Roman" w:eastAsia="仿宋_GB2312" w:cs="仿宋"/>
          <w:color w:val="000000"/>
          <w:kern w:val="0"/>
          <w:sz w:val="32"/>
          <w:szCs w:val="32"/>
          <w:lang w:bidi="ar"/>
        </w:rPr>
        <w:t>%。</w:t>
      </w:r>
    </w:p>
    <w:p>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47C376-BB2E-4CFA-AB1B-1C7251009C0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FC6A5350-1755-4FE3-838E-BC47F4411EBD}"/>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0" w:usb1="00000000" w:usb2="00000000" w:usb3="00000000" w:csb0="00000000" w:csb1="00000000"/>
    <w:embedRegular r:id="rId3" w:fontKey="{BAE0C908-21C7-4F5B-BDD6-B3485D7F983A}"/>
  </w:font>
  <w:font w:name="HYb2gj">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embedRegular r:id="rId4" w:fontKey="{4EA4C239-DBD1-4755-82EB-0CFC1541146F}"/>
  </w:font>
  <w:font w:name="方正黑体_GBK">
    <w:panose1 w:val="03000509000000000000"/>
    <w:charset w:val="86"/>
    <w:family w:val="auto"/>
    <w:pitch w:val="default"/>
    <w:sig w:usb0="00000000" w:usb1="00000000" w:usb2="00000000" w:usb3="00000000" w:csb0="00000000" w:csb1="00000000"/>
    <w:embedRegular r:id="rId5" w:fontKey="{18FA65DA-1F26-4AD7-BBE6-EF792FD15E3E}"/>
  </w:font>
  <w:font w:name="方正楷体_GBK">
    <w:panose1 w:val="03000509000000000000"/>
    <w:charset w:val="86"/>
    <w:family w:val="auto"/>
    <w:pitch w:val="default"/>
    <w:sig w:usb0="00000000" w:usb1="00000000" w:usb2="00000000" w:usb3="00000000" w:csb0="00000000" w:csb1="00000000"/>
    <w:embedRegular r:id="rId6" w:fontKey="{732B5FD9-2566-48DA-82D6-57867CFA8296}"/>
  </w:font>
  <w:font w:name="仿宋-GB2321">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WiW6wVAgAAFQQAAA4AAAAAAAAA&#10;AQAgAAAAHwEAAGRycy9lMm9Eb2MueG1sUEsFBgAAAAAGAAYAWQEAAKY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AKlUWAgAAFQQAAA4AAABkcnMvZTJvRG9jLnhtbK1TzY7TMBC+I/EO&#10;lu80aRG7Vd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ZACpVFgIAABUEAAAOAAAAAAAA&#10;AAEAIAAAAB8BAABkcnMvZTJvRG9jLnhtbFBLBQYAAAAABgAGAFkBAACn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D9A"/>
    <w:multiLevelType w:val="multilevel"/>
    <w:tmpl w:val="06830D9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702"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BBB029A"/>
    <w:multiLevelType w:val="multilevel"/>
    <w:tmpl w:val="4BBB029A"/>
    <w:lvl w:ilvl="0" w:tentative="0">
      <w:start w:val="1"/>
      <w:numFmt w:val="decimal"/>
      <w:pStyle w:val="3"/>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A16E0C"/>
    <w:multiLevelType w:val="multilevel"/>
    <w:tmpl w:val="6EA16E0C"/>
    <w:lvl w:ilvl="0" w:tentative="0">
      <w:start w:val="1"/>
      <w:numFmt w:val="decimal"/>
      <w:pStyle w:val="4"/>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3MzRmNmFmY2Q2MTIxMWY3MzBkZTNiMWU2OTU2OWMifQ=="/>
  </w:docVars>
  <w:rsids>
    <w:rsidRoot w:val="00414B7D"/>
    <w:rsid w:val="00016E08"/>
    <w:rsid w:val="00021851"/>
    <w:rsid w:val="00024B57"/>
    <w:rsid w:val="00036D0D"/>
    <w:rsid w:val="00036D41"/>
    <w:rsid w:val="00046D50"/>
    <w:rsid w:val="000475FC"/>
    <w:rsid w:val="00082C50"/>
    <w:rsid w:val="0008358D"/>
    <w:rsid w:val="00083F67"/>
    <w:rsid w:val="00087E49"/>
    <w:rsid w:val="000B0B81"/>
    <w:rsid w:val="000B1623"/>
    <w:rsid w:val="000B1CCE"/>
    <w:rsid w:val="000C3557"/>
    <w:rsid w:val="000C5082"/>
    <w:rsid w:val="000D57B9"/>
    <w:rsid w:val="000E1377"/>
    <w:rsid w:val="000F719E"/>
    <w:rsid w:val="00103F61"/>
    <w:rsid w:val="001040BC"/>
    <w:rsid w:val="00107A8F"/>
    <w:rsid w:val="00130F27"/>
    <w:rsid w:val="00136B2F"/>
    <w:rsid w:val="00152333"/>
    <w:rsid w:val="00160CDB"/>
    <w:rsid w:val="00161F5F"/>
    <w:rsid w:val="00162F2E"/>
    <w:rsid w:val="001764F0"/>
    <w:rsid w:val="00176DFF"/>
    <w:rsid w:val="001825A2"/>
    <w:rsid w:val="00186F45"/>
    <w:rsid w:val="00187575"/>
    <w:rsid w:val="001C1801"/>
    <w:rsid w:val="001C64B5"/>
    <w:rsid w:val="0020463E"/>
    <w:rsid w:val="0021140C"/>
    <w:rsid w:val="00230276"/>
    <w:rsid w:val="00230A7C"/>
    <w:rsid w:val="002358FA"/>
    <w:rsid w:val="0023779B"/>
    <w:rsid w:val="002443C4"/>
    <w:rsid w:val="0025623B"/>
    <w:rsid w:val="00257940"/>
    <w:rsid w:val="0027097D"/>
    <w:rsid w:val="00271E15"/>
    <w:rsid w:val="0027684A"/>
    <w:rsid w:val="00276A45"/>
    <w:rsid w:val="00282C28"/>
    <w:rsid w:val="0029663F"/>
    <w:rsid w:val="00297D3C"/>
    <w:rsid w:val="002A49E8"/>
    <w:rsid w:val="002A64D8"/>
    <w:rsid w:val="002A6ECE"/>
    <w:rsid w:val="002B2807"/>
    <w:rsid w:val="002C092D"/>
    <w:rsid w:val="002C1471"/>
    <w:rsid w:val="002C7301"/>
    <w:rsid w:val="002D239F"/>
    <w:rsid w:val="002D49A2"/>
    <w:rsid w:val="002E3475"/>
    <w:rsid w:val="002F2ABF"/>
    <w:rsid w:val="002F5C69"/>
    <w:rsid w:val="00300C5C"/>
    <w:rsid w:val="00334AA6"/>
    <w:rsid w:val="00335ABC"/>
    <w:rsid w:val="0035174C"/>
    <w:rsid w:val="00353891"/>
    <w:rsid w:val="00357062"/>
    <w:rsid w:val="003762B7"/>
    <w:rsid w:val="00377AB2"/>
    <w:rsid w:val="003963D0"/>
    <w:rsid w:val="003A243D"/>
    <w:rsid w:val="003A3F8A"/>
    <w:rsid w:val="003D3349"/>
    <w:rsid w:val="003F5B9B"/>
    <w:rsid w:val="003F5E87"/>
    <w:rsid w:val="003F7B44"/>
    <w:rsid w:val="00403605"/>
    <w:rsid w:val="00414B7D"/>
    <w:rsid w:val="00425B0B"/>
    <w:rsid w:val="00427588"/>
    <w:rsid w:val="0044086E"/>
    <w:rsid w:val="0044115C"/>
    <w:rsid w:val="004419BF"/>
    <w:rsid w:val="004446AF"/>
    <w:rsid w:val="00456D64"/>
    <w:rsid w:val="00461A03"/>
    <w:rsid w:val="00461C13"/>
    <w:rsid w:val="00466D62"/>
    <w:rsid w:val="00480EBB"/>
    <w:rsid w:val="004837BC"/>
    <w:rsid w:val="00491DC0"/>
    <w:rsid w:val="0049279D"/>
    <w:rsid w:val="004929DD"/>
    <w:rsid w:val="004A17A9"/>
    <w:rsid w:val="004A3BA3"/>
    <w:rsid w:val="004C27AA"/>
    <w:rsid w:val="004C4305"/>
    <w:rsid w:val="004C48B5"/>
    <w:rsid w:val="004C7EF1"/>
    <w:rsid w:val="004D64A9"/>
    <w:rsid w:val="004F5174"/>
    <w:rsid w:val="004F7E0C"/>
    <w:rsid w:val="00505ACA"/>
    <w:rsid w:val="00520F1C"/>
    <w:rsid w:val="0052602D"/>
    <w:rsid w:val="00535343"/>
    <w:rsid w:val="0054358D"/>
    <w:rsid w:val="005510BE"/>
    <w:rsid w:val="0055540B"/>
    <w:rsid w:val="005674C1"/>
    <w:rsid w:val="005A11A3"/>
    <w:rsid w:val="005A299C"/>
    <w:rsid w:val="005B40F5"/>
    <w:rsid w:val="005B5C85"/>
    <w:rsid w:val="005D2E62"/>
    <w:rsid w:val="005D3B9D"/>
    <w:rsid w:val="00621D18"/>
    <w:rsid w:val="006264C5"/>
    <w:rsid w:val="006276D2"/>
    <w:rsid w:val="00633F43"/>
    <w:rsid w:val="00635FD4"/>
    <w:rsid w:val="006451C9"/>
    <w:rsid w:val="00682CC7"/>
    <w:rsid w:val="006838D1"/>
    <w:rsid w:val="00683B82"/>
    <w:rsid w:val="006A0C6F"/>
    <w:rsid w:val="006A530D"/>
    <w:rsid w:val="006B5D89"/>
    <w:rsid w:val="006E0F22"/>
    <w:rsid w:val="006F03CF"/>
    <w:rsid w:val="006F614A"/>
    <w:rsid w:val="00706A4E"/>
    <w:rsid w:val="007115C8"/>
    <w:rsid w:val="00722E10"/>
    <w:rsid w:val="00752CB5"/>
    <w:rsid w:val="00760C80"/>
    <w:rsid w:val="00765FA0"/>
    <w:rsid w:val="00770E0C"/>
    <w:rsid w:val="00776C05"/>
    <w:rsid w:val="00783B17"/>
    <w:rsid w:val="00796661"/>
    <w:rsid w:val="007A3C4B"/>
    <w:rsid w:val="007B38F5"/>
    <w:rsid w:val="007C462B"/>
    <w:rsid w:val="007C6866"/>
    <w:rsid w:val="007D1B86"/>
    <w:rsid w:val="007D58AE"/>
    <w:rsid w:val="007E49F4"/>
    <w:rsid w:val="007F5B60"/>
    <w:rsid w:val="00804413"/>
    <w:rsid w:val="0080484E"/>
    <w:rsid w:val="00807F37"/>
    <w:rsid w:val="00813205"/>
    <w:rsid w:val="00853D02"/>
    <w:rsid w:val="008726A9"/>
    <w:rsid w:val="00873B68"/>
    <w:rsid w:val="008741FC"/>
    <w:rsid w:val="008764E8"/>
    <w:rsid w:val="008B08D1"/>
    <w:rsid w:val="008C646A"/>
    <w:rsid w:val="008C6AA7"/>
    <w:rsid w:val="008D2C5C"/>
    <w:rsid w:val="008E496C"/>
    <w:rsid w:val="009167F1"/>
    <w:rsid w:val="00932232"/>
    <w:rsid w:val="00937981"/>
    <w:rsid w:val="00942A28"/>
    <w:rsid w:val="00952F6D"/>
    <w:rsid w:val="00957616"/>
    <w:rsid w:val="00960A8B"/>
    <w:rsid w:val="00974DAE"/>
    <w:rsid w:val="00975A3A"/>
    <w:rsid w:val="00987C5A"/>
    <w:rsid w:val="0099597E"/>
    <w:rsid w:val="0099715E"/>
    <w:rsid w:val="009A4DCB"/>
    <w:rsid w:val="009A507D"/>
    <w:rsid w:val="009B213F"/>
    <w:rsid w:val="009B47A3"/>
    <w:rsid w:val="009B5649"/>
    <w:rsid w:val="009B56E1"/>
    <w:rsid w:val="009C110C"/>
    <w:rsid w:val="009D79E4"/>
    <w:rsid w:val="009E5C35"/>
    <w:rsid w:val="009F3991"/>
    <w:rsid w:val="009F3EFC"/>
    <w:rsid w:val="009F6B69"/>
    <w:rsid w:val="00A10B96"/>
    <w:rsid w:val="00A177CD"/>
    <w:rsid w:val="00A202D7"/>
    <w:rsid w:val="00A21618"/>
    <w:rsid w:val="00A21665"/>
    <w:rsid w:val="00A225EB"/>
    <w:rsid w:val="00A262B3"/>
    <w:rsid w:val="00A26917"/>
    <w:rsid w:val="00A35141"/>
    <w:rsid w:val="00A35A5E"/>
    <w:rsid w:val="00A415E3"/>
    <w:rsid w:val="00A426D9"/>
    <w:rsid w:val="00A45F48"/>
    <w:rsid w:val="00A621B0"/>
    <w:rsid w:val="00A72180"/>
    <w:rsid w:val="00A74E49"/>
    <w:rsid w:val="00A773A3"/>
    <w:rsid w:val="00AA252A"/>
    <w:rsid w:val="00AA2C44"/>
    <w:rsid w:val="00AC2A90"/>
    <w:rsid w:val="00AD43E3"/>
    <w:rsid w:val="00AE34E7"/>
    <w:rsid w:val="00AF0AFB"/>
    <w:rsid w:val="00AF7214"/>
    <w:rsid w:val="00B03232"/>
    <w:rsid w:val="00B053C8"/>
    <w:rsid w:val="00B05937"/>
    <w:rsid w:val="00B10C7D"/>
    <w:rsid w:val="00B12A63"/>
    <w:rsid w:val="00B20D12"/>
    <w:rsid w:val="00B219EF"/>
    <w:rsid w:val="00B4360F"/>
    <w:rsid w:val="00B46B99"/>
    <w:rsid w:val="00B4775C"/>
    <w:rsid w:val="00B54402"/>
    <w:rsid w:val="00B6760A"/>
    <w:rsid w:val="00B83DC4"/>
    <w:rsid w:val="00BB7563"/>
    <w:rsid w:val="00BC0899"/>
    <w:rsid w:val="00BE28B4"/>
    <w:rsid w:val="00C0298E"/>
    <w:rsid w:val="00C13121"/>
    <w:rsid w:val="00C17077"/>
    <w:rsid w:val="00C1762E"/>
    <w:rsid w:val="00C20D59"/>
    <w:rsid w:val="00C37C3C"/>
    <w:rsid w:val="00C47601"/>
    <w:rsid w:val="00C53CE0"/>
    <w:rsid w:val="00C553E8"/>
    <w:rsid w:val="00C64B66"/>
    <w:rsid w:val="00C669C6"/>
    <w:rsid w:val="00C735FC"/>
    <w:rsid w:val="00C7792A"/>
    <w:rsid w:val="00C87D33"/>
    <w:rsid w:val="00C900CB"/>
    <w:rsid w:val="00C90434"/>
    <w:rsid w:val="00CA6ECC"/>
    <w:rsid w:val="00CA7EEA"/>
    <w:rsid w:val="00CB23FF"/>
    <w:rsid w:val="00CD5385"/>
    <w:rsid w:val="00CF007C"/>
    <w:rsid w:val="00CF08F6"/>
    <w:rsid w:val="00CF598C"/>
    <w:rsid w:val="00D02D71"/>
    <w:rsid w:val="00D21A15"/>
    <w:rsid w:val="00D51B3C"/>
    <w:rsid w:val="00D70DBE"/>
    <w:rsid w:val="00D85954"/>
    <w:rsid w:val="00D868FA"/>
    <w:rsid w:val="00D942D8"/>
    <w:rsid w:val="00DA1E6E"/>
    <w:rsid w:val="00DD3279"/>
    <w:rsid w:val="00DF6D58"/>
    <w:rsid w:val="00DF79A0"/>
    <w:rsid w:val="00E01285"/>
    <w:rsid w:val="00E06E72"/>
    <w:rsid w:val="00E101C5"/>
    <w:rsid w:val="00E14352"/>
    <w:rsid w:val="00E25CE9"/>
    <w:rsid w:val="00E25E58"/>
    <w:rsid w:val="00E274D7"/>
    <w:rsid w:val="00E35680"/>
    <w:rsid w:val="00E52AFF"/>
    <w:rsid w:val="00E54E41"/>
    <w:rsid w:val="00E77BFD"/>
    <w:rsid w:val="00EA4F02"/>
    <w:rsid w:val="00EA52D5"/>
    <w:rsid w:val="00EA62F4"/>
    <w:rsid w:val="00EE64AF"/>
    <w:rsid w:val="00EF0362"/>
    <w:rsid w:val="00EF7923"/>
    <w:rsid w:val="00F0169E"/>
    <w:rsid w:val="00F02ECD"/>
    <w:rsid w:val="00F03FEA"/>
    <w:rsid w:val="00F32F3A"/>
    <w:rsid w:val="00F3638E"/>
    <w:rsid w:val="00F37675"/>
    <w:rsid w:val="00F52189"/>
    <w:rsid w:val="00F843F0"/>
    <w:rsid w:val="00F845E1"/>
    <w:rsid w:val="00F87D7A"/>
    <w:rsid w:val="00F90E9A"/>
    <w:rsid w:val="00F9178B"/>
    <w:rsid w:val="00FA2D92"/>
    <w:rsid w:val="00FA79ED"/>
    <w:rsid w:val="00FB055D"/>
    <w:rsid w:val="00FB13FC"/>
    <w:rsid w:val="00FB20DA"/>
    <w:rsid w:val="00FB212B"/>
    <w:rsid w:val="00FC0C10"/>
    <w:rsid w:val="00FC1F1B"/>
    <w:rsid w:val="00FC312F"/>
    <w:rsid w:val="00FD336C"/>
    <w:rsid w:val="013155A1"/>
    <w:rsid w:val="015500B5"/>
    <w:rsid w:val="01761C8E"/>
    <w:rsid w:val="017A1376"/>
    <w:rsid w:val="01B15800"/>
    <w:rsid w:val="01C63A8E"/>
    <w:rsid w:val="01D976F9"/>
    <w:rsid w:val="022F04F2"/>
    <w:rsid w:val="0270045C"/>
    <w:rsid w:val="02F922EE"/>
    <w:rsid w:val="03036887"/>
    <w:rsid w:val="031B4FD7"/>
    <w:rsid w:val="03384BB1"/>
    <w:rsid w:val="03404A84"/>
    <w:rsid w:val="034C108A"/>
    <w:rsid w:val="03702A98"/>
    <w:rsid w:val="037265FD"/>
    <w:rsid w:val="03764E8B"/>
    <w:rsid w:val="03AD58A1"/>
    <w:rsid w:val="03C020B7"/>
    <w:rsid w:val="03CD538A"/>
    <w:rsid w:val="03EC21D1"/>
    <w:rsid w:val="03EE2230"/>
    <w:rsid w:val="043F0DA3"/>
    <w:rsid w:val="04903D4A"/>
    <w:rsid w:val="04A406D7"/>
    <w:rsid w:val="04BC5076"/>
    <w:rsid w:val="04E74098"/>
    <w:rsid w:val="04ED064B"/>
    <w:rsid w:val="05197C3C"/>
    <w:rsid w:val="05371309"/>
    <w:rsid w:val="05466AD0"/>
    <w:rsid w:val="05482E38"/>
    <w:rsid w:val="05645C7A"/>
    <w:rsid w:val="057D1D75"/>
    <w:rsid w:val="05D54EEB"/>
    <w:rsid w:val="05F11B00"/>
    <w:rsid w:val="05F9301F"/>
    <w:rsid w:val="062E4E15"/>
    <w:rsid w:val="063F521C"/>
    <w:rsid w:val="06436553"/>
    <w:rsid w:val="065B7836"/>
    <w:rsid w:val="066006B3"/>
    <w:rsid w:val="068D2C76"/>
    <w:rsid w:val="06A35673"/>
    <w:rsid w:val="06BF170C"/>
    <w:rsid w:val="06CB371E"/>
    <w:rsid w:val="072D56D3"/>
    <w:rsid w:val="07566DCB"/>
    <w:rsid w:val="075B7C46"/>
    <w:rsid w:val="075D5C72"/>
    <w:rsid w:val="07D8337E"/>
    <w:rsid w:val="08751C48"/>
    <w:rsid w:val="089E1A23"/>
    <w:rsid w:val="08A1728C"/>
    <w:rsid w:val="08E20120"/>
    <w:rsid w:val="08EE737B"/>
    <w:rsid w:val="09035DC8"/>
    <w:rsid w:val="09207B0A"/>
    <w:rsid w:val="092B1014"/>
    <w:rsid w:val="093A1BBD"/>
    <w:rsid w:val="094123AB"/>
    <w:rsid w:val="09415222"/>
    <w:rsid w:val="097048FE"/>
    <w:rsid w:val="09C21F0A"/>
    <w:rsid w:val="09CA6A7A"/>
    <w:rsid w:val="09DC263D"/>
    <w:rsid w:val="09F83C9C"/>
    <w:rsid w:val="0A037E2F"/>
    <w:rsid w:val="0A0402F4"/>
    <w:rsid w:val="0A5343BB"/>
    <w:rsid w:val="0A844F3D"/>
    <w:rsid w:val="0A870EFF"/>
    <w:rsid w:val="0A9224F0"/>
    <w:rsid w:val="0A9A0228"/>
    <w:rsid w:val="0AD76757"/>
    <w:rsid w:val="0AE64A4E"/>
    <w:rsid w:val="0B1A78A2"/>
    <w:rsid w:val="0BB36EDB"/>
    <w:rsid w:val="0BE135A2"/>
    <w:rsid w:val="0BE20A8D"/>
    <w:rsid w:val="0BE51FF2"/>
    <w:rsid w:val="0BFF003E"/>
    <w:rsid w:val="0C05520D"/>
    <w:rsid w:val="0C5149F8"/>
    <w:rsid w:val="0C545942"/>
    <w:rsid w:val="0C9408B1"/>
    <w:rsid w:val="0CFE691A"/>
    <w:rsid w:val="0D0E2027"/>
    <w:rsid w:val="0D34691D"/>
    <w:rsid w:val="0D41574A"/>
    <w:rsid w:val="0D5D637C"/>
    <w:rsid w:val="0D9E1D21"/>
    <w:rsid w:val="0D9F2933"/>
    <w:rsid w:val="0E000A31"/>
    <w:rsid w:val="0E020B6B"/>
    <w:rsid w:val="0E1D36E7"/>
    <w:rsid w:val="0E5C62A4"/>
    <w:rsid w:val="0E8303DF"/>
    <w:rsid w:val="0E8954E9"/>
    <w:rsid w:val="0E92762A"/>
    <w:rsid w:val="0EA8251A"/>
    <w:rsid w:val="0ED17707"/>
    <w:rsid w:val="0EFF4355"/>
    <w:rsid w:val="0F6B1F68"/>
    <w:rsid w:val="0F8006E5"/>
    <w:rsid w:val="0FB53FD4"/>
    <w:rsid w:val="0FD954EB"/>
    <w:rsid w:val="0FEC495B"/>
    <w:rsid w:val="10122345"/>
    <w:rsid w:val="10206D57"/>
    <w:rsid w:val="102A0D8F"/>
    <w:rsid w:val="1072244F"/>
    <w:rsid w:val="10755F8E"/>
    <w:rsid w:val="107A2943"/>
    <w:rsid w:val="107E409D"/>
    <w:rsid w:val="109C3C4F"/>
    <w:rsid w:val="10A514F5"/>
    <w:rsid w:val="10F7189A"/>
    <w:rsid w:val="11070E7A"/>
    <w:rsid w:val="110A197C"/>
    <w:rsid w:val="11807745"/>
    <w:rsid w:val="1186755C"/>
    <w:rsid w:val="1188035B"/>
    <w:rsid w:val="11A76FFD"/>
    <w:rsid w:val="11D72467"/>
    <w:rsid w:val="11F0327C"/>
    <w:rsid w:val="11F87298"/>
    <w:rsid w:val="122F0E53"/>
    <w:rsid w:val="12513953"/>
    <w:rsid w:val="12802AFE"/>
    <w:rsid w:val="12E23F25"/>
    <w:rsid w:val="12EB67CB"/>
    <w:rsid w:val="13072A44"/>
    <w:rsid w:val="1350413D"/>
    <w:rsid w:val="136038FD"/>
    <w:rsid w:val="13893C35"/>
    <w:rsid w:val="13EE6D17"/>
    <w:rsid w:val="142F202D"/>
    <w:rsid w:val="14530434"/>
    <w:rsid w:val="146D11F0"/>
    <w:rsid w:val="14717A98"/>
    <w:rsid w:val="147A11E7"/>
    <w:rsid w:val="14DB226E"/>
    <w:rsid w:val="150A6C7E"/>
    <w:rsid w:val="150B2B97"/>
    <w:rsid w:val="15140371"/>
    <w:rsid w:val="151547B8"/>
    <w:rsid w:val="152739BF"/>
    <w:rsid w:val="154510DF"/>
    <w:rsid w:val="154A0419"/>
    <w:rsid w:val="1552050A"/>
    <w:rsid w:val="1565274D"/>
    <w:rsid w:val="15767436"/>
    <w:rsid w:val="158110EF"/>
    <w:rsid w:val="16181B81"/>
    <w:rsid w:val="162E5AA9"/>
    <w:rsid w:val="163F2D4D"/>
    <w:rsid w:val="1649051E"/>
    <w:rsid w:val="1696350E"/>
    <w:rsid w:val="16A91EF8"/>
    <w:rsid w:val="16C3745D"/>
    <w:rsid w:val="16DD6B31"/>
    <w:rsid w:val="177C0994"/>
    <w:rsid w:val="178C25F4"/>
    <w:rsid w:val="17D810AE"/>
    <w:rsid w:val="17D95F7B"/>
    <w:rsid w:val="17E62AA7"/>
    <w:rsid w:val="17EF2C21"/>
    <w:rsid w:val="17F32CA0"/>
    <w:rsid w:val="180608F8"/>
    <w:rsid w:val="1812725A"/>
    <w:rsid w:val="18133A49"/>
    <w:rsid w:val="185809BE"/>
    <w:rsid w:val="18702526"/>
    <w:rsid w:val="188E1AD6"/>
    <w:rsid w:val="189B7D89"/>
    <w:rsid w:val="18C86529"/>
    <w:rsid w:val="18EF46F1"/>
    <w:rsid w:val="190845D9"/>
    <w:rsid w:val="19474245"/>
    <w:rsid w:val="19837757"/>
    <w:rsid w:val="198F6470"/>
    <w:rsid w:val="19AC652F"/>
    <w:rsid w:val="19DE5F80"/>
    <w:rsid w:val="19ED1BEB"/>
    <w:rsid w:val="1A0E0CCD"/>
    <w:rsid w:val="1A6B70D6"/>
    <w:rsid w:val="1AB81E7E"/>
    <w:rsid w:val="1ABD5C04"/>
    <w:rsid w:val="1AE56FAE"/>
    <w:rsid w:val="1B0C46DF"/>
    <w:rsid w:val="1B0E7CD9"/>
    <w:rsid w:val="1B4C7F71"/>
    <w:rsid w:val="1B842F14"/>
    <w:rsid w:val="1BA5515C"/>
    <w:rsid w:val="1BAE1D92"/>
    <w:rsid w:val="1BBC4394"/>
    <w:rsid w:val="1BDB434B"/>
    <w:rsid w:val="1BF21A5F"/>
    <w:rsid w:val="1BFF75B4"/>
    <w:rsid w:val="1C163621"/>
    <w:rsid w:val="1C51313B"/>
    <w:rsid w:val="1CCD3ED3"/>
    <w:rsid w:val="1CF33CDD"/>
    <w:rsid w:val="1D0826D3"/>
    <w:rsid w:val="1D300783"/>
    <w:rsid w:val="1D4F1A4B"/>
    <w:rsid w:val="1D6445C8"/>
    <w:rsid w:val="1D9539A6"/>
    <w:rsid w:val="1DB67C11"/>
    <w:rsid w:val="1DE820C9"/>
    <w:rsid w:val="1E1F60CD"/>
    <w:rsid w:val="1E69544E"/>
    <w:rsid w:val="1F270062"/>
    <w:rsid w:val="1F3B3685"/>
    <w:rsid w:val="1F3D026E"/>
    <w:rsid w:val="1F6B3698"/>
    <w:rsid w:val="1F8054F8"/>
    <w:rsid w:val="1FF22678"/>
    <w:rsid w:val="201A26D0"/>
    <w:rsid w:val="20481D81"/>
    <w:rsid w:val="205E2961"/>
    <w:rsid w:val="20733ECA"/>
    <w:rsid w:val="20B31AFE"/>
    <w:rsid w:val="20E45512"/>
    <w:rsid w:val="20E6393C"/>
    <w:rsid w:val="21311EA5"/>
    <w:rsid w:val="214040A4"/>
    <w:rsid w:val="2183368C"/>
    <w:rsid w:val="218F2C39"/>
    <w:rsid w:val="21C25F7F"/>
    <w:rsid w:val="21C86D7A"/>
    <w:rsid w:val="21EB5CEA"/>
    <w:rsid w:val="21F148E9"/>
    <w:rsid w:val="220240D5"/>
    <w:rsid w:val="220B1D86"/>
    <w:rsid w:val="2259669D"/>
    <w:rsid w:val="22D86BB8"/>
    <w:rsid w:val="22E00F7B"/>
    <w:rsid w:val="22FF517E"/>
    <w:rsid w:val="232625C2"/>
    <w:rsid w:val="238B5451"/>
    <w:rsid w:val="23A67556"/>
    <w:rsid w:val="23B01B1D"/>
    <w:rsid w:val="24053DA7"/>
    <w:rsid w:val="240750AB"/>
    <w:rsid w:val="2449672E"/>
    <w:rsid w:val="25177E64"/>
    <w:rsid w:val="25272816"/>
    <w:rsid w:val="2545757F"/>
    <w:rsid w:val="25712875"/>
    <w:rsid w:val="25A55563"/>
    <w:rsid w:val="263521FC"/>
    <w:rsid w:val="26397D09"/>
    <w:rsid w:val="265A5A10"/>
    <w:rsid w:val="266151C4"/>
    <w:rsid w:val="26A22471"/>
    <w:rsid w:val="26F56781"/>
    <w:rsid w:val="270E526E"/>
    <w:rsid w:val="27497263"/>
    <w:rsid w:val="277C704E"/>
    <w:rsid w:val="27D165A2"/>
    <w:rsid w:val="27D23000"/>
    <w:rsid w:val="28201DDD"/>
    <w:rsid w:val="287C7670"/>
    <w:rsid w:val="287F0225"/>
    <w:rsid w:val="28967876"/>
    <w:rsid w:val="28F161A2"/>
    <w:rsid w:val="28FD484F"/>
    <w:rsid w:val="2934369F"/>
    <w:rsid w:val="294806D3"/>
    <w:rsid w:val="29601992"/>
    <w:rsid w:val="29A06193"/>
    <w:rsid w:val="29C40D94"/>
    <w:rsid w:val="29C75BF1"/>
    <w:rsid w:val="29E87CCF"/>
    <w:rsid w:val="2A905451"/>
    <w:rsid w:val="2A905CCB"/>
    <w:rsid w:val="2B531624"/>
    <w:rsid w:val="2B742CD9"/>
    <w:rsid w:val="2B82289D"/>
    <w:rsid w:val="2B844F20"/>
    <w:rsid w:val="2B961680"/>
    <w:rsid w:val="2BA763AF"/>
    <w:rsid w:val="2BB51544"/>
    <w:rsid w:val="2BC26BE9"/>
    <w:rsid w:val="2BCB1CCD"/>
    <w:rsid w:val="2BED42B0"/>
    <w:rsid w:val="2BF70342"/>
    <w:rsid w:val="2BF72439"/>
    <w:rsid w:val="2C013C83"/>
    <w:rsid w:val="2C120FBA"/>
    <w:rsid w:val="2C397FEA"/>
    <w:rsid w:val="2C6E5F8B"/>
    <w:rsid w:val="2C7429B5"/>
    <w:rsid w:val="2D1550EE"/>
    <w:rsid w:val="2D3A1340"/>
    <w:rsid w:val="2D5A6311"/>
    <w:rsid w:val="2D5D0A2F"/>
    <w:rsid w:val="2D6F0544"/>
    <w:rsid w:val="2DDB109D"/>
    <w:rsid w:val="2E224D3B"/>
    <w:rsid w:val="2E503645"/>
    <w:rsid w:val="2E5248C2"/>
    <w:rsid w:val="2E8F6D9B"/>
    <w:rsid w:val="2EB51B69"/>
    <w:rsid w:val="2F545A81"/>
    <w:rsid w:val="2F603644"/>
    <w:rsid w:val="2F6D2B41"/>
    <w:rsid w:val="2F9E402D"/>
    <w:rsid w:val="300C3CE1"/>
    <w:rsid w:val="3016329F"/>
    <w:rsid w:val="303C45D4"/>
    <w:rsid w:val="303C7515"/>
    <w:rsid w:val="30592DBB"/>
    <w:rsid w:val="30885639"/>
    <w:rsid w:val="309B5AA8"/>
    <w:rsid w:val="30A42393"/>
    <w:rsid w:val="30C61C16"/>
    <w:rsid w:val="30C95219"/>
    <w:rsid w:val="30CB379B"/>
    <w:rsid w:val="30D74F49"/>
    <w:rsid w:val="30D96822"/>
    <w:rsid w:val="30F67062"/>
    <w:rsid w:val="31032936"/>
    <w:rsid w:val="310E7A63"/>
    <w:rsid w:val="312E5D97"/>
    <w:rsid w:val="315F2B6B"/>
    <w:rsid w:val="31C75A19"/>
    <w:rsid w:val="31F65444"/>
    <w:rsid w:val="31FD2DFF"/>
    <w:rsid w:val="31FE1724"/>
    <w:rsid w:val="321D581C"/>
    <w:rsid w:val="32505F18"/>
    <w:rsid w:val="325A7C84"/>
    <w:rsid w:val="32625790"/>
    <w:rsid w:val="3283636F"/>
    <w:rsid w:val="32E57142"/>
    <w:rsid w:val="330149B7"/>
    <w:rsid w:val="3314415B"/>
    <w:rsid w:val="339F4A25"/>
    <w:rsid w:val="33B331DE"/>
    <w:rsid w:val="33C418AF"/>
    <w:rsid w:val="340F51A7"/>
    <w:rsid w:val="343A10AD"/>
    <w:rsid w:val="343E2D93"/>
    <w:rsid w:val="345D70F2"/>
    <w:rsid w:val="349B490F"/>
    <w:rsid w:val="34A57DFD"/>
    <w:rsid w:val="34A86B2E"/>
    <w:rsid w:val="34B016E8"/>
    <w:rsid w:val="34DF4479"/>
    <w:rsid w:val="34E5788C"/>
    <w:rsid w:val="34F96D78"/>
    <w:rsid w:val="353F3CFB"/>
    <w:rsid w:val="354635F4"/>
    <w:rsid w:val="356D485B"/>
    <w:rsid w:val="359871BA"/>
    <w:rsid w:val="35A946B7"/>
    <w:rsid w:val="35AC7563"/>
    <w:rsid w:val="35CD4CB1"/>
    <w:rsid w:val="35E36877"/>
    <w:rsid w:val="35EC1630"/>
    <w:rsid w:val="35EF4932"/>
    <w:rsid w:val="360629A0"/>
    <w:rsid w:val="361653D4"/>
    <w:rsid w:val="3663496C"/>
    <w:rsid w:val="36751AE8"/>
    <w:rsid w:val="369C412D"/>
    <w:rsid w:val="36C40E55"/>
    <w:rsid w:val="36DF1167"/>
    <w:rsid w:val="36FF081C"/>
    <w:rsid w:val="373C022C"/>
    <w:rsid w:val="376E1DCB"/>
    <w:rsid w:val="37920AEE"/>
    <w:rsid w:val="37D556C3"/>
    <w:rsid w:val="37EA1649"/>
    <w:rsid w:val="37EF2846"/>
    <w:rsid w:val="37F81858"/>
    <w:rsid w:val="38172D0E"/>
    <w:rsid w:val="3869321A"/>
    <w:rsid w:val="38792CDB"/>
    <w:rsid w:val="38905D39"/>
    <w:rsid w:val="38A53F6C"/>
    <w:rsid w:val="38D94CED"/>
    <w:rsid w:val="38E17475"/>
    <w:rsid w:val="38E31684"/>
    <w:rsid w:val="38FD1A9E"/>
    <w:rsid w:val="391E1F52"/>
    <w:rsid w:val="39465DF3"/>
    <w:rsid w:val="394A250A"/>
    <w:rsid w:val="394A5FF0"/>
    <w:rsid w:val="396B5391"/>
    <w:rsid w:val="39D4085C"/>
    <w:rsid w:val="39E135D3"/>
    <w:rsid w:val="3A7845C1"/>
    <w:rsid w:val="3AC50852"/>
    <w:rsid w:val="3B0838F5"/>
    <w:rsid w:val="3B626996"/>
    <w:rsid w:val="3B7E4E15"/>
    <w:rsid w:val="3BB719E6"/>
    <w:rsid w:val="3BC5739B"/>
    <w:rsid w:val="3BCC0025"/>
    <w:rsid w:val="3C1D10AF"/>
    <w:rsid w:val="3C3505F9"/>
    <w:rsid w:val="3C356645"/>
    <w:rsid w:val="3CA56B3A"/>
    <w:rsid w:val="3CAC15D2"/>
    <w:rsid w:val="3CC75CC4"/>
    <w:rsid w:val="3D061283"/>
    <w:rsid w:val="3D1D5C49"/>
    <w:rsid w:val="3D6847CB"/>
    <w:rsid w:val="3D911634"/>
    <w:rsid w:val="3D914B34"/>
    <w:rsid w:val="3DDA79A5"/>
    <w:rsid w:val="3E0840D2"/>
    <w:rsid w:val="3E107CA2"/>
    <w:rsid w:val="3E371D14"/>
    <w:rsid w:val="3E504A51"/>
    <w:rsid w:val="3E5D7F6D"/>
    <w:rsid w:val="3E7F0FD3"/>
    <w:rsid w:val="3E8A3B75"/>
    <w:rsid w:val="3E9F1815"/>
    <w:rsid w:val="3ECF20BA"/>
    <w:rsid w:val="3EDF4135"/>
    <w:rsid w:val="3EE576C2"/>
    <w:rsid w:val="3EF118FE"/>
    <w:rsid w:val="3EFE4C27"/>
    <w:rsid w:val="3F164620"/>
    <w:rsid w:val="3F1A21D8"/>
    <w:rsid w:val="3F1B3BC9"/>
    <w:rsid w:val="3F3050EE"/>
    <w:rsid w:val="3F3A7B06"/>
    <w:rsid w:val="3F420948"/>
    <w:rsid w:val="3F744303"/>
    <w:rsid w:val="3F8F4793"/>
    <w:rsid w:val="3FBD4F61"/>
    <w:rsid w:val="3FDE29F3"/>
    <w:rsid w:val="3FF57DD8"/>
    <w:rsid w:val="3FF764FC"/>
    <w:rsid w:val="40143557"/>
    <w:rsid w:val="40214590"/>
    <w:rsid w:val="402B7E3F"/>
    <w:rsid w:val="402D5435"/>
    <w:rsid w:val="40382467"/>
    <w:rsid w:val="40A801E1"/>
    <w:rsid w:val="40DE50BE"/>
    <w:rsid w:val="40E65467"/>
    <w:rsid w:val="40EC50F5"/>
    <w:rsid w:val="4115614A"/>
    <w:rsid w:val="411A4C6D"/>
    <w:rsid w:val="41322588"/>
    <w:rsid w:val="4186530E"/>
    <w:rsid w:val="41933E14"/>
    <w:rsid w:val="419633AA"/>
    <w:rsid w:val="41A85037"/>
    <w:rsid w:val="41F25CC2"/>
    <w:rsid w:val="41F92E0C"/>
    <w:rsid w:val="41F95E8A"/>
    <w:rsid w:val="42351E71"/>
    <w:rsid w:val="42670166"/>
    <w:rsid w:val="4284303B"/>
    <w:rsid w:val="42847D13"/>
    <w:rsid w:val="42997ED6"/>
    <w:rsid w:val="42AA07D4"/>
    <w:rsid w:val="42AD7A50"/>
    <w:rsid w:val="42D9753D"/>
    <w:rsid w:val="42EE35DB"/>
    <w:rsid w:val="431E58B7"/>
    <w:rsid w:val="432B278D"/>
    <w:rsid w:val="433F5964"/>
    <w:rsid w:val="43825D54"/>
    <w:rsid w:val="43A8521B"/>
    <w:rsid w:val="43FE31BB"/>
    <w:rsid w:val="446413C5"/>
    <w:rsid w:val="448F2D07"/>
    <w:rsid w:val="44D06CEB"/>
    <w:rsid w:val="45016D6F"/>
    <w:rsid w:val="454C5773"/>
    <w:rsid w:val="45A80E97"/>
    <w:rsid w:val="45C53D25"/>
    <w:rsid w:val="45E84B26"/>
    <w:rsid w:val="460A3EB2"/>
    <w:rsid w:val="46295027"/>
    <w:rsid w:val="467C1E8C"/>
    <w:rsid w:val="46993270"/>
    <w:rsid w:val="46AB6703"/>
    <w:rsid w:val="46FA2178"/>
    <w:rsid w:val="46FD6304"/>
    <w:rsid w:val="470343A1"/>
    <w:rsid w:val="472B474E"/>
    <w:rsid w:val="47687328"/>
    <w:rsid w:val="47752ACA"/>
    <w:rsid w:val="47802038"/>
    <w:rsid w:val="478B6735"/>
    <w:rsid w:val="47AF4D11"/>
    <w:rsid w:val="47D9106D"/>
    <w:rsid w:val="47F6349A"/>
    <w:rsid w:val="47FB099F"/>
    <w:rsid w:val="48240957"/>
    <w:rsid w:val="483504F4"/>
    <w:rsid w:val="488009FE"/>
    <w:rsid w:val="48A7564B"/>
    <w:rsid w:val="49293FFF"/>
    <w:rsid w:val="493B1131"/>
    <w:rsid w:val="49620FF1"/>
    <w:rsid w:val="496557F9"/>
    <w:rsid w:val="49BF66B8"/>
    <w:rsid w:val="49C20808"/>
    <w:rsid w:val="49FA5EF6"/>
    <w:rsid w:val="4A222BCC"/>
    <w:rsid w:val="4A432BA3"/>
    <w:rsid w:val="4A72756B"/>
    <w:rsid w:val="4A797541"/>
    <w:rsid w:val="4A901A63"/>
    <w:rsid w:val="4AB36AE6"/>
    <w:rsid w:val="4AB752FD"/>
    <w:rsid w:val="4AE66BEE"/>
    <w:rsid w:val="4AEA7D55"/>
    <w:rsid w:val="4B010B09"/>
    <w:rsid w:val="4B12203C"/>
    <w:rsid w:val="4B1F4CC3"/>
    <w:rsid w:val="4B334702"/>
    <w:rsid w:val="4B3D77E8"/>
    <w:rsid w:val="4B461912"/>
    <w:rsid w:val="4B4F0B9C"/>
    <w:rsid w:val="4BC149DF"/>
    <w:rsid w:val="4C13635C"/>
    <w:rsid w:val="4C2578FB"/>
    <w:rsid w:val="4C2E0E14"/>
    <w:rsid w:val="4C605F1C"/>
    <w:rsid w:val="4C735E07"/>
    <w:rsid w:val="4CC1687A"/>
    <w:rsid w:val="4CE4489C"/>
    <w:rsid w:val="4D1E0B50"/>
    <w:rsid w:val="4D28077C"/>
    <w:rsid w:val="4D306BFF"/>
    <w:rsid w:val="4D510618"/>
    <w:rsid w:val="4D56350C"/>
    <w:rsid w:val="4E4179EE"/>
    <w:rsid w:val="4E767DC2"/>
    <w:rsid w:val="4E7D64B2"/>
    <w:rsid w:val="4E8F6F3C"/>
    <w:rsid w:val="4ED57ECB"/>
    <w:rsid w:val="4F396355"/>
    <w:rsid w:val="4F3B68EA"/>
    <w:rsid w:val="4FCE03C2"/>
    <w:rsid w:val="501944E0"/>
    <w:rsid w:val="506E40B6"/>
    <w:rsid w:val="50A246A0"/>
    <w:rsid w:val="50C10B50"/>
    <w:rsid w:val="50F66874"/>
    <w:rsid w:val="50F93B21"/>
    <w:rsid w:val="510711CE"/>
    <w:rsid w:val="51072FE8"/>
    <w:rsid w:val="513251E3"/>
    <w:rsid w:val="515506DA"/>
    <w:rsid w:val="515E0E0C"/>
    <w:rsid w:val="517C44DB"/>
    <w:rsid w:val="519F2803"/>
    <w:rsid w:val="51B24506"/>
    <w:rsid w:val="51D3784E"/>
    <w:rsid w:val="51D57B4F"/>
    <w:rsid w:val="51EA36D4"/>
    <w:rsid w:val="52033C2F"/>
    <w:rsid w:val="52077FA0"/>
    <w:rsid w:val="521141FF"/>
    <w:rsid w:val="52133FB2"/>
    <w:rsid w:val="52414FCD"/>
    <w:rsid w:val="52603064"/>
    <w:rsid w:val="52677290"/>
    <w:rsid w:val="52730954"/>
    <w:rsid w:val="5283201D"/>
    <w:rsid w:val="52A506A9"/>
    <w:rsid w:val="52B27FA0"/>
    <w:rsid w:val="531B5950"/>
    <w:rsid w:val="53322158"/>
    <w:rsid w:val="533D001D"/>
    <w:rsid w:val="53AE4E59"/>
    <w:rsid w:val="53D725CB"/>
    <w:rsid w:val="53F60B93"/>
    <w:rsid w:val="542B42CD"/>
    <w:rsid w:val="54416508"/>
    <w:rsid w:val="54440BD0"/>
    <w:rsid w:val="54967355"/>
    <w:rsid w:val="5542741B"/>
    <w:rsid w:val="55AE5125"/>
    <w:rsid w:val="55D13336"/>
    <w:rsid w:val="562528DD"/>
    <w:rsid w:val="56443477"/>
    <w:rsid w:val="56686407"/>
    <w:rsid w:val="568203C1"/>
    <w:rsid w:val="569A4C92"/>
    <w:rsid w:val="570C6A4D"/>
    <w:rsid w:val="580637F9"/>
    <w:rsid w:val="580C057E"/>
    <w:rsid w:val="58175E51"/>
    <w:rsid w:val="581B26ED"/>
    <w:rsid w:val="586B6CF0"/>
    <w:rsid w:val="58A33E0B"/>
    <w:rsid w:val="590B4AF5"/>
    <w:rsid w:val="590F3EDF"/>
    <w:rsid w:val="593761E7"/>
    <w:rsid w:val="59850C17"/>
    <w:rsid w:val="598C7DB0"/>
    <w:rsid w:val="599E7685"/>
    <w:rsid w:val="5A0679B5"/>
    <w:rsid w:val="5A170EA8"/>
    <w:rsid w:val="5A40568A"/>
    <w:rsid w:val="5A6841BE"/>
    <w:rsid w:val="5A6C4CE3"/>
    <w:rsid w:val="5ABA59B1"/>
    <w:rsid w:val="5B3E5686"/>
    <w:rsid w:val="5B4465A2"/>
    <w:rsid w:val="5B547D0E"/>
    <w:rsid w:val="5B614E05"/>
    <w:rsid w:val="5B630C7D"/>
    <w:rsid w:val="5BBB54FB"/>
    <w:rsid w:val="5C366A56"/>
    <w:rsid w:val="5C373EE9"/>
    <w:rsid w:val="5CA16ABA"/>
    <w:rsid w:val="5CA87BE6"/>
    <w:rsid w:val="5CB35126"/>
    <w:rsid w:val="5CCA2A16"/>
    <w:rsid w:val="5CD37180"/>
    <w:rsid w:val="5D0D0413"/>
    <w:rsid w:val="5D226ACA"/>
    <w:rsid w:val="5D3778A4"/>
    <w:rsid w:val="5D457FF7"/>
    <w:rsid w:val="5D50269A"/>
    <w:rsid w:val="5D873867"/>
    <w:rsid w:val="5DC540A7"/>
    <w:rsid w:val="5DC913EB"/>
    <w:rsid w:val="5DEC28A5"/>
    <w:rsid w:val="5E0962AB"/>
    <w:rsid w:val="5E324CFB"/>
    <w:rsid w:val="5E8B6A9F"/>
    <w:rsid w:val="5EB35C37"/>
    <w:rsid w:val="5EF06C4F"/>
    <w:rsid w:val="5EFA71E0"/>
    <w:rsid w:val="5F5D6BA7"/>
    <w:rsid w:val="5F6A0D11"/>
    <w:rsid w:val="5F7FD30C"/>
    <w:rsid w:val="5F827F64"/>
    <w:rsid w:val="5FA41BF6"/>
    <w:rsid w:val="601B795D"/>
    <w:rsid w:val="601C1E0A"/>
    <w:rsid w:val="6094507D"/>
    <w:rsid w:val="609C218E"/>
    <w:rsid w:val="60EF3577"/>
    <w:rsid w:val="610F24CD"/>
    <w:rsid w:val="612F2FC5"/>
    <w:rsid w:val="61622C63"/>
    <w:rsid w:val="61626FFC"/>
    <w:rsid w:val="61810DAC"/>
    <w:rsid w:val="61BA34EB"/>
    <w:rsid w:val="61BF5410"/>
    <w:rsid w:val="61D1023E"/>
    <w:rsid w:val="61F64342"/>
    <w:rsid w:val="62361D20"/>
    <w:rsid w:val="626838A5"/>
    <w:rsid w:val="6274710A"/>
    <w:rsid w:val="628C46DC"/>
    <w:rsid w:val="62C15EF4"/>
    <w:rsid w:val="62E51B3A"/>
    <w:rsid w:val="63230500"/>
    <w:rsid w:val="63920A42"/>
    <w:rsid w:val="63EA4DF9"/>
    <w:rsid w:val="64760EA5"/>
    <w:rsid w:val="64963F53"/>
    <w:rsid w:val="64AB7DC0"/>
    <w:rsid w:val="64CC30EB"/>
    <w:rsid w:val="650B08C0"/>
    <w:rsid w:val="654B5208"/>
    <w:rsid w:val="65611872"/>
    <w:rsid w:val="656C6C0C"/>
    <w:rsid w:val="65D07FCE"/>
    <w:rsid w:val="663B023B"/>
    <w:rsid w:val="663C6FD7"/>
    <w:rsid w:val="664A1A6A"/>
    <w:rsid w:val="665C45F9"/>
    <w:rsid w:val="66812415"/>
    <w:rsid w:val="669D5EA9"/>
    <w:rsid w:val="66AE6963"/>
    <w:rsid w:val="66C657ED"/>
    <w:rsid w:val="66D95112"/>
    <w:rsid w:val="67107514"/>
    <w:rsid w:val="67E805FD"/>
    <w:rsid w:val="67F72DF6"/>
    <w:rsid w:val="68083B50"/>
    <w:rsid w:val="686F0A84"/>
    <w:rsid w:val="68752CEE"/>
    <w:rsid w:val="68834BBC"/>
    <w:rsid w:val="688E629F"/>
    <w:rsid w:val="68A07A87"/>
    <w:rsid w:val="68CE2566"/>
    <w:rsid w:val="69006B8C"/>
    <w:rsid w:val="69272501"/>
    <w:rsid w:val="69603B4A"/>
    <w:rsid w:val="696320E7"/>
    <w:rsid w:val="69B610FC"/>
    <w:rsid w:val="69BB3DA4"/>
    <w:rsid w:val="69FD4CF6"/>
    <w:rsid w:val="6A295EBD"/>
    <w:rsid w:val="6A6352C7"/>
    <w:rsid w:val="6A997CA6"/>
    <w:rsid w:val="6AA22B30"/>
    <w:rsid w:val="6AA32632"/>
    <w:rsid w:val="6ABA55F7"/>
    <w:rsid w:val="6ABD60AB"/>
    <w:rsid w:val="6AD55B45"/>
    <w:rsid w:val="6ADA7BDA"/>
    <w:rsid w:val="6B0745D7"/>
    <w:rsid w:val="6B224577"/>
    <w:rsid w:val="6B47600F"/>
    <w:rsid w:val="6B653C15"/>
    <w:rsid w:val="6B932C0C"/>
    <w:rsid w:val="6B9A4D15"/>
    <w:rsid w:val="6BAB2D0D"/>
    <w:rsid w:val="6BB11146"/>
    <w:rsid w:val="6BC87F76"/>
    <w:rsid w:val="6C34399D"/>
    <w:rsid w:val="6C5F064E"/>
    <w:rsid w:val="6C7A74B6"/>
    <w:rsid w:val="6CBF6AF6"/>
    <w:rsid w:val="6CDC3602"/>
    <w:rsid w:val="6CFC2696"/>
    <w:rsid w:val="6D011978"/>
    <w:rsid w:val="6D4C7577"/>
    <w:rsid w:val="6D810725"/>
    <w:rsid w:val="6DE9329C"/>
    <w:rsid w:val="6DF40034"/>
    <w:rsid w:val="6E084582"/>
    <w:rsid w:val="6E20323A"/>
    <w:rsid w:val="6E8354DD"/>
    <w:rsid w:val="6EC15016"/>
    <w:rsid w:val="6EC3482A"/>
    <w:rsid w:val="6ED95DEA"/>
    <w:rsid w:val="6F134DCC"/>
    <w:rsid w:val="6F59670E"/>
    <w:rsid w:val="6F670D3C"/>
    <w:rsid w:val="6F846384"/>
    <w:rsid w:val="6F9629C5"/>
    <w:rsid w:val="6FAD1747"/>
    <w:rsid w:val="6FB00B6F"/>
    <w:rsid w:val="6FD14D46"/>
    <w:rsid w:val="6FFE024C"/>
    <w:rsid w:val="70172A2E"/>
    <w:rsid w:val="704B25D4"/>
    <w:rsid w:val="705742C5"/>
    <w:rsid w:val="708519A6"/>
    <w:rsid w:val="70953AEF"/>
    <w:rsid w:val="70B0102E"/>
    <w:rsid w:val="70D84686"/>
    <w:rsid w:val="710A3C02"/>
    <w:rsid w:val="711B49BC"/>
    <w:rsid w:val="712212A8"/>
    <w:rsid w:val="71224B2C"/>
    <w:rsid w:val="712D491D"/>
    <w:rsid w:val="715B5FA9"/>
    <w:rsid w:val="719D69F4"/>
    <w:rsid w:val="71A56C9B"/>
    <w:rsid w:val="71C10EE3"/>
    <w:rsid w:val="721B72C2"/>
    <w:rsid w:val="726C3D11"/>
    <w:rsid w:val="72834335"/>
    <w:rsid w:val="729B455F"/>
    <w:rsid w:val="72CE5ACF"/>
    <w:rsid w:val="72CF006A"/>
    <w:rsid w:val="72FE667A"/>
    <w:rsid w:val="73352289"/>
    <w:rsid w:val="73430029"/>
    <w:rsid w:val="73533CF4"/>
    <w:rsid w:val="73674D66"/>
    <w:rsid w:val="738144AE"/>
    <w:rsid w:val="73A94202"/>
    <w:rsid w:val="73D8077E"/>
    <w:rsid w:val="73F321EC"/>
    <w:rsid w:val="73FD7457"/>
    <w:rsid w:val="7455154F"/>
    <w:rsid w:val="74667C0C"/>
    <w:rsid w:val="74767C58"/>
    <w:rsid w:val="748928BF"/>
    <w:rsid w:val="748D7802"/>
    <w:rsid w:val="749F7D37"/>
    <w:rsid w:val="74A2489D"/>
    <w:rsid w:val="74B71526"/>
    <w:rsid w:val="74DA6C11"/>
    <w:rsid w:val="74DE763D"/>
    <w:rsid w:val="754427F8"/>
    <w:rsid w:val="75663E2A"/>
    <w:rsid w:val="75680EDD"/>
    <w:rsid w:val="75694192"/>
    <w:rsid w:val="756A176D"/>
    <w:rsid w:val="757B2EFF"/>
    <w:rsid w:val="757C60BA"/>
    <w:rsid w:val="758523D5"/>
    <w:rsid w:val="75A52E18"/>
    <w:rsid w:val="75AC36CE"/>
    <w:rsid w:val="75B93025"/>
    <w:rsid w:val="75C500C8"/>
    <w:rsid w:val="75D14FF0"/>
    <w:rsid w:val="75DA35DC"/>
    <w:rsid w:val="75FE6729"/>
    <w:rsid w:val="76005923"/>
    <w:rsid w:val="7616249B"/>
    <w:rsid w:val="76170DCC"/>
    <w:rsid w:val="76826103"/>
    <w:rsid w:val="76830FE1"/>
    <w:rsid w:val="76E05A0A"/>
    <w:rsid w:val="770F4397"/>
    <w:rsid w:val="77123849"/>
    <w:rsid w:val="776E137D"/>
    <w:rsid w:val="777A358B"/>
    <w:rsid w:val="77850FA2"/>
    <w:rsid w:val="7788474A"/>
    <w:rsid w:val="77B67B5F"/>
    <w:rsid w:val="783B31FD"/>
    <w:rsid w:val="78497278"/>
    <w:rsid w:val="785F1566"/>
    <w:rsid w:val="78792F3B"/>
    <w:rsid w:val="78B56D31"/>
    <w:rsid w:val="78C94D0A"/>
    <w:rsid w:val="790B2B61"/>
    <w:rsid w:val="792A33BB"/>
    <w:rsid w:val="79307F75"/>
    <w:rsid w:val="79810750"/>
    <w:rsid w:val="79BB2739"/>
    <w:rsid w:val="79CC7A3A"/>
    <w:rsid w:val="79E43492"/>
    <w:rsid w:val="79E9620E"/>
    <w:rsid w:val="79F904DD"/>
    <w:rsid w:val="7A6648DE"/>
    <w:rsid w:val="7AC15EF1"/>
    <w:rsid w:val="7AC55644"/>
    <w:rsid w:val="7AE476EA"/>
    <w:rsid w:val="7B1D3CA2"/>
    <w:rsid w:val="7B2C0E24"/>
    <w:rsid w:val="7B6A54D9"/>
    <w:rsid w:val="7BE76D09"/>
    <w:rsid w:val="7BF3536A"/>
    <w:rsid w:val="7C1169AE"/>
    <w:rsid w:val="7C403C03"/>
    <w:rsid w:val="7C472E92"/>
    <w:rsid w:val="7C616904"/>
    <w:rsid w:val="7C822CE8"/>
    <w:rsid w:val="7C896B62"/>
    <w:rsid w:val="7C9C00D8"/>
    <w:rsid w:val="7CDA23D6"/>
    <w:rsid w:val="7CF40E8A"/>
    <w:rsid w:val="7D2232B3"/>
    <w:rsid w:val="7D4B31AF"/>
    <w:rsid w:val="7D7D05AB"/>
    <w:rsid w:val="7DF74FF8"/>
    <w:rsid w:val="7DF969B8"/>
    <w:rsid w:val="7E0000DB"/>
    <w:rsid w:val="7E0D7ED1"/>
    <w:rsid w:val="7E163D6A"/>
    <w:rsid w:val="7E2A0CE2"/>
    <w:rsid w:val="7E664DEE"/>
    <w:rsid w:val="7EBC73A8"/>
    <w:rsid w:val="7F0C4881"/>
    <w:rsid w:val="7FCC0955"/>
    <w:rsid w:val="7FD5136B"/>
    <w:rsid w:val="7FFD0EBB"/>
    <w:rsid w:val="BEE6C3E8"/>
    <w:rsid w:val="FBF51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30"/>
    <w:qFormat/>
    <w:uiPriority w:val="9"/>
    <w:pPr>
      <w:keepNext/>
      <w:keepLines/>
      <w:numPr>
        <w:ilvl w:val="0"/>
        <w:numId w:val="1"/>
      </w:numPr>
      <w:spacing w:before="340" w:after="330" w:line="578" w:lineRule="auto"/>
      <w:ind w:left="0" w:firstLine="0"/>
      <w:outlineLvl w:val="0"/>
    </w:pPr>
    <w:rPr>
      <w:rFonts w:eastAsia="仿宋"/>
      <w:b/>
      <w:bCs/>
      <w:kern w:val="44"/>
      <w:sz w:val="32"/>
      <w:szCs w:val="44"/>
    </w:rPr>
  </w:style>
  <w:style w:type="paragraph" w:styleId="4">
    <w:name w:val="heading 2"/>
    <w:basedOn w:val="1"/>
    <w:next w:val="1"/>
    <w:link w:val="31"/>
    <w:unhideWhenUsed/>
    <w:qFormat/>
    <w:uiPriority w:val="9"/>
    <w:pPr>
      <w:keepNext/>
      <w:keepLines/>
      <w:numPr>
        <w:ilvl w:val="0"/>
        <w:numId w:val="2"/>
      </w:numPr>
      <w:spacing w:before="260" w:after="260" w:line="416" w:lineRule="auto"/>
      <w:outlineLvl w:val="1"/>
    </w:pPr>
    <w:rPr>
      <w:rFonts w:eastAsia="仿宋" w:asciiTheme="majorHAnsi" w:hAnsiTheme="majorHAnsi" w:cstheme="majorBidi"/>
      <w:bCs/>
      <w:sz w:val="32"/>
      <w:szCs w:val="32"/>
    </w:rPr>
  </w:style>
  <w:style w:type="paragraph" w:styleId="5">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28"/>
    <w:unhideWhenUsed/>
    <w:qFormat/>
    <w:uiPriority w:val="99"/>
    <w:pPr>
      <w:tabs>
        <w:tab w:val="center" w:pos="4153"/>
        <w:tab w:val="right" w:pos="8306"/>
      </w:tabs>
      <w:snapToGrid w:val="0"/>
      <w:jc w:val="left"/>
    </w:pPr>
    <w:rPr>
      <w:sz w:val="18"/>
      <w:szCs w:val="18"/>
    </w:rPr>
  </w:style>
  <w:style w:type="paragraph" w:styleId="6">
    <w:name w:val="caption"/>
    <w:basedOn w:val="1"/>
    <w:next w:val="1"/>
    <w:unhideWhenUsed/>
    <w:qFormat/>
    <w:uiPriority w:val="35"/>
    <w:rPr>
      <w:rFonts w:eastAsia="黑体" w:asciiTheme="majorHAnsi" w:hAnsiTheme="majorHAnsi" w:cstheme="majorBidi"/>
      <w:sz w:val="20"/>
      <w:szCs w:val="20"/>
    </w:rPr>
  </w:style>
  <w:style w:type="paragraph" w:styleId="7">
    <w:name w:val="annotation text"/>
    <w:basedOn w:val="1"/>
    <w:link w:val="37"/>
    <w:semiHidden/>
    <w:unhideWhenUsed/>
    <w:qFormat/>
    <w:uiPriority w:val="99"/>
    <w:pPr>
      <w:jc w:val="left"/>
    </w:pPr>
  </w:style>
  <w:style w:type="paragraph" w:styleId="8">
    <w:name w:val="Body Text"/>
    <w:basedOn w:val="1"/>
    <w:qFormat/>
    <w:uiPriority w:val="0"/>
  </w:style>
  <w:style w:type="paragraph" w:styleId="9">
    <w:name w:val="Body Text Indent"/>
    <w:basedOn w:val="1"/>
    <w:unhideWhenUsed/>
    <w:qFormat/>
    <w:uiPriority w:val="99"/>
    <w:pPr>
      <w:spacing w:after="120"/>
      <w:ind w:left="420" w:leftChars="200"/>
    </w:pPr>
    <w:rPr>
      <w:rFonts w:ascii="Calibri" w:hAnsi="Calibri" w:cs="Times New Roman"/>
      <w:kern w:val="0"/>
      <w:szCs w:val="20"/>
    </w:rPr>
  </w:style>
  <w:style w:type="paragraph" w:styleId="10">
    <w:name w:val="toc 3"/>
    <w:basedOn w:val="1"/>
    <w:next w:val="1"/>
    <w:semiHidden/>
    <w:unhideWhenUsed/>
    <w:qFormat/>
    <w:uiPriority w:val="39"/>
    <w:pPr>
      <w:ind w:left="840" w:leftChars="400"/>
    </w:pPr>
  </w:style>
  <w:style w:type="paragraph" w:styleId="11">
    <w:name w:val="Balloon Text"/>
    <w:basedOn w:val="1"/>
    <w:link w:val="36"/>
    <w:semiHidden/>
    <w:unhideWhenUsed/>
    <w:qFormat/>
    <w:uiPriority w:val="99"/>
    <w:rPr>
      <w:sz w:val="18"/>
      <w:szCs w:val="18"/>
    </w:rPr>
  </w:style>
  <w:style w:type="paragraph" w:styleId="12">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rPr>
      <w:rFonts w:ascii="Times New Roman" w:hAnsi="Times New Roman" w:eastAsia="宋体" w:cs="Times New Roman"/>
    </w:rPr>
  </w:style>
  <w:style w:type="paragraph" w:styleId="14">
    <w:name w:val="toc 2"/>
    <w:basedOn w:val="1"/>
    <w:next w:val="1"/>
    <w:semiHidden/>
    <w:unhideWhenUsed/>
    <w:qFormat/>
    <w:uiPriority w:val="39"/>
    <w:pPr>
      <w:ind w:left="420" w:leftChars="200"/>
    </w:pPr>
  </w:style>
  <w:style w:type="paragraph" w:styleId="15">
    <w:name w:val="Normal (Web)"/>
    <w:basedOn w:val="1"/>
    <w:semiHidden/>
    <w:unhideWhenUsed/>
    <w:qFormat/>
    <w:uiPriority w:val="99"/>
    <w:pPr>
      <w:spacing w:before="0" w:beforeAutospacing="1" w:after="0" w:afterAutospacing="1"/>
      <w:ind w:left="0" w:right="0"/>
      <w:jc w:val="left"/>
    </w:pPr>
    <w:rPr>
      <w:kern w:val="0"/>
      <w:sz w:val="14"/>
      <w:szCs w:val="14"/>
      <w:lang w:val="en-US" w:eastAsia="zh-CN" w:bidi="ar"/>
    </w:rPr>
  </w:style>
  <w:style w:type="paragraph" w:styleId="16">
    <w:name w:val="annotation subject"/>
    <w:basedOn w:val="7"/>
    <w:next w:val="7"/>
    <w:link w:val="38"/>
    <w:semiHidden/>
    <w:unhideWhenUsed/>
    <w:qFormat/>
    <w:uiPriority w:val="99"/>
    <w:rPr>
      <w:b/>
      <w:bCs/>
    </w:rPr>
  </w:style>
  <w:style w:type="paragraph" w:styleId="17">
    <w:name w:val="Body Text First Indent"/>
    <w:basedOn w:val="8"/>
    <w:semiHidden/>
    <w:unhideWhenUsed/>
    <w:qFormat/>
    <w:uiPriority w:val="99"/>
    <w:pPr>
      <w:ind w:firstLine="420" w:firstLineChars="100"/>
    </w:pPr>
  </w:style>
  <w:style w:type="paragraph" w:styleId="18">
    <w:name w:val="Body Text First Indent 2"/>
    <w:basedOn w:val="9"/>
    <w:next w:val="1"/>
    <w:unhideWhenUsed/>
    <w:qFormat/>
    <w:uiPriority w:val="0"/>
    <w:pPr>
      <w:ind w:firstLine="420"/>
    </w:p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2">
    <w:name w:val="Strong"/>
    <w:basedOn w:val="21"/>
    <w:qFormat/>
    <w:uiPriority w:val="0"/>
    <w:rPr>
      <w:b/>
      <w:bCs/>
    </w:rPr>
  </w:style>
  <w:style w:type="character" w:styleId="23">
    <w:name w:val="FollowedHyperlink"/>
    <w:basedOn w:val="21"/>
    <w:semiHidden/>
    <w:unhideWhenUsed/>
    <w:qFormat/>
    <w:uiPriority w:val="99"/>
    <w:rPr>
      <w:color w:val="000000"/>
      <w:u w:val="none"/>
    </w:rPr>
  </w:style>
  <w:style w:type="character" w:styleId="24">
    <w:name w:val="Emphasis"/>
    <w:basedOn w:val="21"/>
    <w:qFormat/>
    <w:uiPriority w:val="20"/>
  </w:style>
  <w:style w:type="character" w:styleId="25">
    <w:name w:val="Hyperlink"/>
    <w:basedOn w:val="21"/>
    <w:semiHidden/>
    <w:unhideWhenUsed/>
    <w:qFormat/>
    <w:uiPriority w:val="99"/>
    <w:rPr>
      <w:color w:val="000000"/>
      <w:u w:val="none"/>
    </w:rPr>
  </w:style>
  <w:style w:type="character" w:styleId="26">
    <w:name w:val="annotation reference"/>
    <w:basedOn w:val="21"/>
    <w:semiHidden/>
    <w:unhideWhenUsed/>
    <w:qFormat/>
    <w:uiPriority w:val="99"/>
    <w:rPr>
      <w:sz w:val="21"/>
      <w:szCs w:val="21"/>
    </w:rPr>
  </w:style>
  <w:style w:type="character" w:customStyle="1" w:styleId="27">
    <w:name w:val="页眉 Char"/>
    <w:basedOn w:val="21"/>
    <w:link w:val="12"/>
    <w:qFormat/>
    <w:uiPriority w:val="99"/>
    <w:rPr>
      <w:sz w:val="18"/>
      <w:szCs w:val="18"/>
    </w:rPr>
  </w:style>
  <w:style w:type="character" w:customStyle="1" w:styleId="28">
    <w:name w:val="页脚 Char"/>
    <w:basedOn w:val="21"/>
    <w:link w:val="2"/>
    <w:qFormat/>
    <w:uiPriority w:val="99"/>
    <w:rPr>
      <w:sz w:val="18"/>
      <w:szCs w:val="18"/>
    </w:rPr>
  </w:style>
  <w:style w:type="character" w:customStyle="1" w:styleId="29">
    <w:name w:val="font41"/>
    <w:basedOn w:val="21"/>
    <w:qFormat/>
    <w:uiPriority w:val="0"/>
    <w:rPr>
      <w:rFonts w:ascii="仿宋_GB2312" w:eastAsia="仿宋_GB2312" w:cs="仿宋_GB2312"/>
      <w:color w:val="000000"/>
      <w:sz w:val="24"/>
      <w:szCs w:val="24"/>
      <w:u w:val="none"/>
    </w:rPr>
  </w:style>
  <w:style w:type="character" w:customStyle="1" w:styleId="30">
    <w:name w:val="标题 1 Char"/>
    <w:basedOn w:val="21"/>
    <w:link w:val="3"/>
    <w:qFormat/>
    <w:uiPriority w:val="9"/>
    <w:rPr>
      <w:rFonts w:eastAsia="仿宋"/>
      <w:b/>
      <w:bCs/>
      <w:kern w:val="44"/>
      <w:sz w:val="32"/>
      <w:szCs w:val="44"/>
    </w:rPr>
  </w:style>
  <w:style w:type="character" w:customStyle="1" w:styleId="31">
    <w:name w:val="标题 2 Char"/>
    <w:basedOn w:val="21"/>
    <w:link w:val="4"/>
    <w:qFormat/>
    <w:uiPriority w:val="9"/>
    <w:rPr>
      <w:rFonts w:eastAsia="仿宋" w:asciiTheme="majorHAnsi" w:hAnsiTheme="majorHAnsi" w:cstheme="majorBidi"/>
      <w:bCs/>
      <w:sz w:val="32"/>
      <w:szCs w:val="32"/>
    </w:rPr>
  </w:style>
  <w:style w:type="paragraph" w:styleId="32">
    <w:name w:val="List Paragraph"/>
    <w:basedOn w:val="1"/>
    <w:qFormat/>
    <w:uiPriority w:val="34"/>
    <w:pPr>
      <w:ind w:firstLine="420" w:firstLineChars="200"/>
    </w:pPr>
  </w:style>
  <w:style w:type="paragraph" w:customStyle="1" w:styleId="33">
    <w:name w:val="WPSOffice手动目录 1"/>
    <w:qFormat/>
    <w:uiPriority w:val="0"/>
    <w:rPr>
      <w:rFonts w:asciiTheme="minorHAnsi" w:hAnsiTheme="minorHAnsi" w:eastAsiaTheme="minorEastAsia" w:cstheme="minorBidi"/>
      <w:lang w:val="en-US" w:eastAsia="zh-CN" w:bidi="ar-SA"/>
    </w:rPr>
  </w:style>
  <w:style w:type="paragraph" w:customStyle="1" w:styleId="34">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5">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36">
    <w:name w:val="批注框文本 Char"/>
    <w:basedOn w:val="21"/>
    <w:link w:val="11"/>
    <w:semiHidden/>
    <w:qFormat/>
    <w:uiPriority w:val="99"/>
    <w:rPr>
      <w:kern w:val="2"/>
      <w:sz w:val="18"/>
      <w:szCs w:val="18"/>
    </w:rPr>
  </w:style>
  <w:style w:type="character" w:customStyle="1" w:styleId="37">
    <w:name w:val="批注文字 Char"/>
    <w:basedOn w:val="21"/>
    <w:link w:val="7"/>
    <w:semiHidden/>
    <w:qFormat/>
    <w:uiPriority w:val="99"/>
    <w:rPr>
      <w:kern w:val="2"/>
      <w:sz w:val="21"/>
      <w:szCs w:val="24"/>
    </w:rPr>
  </w:style>
  <w:style w:type="character" w:customStyle="1" w:styleId="38">
    <w:name w:val="批注主题 Char"/>
    <w:basedOn w:val="37"/>
    <w:link w:val="16"/>
    <w:semiHidden/>
    <w:qFormat/>
    <w:uiPriority w:val="99"/>
    <w:rPr>
      <w:b/>
      <w:bCs/>
      <w:kern w:val="2"/>
      <w:sz w:val="21"/>
      <w:szCs w:val="24"/>
    </w:rPr>
  </w:style>
  <w:style w:type="paragraph" w:customStyle="1" w:styleId="39">
    <w:name w:val="闻政表"/>
    <w:basedOn w:val="1"/>
    <w:qFormat/>
    <w:uiPriority w:val="99"/>
    <w:pPr>
      <w:spacing w:before="60" w:after="60"/>
      <w:jc w:val="center"/>
    </w:pPr>
    <w:rPr>
      <w:rFonts w:ascii="Times New Roman" w:hAnsi="Times New Roman" w:eastAsia="仿宋_GB2312"/>
      <w:b/>
      <w:kern w:val="0"/>
      <w:sz w:val="24"/>
      <w:szCs w:val="28"/>
    </w:rPr>
  </w:style>
  <w:style w:type="paragraph" w:customStyle="1" w:styleId="40">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41">
    <w:name w:val="_Style 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19302</Words>
  <Characters>20141</Characters>
  <Lines>79</Lines>
  <Paragraphs>22</Paragraphs>
  <TotalTime>14</TotalTime>
  <ScaleCrop>false</ScaleCrop>
  <LinksUpToDate>false</LinksUpToDate>
  <CharactersWithSpaces>20490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2019-11-08T05:25:00Z</dcterms:created>
  <dc:creator>jc</dc:creator>
  <cp:lastModifiedBy>Lenovo</cp:lastModifiedBy>
  <cp:lastPrinted>2022-09-13T10:54:00Z</cp:lastPrinted>
  <dcterms:modified xsi:type="dcterms:W3CDTF">2023-11-04T06:02:16Z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E866F85B38204106A602E10D9B659C3C</vt:lpwstr>
  </property>
</Properties>
</file>