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 w:hint="eastAsia"/>
          <w:b/>
          <w:bCs/>
          <w:color w:val="101010"/>
          <w:sz w:val="44"/>
          <w:szCs w:val="44"/>
        </w:rPr>
      </w:pPr>
      <w:r>
        <w:rPr>
          <w:rFonts w:ascii="黑体" w:eastAsia="黑体" w:cs="Arial"/>
          <w:b/>
          <w:bCs/>
          <w:color w:val="101010"/>
          <w:sz w:val="44"/>
          <w:szCs w:val="44"/>
        </w:rPr>
        <w:t>疏附县</w:t>
      </w: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2015年转移支付补助</w:t>
      </w: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收入</w:t>
      </w: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情况说明</w:t>
      </w:r>
    </w:p>
    <w:p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 w:hint="eastAsia"/>
          <w:b/>
          <w:bCs/>
          <w:color w:val="101010"/>
          <w:sz w:val="39"/>
          <w:szCs w:val="39"/>
        </w:rPr>
        <w:t xml:space="preserve"> </w:t>
      </w:r>
    </w:p>
    <w:p>
      <w:pPr>
        <w:shd w:val="clear" w:color="auto" w:fill="FFFFFF"/>
        <w:adjustRightInd/>
        <w:snapToGrid/>
        <w:spacing w:after="0" w:line="640" w:lineRule="exact"/>
        <w:ind w:firstLineChars="197" w:firstLine="662"/>
        <w:rPr>
          <w:rFonts w:ascii="宋体" w:eastAsia="宋体" w:cs="宋体"/>
          <w:color w:val="101010"/>
          <w:sz w:val="24"/>
          <w:szCs w:val="24"/>
        </w:rPr>
      </w:pP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2015年上级核定我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县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247923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 xml:space="preserve">万元，其中: </w:t>
      </w:r>
    </w:p>
    <w:p>
      <w:pPr>
        <w:shd w:val="clear" w:color="auto" w:fill="FFFFFF"/>
        <w:adjustRightInd/>
        <w:snapToGrid/>
        <w:spacing w:after="0" w:line="640" w:lineRule="exact"/>
        <w:ind w:firstLineChars="197" w:firstLine="662"/>
        <w:rPr>
          <w:rFonts w:ascii="宋体" w:eastAsia="宋体" w:cs="宋体"/>
          <w:color w:val="101010"/>
          <w:sz w:val="24"/>
          <w:szCs w:val="24"/>
        </w:rPr>
      </w:pP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1.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一般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公共预算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转移性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247318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万元：税收返还收入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651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万元，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体制补助收入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4430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均衡性转移支付收入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33145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革命老区及民族和边境地区转移支付收入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1599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县级基本财力保障机制奖补资金收入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7355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结算补助收入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525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义务教育等转移支付收入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9087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基本养老保险和低保等转移支付收入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11208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农村综合改革转移支付收入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1963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 xml:space="preserve">    产粮(油)大县奖励资金收入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1648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重点生态功能区转移支付收入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4858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固定数额补助收入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48486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元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；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专项转移支付收入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122363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万元。</w:t>
      </w:r>
    </w:p>
    <w:p>
      <w:pPr>
        <w:shd w:val="clear" w:color="auto" w:fill="FFFFFF"/>
        <w:adjustRightInd/>
        <w:snapToGrid/>
        <w:spacing w:line="640" w:lineRule="exact"/>
        <w:ind w:firstLineChars="197" w:firstLine="662"/>
        <w:rPr>
          <w:rFonts w:ascii="宋体" w:eastAsia="宋体" w:cs="宋体"/>
          <w:color w:val="101010"/>
          <w:sz w:val="24"/>
          <w:szCs w:val="24"/>
        </w:rPr>
      </w:pP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2.政府性基金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转移性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605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万元：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政府性基金上级补助收入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605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万元。</w:t>
      </w:r>
    </w:p>
    <w:p>
      <w:pPr>
        <w:spacing w:line="560" w:lineRule="exact"/>
        <w:rPr>
          <w:rFonts w:hint="eastAsia"/>
        </w:rPr>
      </w:pPr>
    </w:p>
    <w:p/>
    <w:sectPr>
      <w:pgSz w:w="11906" w:h="16838"/>
      <w:pgMar w:top="1440" w:right="1800" w:bottom="1440" w:left="1800" w:header="708" w:footer="708" w:gutter="0"/>
      <w:pgNumType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Tahoma">
    <w:panose1 w:val="020B0604030504040204"/>
    <w:charset w:val="00"/>
    <w:family w:val="auto"/>
    <w:pitch w:val="variable"/>
    <w:sig w:usb0="61007A87" w:usb1="80000000" w:usb2="00000008" w:usb3="00000000" w:csb0="200101FF" w:csb1="20280000"/>
  </w:font>
  <w:font w:name="微软雅黑">
    <w:panose1 w:val="020B0503020204020204"/>
    <w:charset w:val="86"/>
    <w:family w:val="auto"/>
    <w:pitch w:val="variable"/>
    <w:sig w:usb0="80000287" w:usb1="2A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doNotSuppressIndentatio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/>
    </w:pPr>
    <w:rPr>
      <w:rFonts w:ascii="Tahoma" w:eastAsia="微软雅黑" w:cs="Times New Roman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136</TotalTime>
  <Application>Yozo_Office</Application>
  <Pages>1</Pages>
  <Words>276</Words>
  <Characters>340</Characters>
  <Lines>16</Lines>
  <Paragraphs>4</Paragraphs>
  <CharactersWithSpaces>346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微软用户</dc:creator>
  <cp:lastModifiedBy>微软用户</cp:lastModifiedBy>
  <cp:revision>1</cp:revision>
  <dcterms:created xsi:type="dcterms:W3CDTF">2016-10-12T05:59:32Z</dcterms:created>
  <dcterms:modified xsi:type="dcterms:W3CDTF">2016-10-12T08:16:27Z</dcterms:modified>
</cp:coreProperties>
</file>