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疏附县GAJ视频图像侦查大队采购专用技术装备项目</w:t>
      </w:r>
      <w:r>
        <w:rPr>
          <w:rFonts w:hint="eastAsia" w:ascii="宋体" w:hAnsi="宋体" w:eastAsia="宋体" w:cs="宋体"/>
          <w:b/>
          <w:bCs/>
          <w:kern w:val="2"/>
          <w:sz w:val="40"/>
          <w:szCs w:val="40"/>
          <w:highlight w:val="none"/>
          <w:lang w:val="en-US" w:eastAsia="zh-CN" w:bidi="ar-SA"/>
        </w:rPr>
        <w:t>采购公告KSSFX(GK)202</w:t>
      </w:r>
      <w:r>
        <w:rPr>
          <w:rFonts w:hint="eastAsia" w:ascii="宋体" w:hAnsi="宋体" w:cs="宋体"/>
          <w:b/>
          <w:bCs/>
          <w:kern w:val="2"/>
          <w:sz w:val="40"/>
          <w:szCs w:val="40"/>
          <w:highlight w:val="none"/>
          <w:lang w:val="en-US" w:eastAsia="zh-CN" w:bidi="ar-SA"/>
        </w:rPr>
        <w:t>4</w:t>
      </w:r>
      <w:r>
        <w:rPr>
          <w:rFonts w:hint="eastAsia" w:ascii="宋体" w:hAnsi="宋体" w:eastAsia="宋体" w:cs="宋体"/>
          <w:b/>
          <w:bCs/>
          <w:kern w:val="2"/>
          <w:sz w:val="40"/>
          <w:szCs w:val="40"/>
          <w:highlight w:val="none"/>
          <w:lang w:val="en-US" w:eastAsia="zh-CN" w:bidi="ar-SA"/>
        </w:rPr>
        <w:t>-</w:t>
      </w:r>
      <w:r>
        <w:rPr>
          <w:rFonts w:hint="eastAsia" w:ascii="宋体" w:hAnsi="宋体" w:cs="宋体"/>
          <w:b/>
          <w:bCs/>
          <w:kern w:val="2"/>
          <w:sz w:val="40"/>
          <w:szCs w:val="40"/>
          <w:highlight w:val="none"/>
          <w:lang w:val="en-US" w:eastAsia="zh-CN" w:bidi="ar-SA"/>
        </w:rPr>
        <w:t>08</w:t>
      </w:r>
      <w:r>
        <w:rPr>
          <w:rFonts w:hint="eastAsia" w:ascii="宋体" w:hAnsi="宋体" w:eastAsia="宋体" w:cs="宋体"/>
          <w:b/>
          <w:bCs/>
          <w:kern w:val="2"/>
          <w:sz w:val="40"/>
          <w:szCs w:val="40"/>
          <w:highlight w:val="none"/>
          <w:lang w:val="en-US" w:eastAsia="zh-CN" w:bidi="ar-SA"/>
        </w:rPr>
        <w:t>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疏附县GAJ视频图像侦查大队采购专用技术装备项目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2024年4月18日11：00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4"/>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themeColor="text1"/>
          <w:sz w:val="28"/>
          <w:szCs w:val="24"/>
        </w:rPr>
      </w:pPr>
      <w:r>
        <w:rPr>
          <w:rFonts w:hint="eastAsia" w:ascii="仿宋" w:hAnsi="仿宋" w:eastAsia="仿宋" w:cs="仿宋"/>
          <w:b/>
          <w:bCs/>
          <w:color w:val="000000" w:themeColor="text1"/>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eastAsia="宋体" w:cs="宋体"/>
          <w:b w:val="0"/>
          <w:bCs w:val="0"/>
          <w:color w:val="00B0F0"/>
          <w:sz w:val="24"/>
          <w:highlight w:val="none"/>
          <w:lang w:val="en-US" w:eastAsia="zh-CN"/>
        </w:rPr>
        <w:t>KSSFX(GK)202</w:t>
      </w:r>
      <w:r>
        <w:rPr>
          <w:rFonts w:hint="eastAsia" w:ascii="宋体" w:hAnsi="宋体" w:cs="宋体"/>
          <w:b w:val="0"/>
          <w:bCs w:val="0"/>
          <w:color w:val="00B0F0"/>
          <w:sz w:val="24"/>
          <w:highlight w:val="none"/>
          <w:lang w:val="en-US" w:eastAsia="zh-CN"/>
        </w:rPr>
        <w:t>4</w:t>
      </w:r>
      <w:r>
        <w:rPr>
          <w:rFonts w:hint="eastAsia" w:ascii="宋体" w:hAnsi="宋体" w:eastAsia="宋体" w:cs="宋体"/>
          <w:b w:val="0"/>
          <w:bCs w:val="0"/>
          <w:color w:val="00B0F0"/>
          <w:sz w:val="24"/>
          <w:highlight w:val="none"/>
          <w:lang w:val="en-US" w:eastAsia="zh-CN"/>
        </w:rPr>
        <w:t>-</w:t>
      </w:r>
      <w:r>
        <w:rPr>
          <w:rFonts w:hint="eastAsia" w:ascii="宋体" w:hAnsi="宋体" w:cs="宋体"/>
          <w:b w:val="0"/>
          <w:bCs w:val="0"/>
          <w:color w:val="00B0F0"/>
          <w:sz w:val="24"/>
          <w:highlight w:val="none"/>
          <w:lang w:val="en-US" w:eastAsia="zh-CN"/>
        </w:rPr>
        <w:t>08</w:t>
      </w:r>
      <w:r>
        <w:rPr>
          <w:rFonts w:hint="eastAsia" w:ascii="宋体" w:hAnsi="宋体" w:eastAsia="宋体" w:cs="宋体"/>
          <w:b w:val="0"/>
          <w:bCs w:val="0"/>
          <w:color w:val="00B0F0"/>
          <w:sz w:val="24"/>
          <w:highlight w:val="none"/>
          <w:lang w:val="en-US" w:eastAsia="zh-CN"/>
        </w:rPr>
        <w:t>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cs="宋体"/>
          <w:b w:val="0"/>
          <w:bCs w:val="0"/>
          <w:color w:val="00B0F0"/>
          <w:sz w:val="24"/>
          <w:highlight w:val="none"/>
          <w:lang w:val="en-US" w:eastAsia="zh-CN"/>
        </w:rPr>
        <w:t>疏附县GAJ视频图像侦查大队采购专用技术装备项目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cs="宋体"/>
          <w:b w:val="0"/>
          <w:bCs w:val="0"/>
          <w:color w:val="00B0F0"/>
          <w:kern w:val="2"/>
          <w:sz w:val="24"/>
          <w:szCs w:val="22"/>
          <w:highlight w:val="none"/>
          <w:lang w:val="en-US" w:eastAsia="zh-CN" w:bidi="ar-SA"/>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kern w:val="2"/>
          <w:sz w:val="24"/>
          <w:szCs w:val="22"/>
          <w:highlight w:val="none"/>
          <w:lang w:val="en-US" w:eastAsia="zh-CN" w:bidi="ar-SA"/>
        </w:rPr>
        <w:t>113.2万元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pStyle w:val="23"/>
        <w:spacing w:line="560" w:lineRule="exact"/>
        <w:ind w:firstLine="600"/>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采购视频现勘采集设备、离线版视频检索分析设备、专业影像分析处理一体化设备和视频侦查专用四旋翼无人机一批，预算价：</w:t>
      </w:r>
      <w:r>
        <w:rPr>
          <w:rFonts w:hint="eastAsia" w:ascii="宋体" w:hAnsi="宋体" w:cs="宋体"/>
          <w:b w:val="0"/>
          <w:bCs w:val="0"/>
          <w:color w:val="00B0F0"/>
          <w:kern w:val="2"/>
          <w:sz w:val="24"/>
          <w:szCs w:val="22"/>
          <w:highlight w:val="none"/>
          <w:lang w:val="en-US" w:eastAsia="zh-CN" w:bidi="ar-SA"/>
        </w:rPr>
        <w:t>113.2</w:t>
      </w:r>
      <w:r>
        <w:rPr>
          <w:rFonts w:hint="eastAsia" w:ascii="宋体" w:hAnsi="宋体" w:eastAsia="宋体" w:cs="宋体"/>
          <w:b w:val="0"/>
          <w:bCs w:val="0"/>
          <w:color w:val="00B0F0"/>
          <w:kern w:val="2"/>
          <w:sz w:val="24"/>
          <w:szCs w:val="22"/>
          <w:highlight w:val="none"/>
          <w:lang w:val="en-US" w:eastAsia="zh-CN" w:bidi="ar-SA"/>
        </w:rPr>
        <w:t>万元。</w:t>
      </w:r>
    </w:p>
    <w:p>
      <w:pPr>
        <w:pStyle w:val="9"/>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kinsoku/>
        <w:wordWrap/>
        <w:overflowPunct/>
        <w:topLinePunct w:val="0"/>
        <w:bidi w:val="0"/>
        <w:snapToGrid/>
        <w:spacing w:line="500" w:lineRule="exact"/>
        <w:ind w:firstLine="220" w:firstLineChars="100"/>
        <w:textAlignment w:val="auto"/>
        <w:rPr>
          <w:rFonts w:hint="eastAsia" w:ascii="宋体" w:hAnsi="宋体" w:eastAsia="宋体" w:cs="宋体"/>
          <w:b w:val="0"/>
          <w:bCs w:val="0"/>
          <w:color w:val="00B0F0"/>
          <w:kern w:val="2"/>
          <w:sz w:val="24"/>
          <w:szCs w:val="22"/>
          <w:highlight w:val="none"/>
          <w:lang w:val="en-US" w:eastAsia="zh-CN" w:bidi="ar-SA"/>
        </w:rPr>
      </w:pPr>
      <w:r>
        <w:rPr>
          <w:rFonts w:hint="eastAsia" w:eastAsia="宋体" w:cs="宋体"/>
          <w:kern w:val="0"/>
          <w:sz w:val="22"/>
          <w:szCs w:val="18"/>
          <w:lang w:val="en-US" w:eastAsia="zh-CN"/>
        </w:rPr>
        <w:t>6.资金来源：</w:t>
      </w:r>
      <w:r>
        <w:rPr>
          <w:rFonts w:hint="eastAsia" w:ascii="宋体" w:hAnsi="宋体" w:eastAsia="宋体" w:cs="宋体"/>
          <w:b w:val="0"/>
          <w:bCs w:val="0"/>
          <w:color w:val="00B0F0"/>
          <w:kern w:val="2"/>
          <w:sz w:val="24"/>
          <w:szCs w:val="22"/>
          <w:highlight w:val="none"/>
          <w:lang w:val="en-US" w:eastAsia="zh-CN" w:bidi="ar-SA"/>
        </w:rPr>
        <w:t>2023年装备经费</w:t>
      </w:r>
    </w:p>
    <w:p>
      <w:pPr>
        <w:keepNext w:val="0"/>
        <w:keepLines w:val="0"/>
        <w:pageBreakBefore w:val="0"/>
        <w:kinsoku/>
        <w:wordWrap/>
        <w:overflowPunct/>
        <w:topLinePunct w:val="0"/>
        <w:bidi w:val="0"/>
        <w:snapToGrid/>
        <w:spacing w:line="500" w:lineRule="exact"/>
        <w:ind w:firstLine="220" w:firstLineChars="100"/>
        <w:textAlignment w:val="auto"/>
        <w:rPr>
          <w:rFonts w:hint="eastAsia" w:eastAsia="宋体" w:cs="宋体"/>
          <w:kern w:val="0"/>
          <w:sz w:val="22"/>
          <w:szCs w:val="18"/>
          <w:lang w:val="en-US" w:eastAsia="zh-CN"/>
        </w:rPr>
      </w:pPr>
      <w:r>
        <w:rPr>
          <w:rFonts w:hint="eastAsia" w:eastAsia="宋体" w:cs="宋体"/>
          <w:kern w:val="0"/>
          <w:sz w:val="22"/>
          <w:szCs w:val="18"/>
          <w:lang w:val="en-US" w:eastAsia="zh-CN"/>
        </w:rPr>
        <w:t>7.</w:t>
      </w:r>
      <w:r>
        <w:rPr>
          <w:rFonts w:hint="eastAsia" w:eastAsia="宋体" w:cs="宋体"/>
          <w:kern w:val="0"/>
          <w:sz w:val="22"/>
          <w:szCs w:val="18"/>
        </w:rPr>
        <w:t>本项目不接受联合体投标。</w:t>
      </w:r>
    </w:p>
    <w:p>
      <w:pPr>
        <w:pStyle w:val="14"/>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35393799"/>
      <w:bookmarkStart w:id="1" w:name="_Toc28359090"/>
      <w:bookmarkStart w:id="2" w:name="_Toc28359013"/>
      <w:bookmarkStart w:id="3" w:name="_Toc35393630"/>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14"/>
        <w:keepNext w:val="0"/>
        <w:keepLines w:val="0"/>
        <w:pageBreakBefore w:val="0"/>
        <w:kinsoku/>
        <w:wordWrap/>
        <w:overflowPunct/>
        <w:topLinePunct w:val="0"/>
        <w:bidi w:val="0"/>
        <w:snapToGrid/>
        <w:spacing w:line="500" w:lineRule="exact"/>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14"/>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28</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17</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82"/>
      <w:bookmarkStart w:id="5" w:name="_Toc28359005"/>
      <w:bookmarkStart w:id="6" w:name="_Toc9047"/>
      <w:bookmarkStart w:id="7" w:name="_Toc2422"/>
      <w:bookmarkStart w:id="8" w:name="_Toc35393624"/>
      <w:bookmarkStart w:id="9" w:name="_Toc2532"/>
      <w:bookmarkStart w:id="10" w:name="_Toc952"/>
      <w:bookmarkStart w:id="11" w:name="_Toc35393793"/>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28359084"/>
      <w:bookmarkStart w:id="13" w:name="_Toc35393625"/>
      <w:bookmarkStart w:id="14" w:name="_Toc28359007"/>
      <w:bookmarkStart w:id="15" w:name="_Toc3539379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18</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18</w:t>
      </w:r>
      <w:bookmarkStart w:id="31" w:name="_GoBack"/>
      <w:bookmarkEnd w:id="31"/>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23672"/>
      <w:bookmarkStart w:id="17" w:name="_Toc30400"/>
      <w:bookmarkStart w:id="18" w:name="_Toc20863"/>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28359017"/>
      <w:bookmarkStart w:id="20" w:name="_Toc28359094"/>
      <w:bookmarkStart w:id="21" w:name="_Toc35393634"/>
      <w:bookmarkStart w:id="22" w:name="_Toc35393803"/>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35393805"/>
      <w:bookmarkStart w:id="25" w:name="_Toc35393636"/>
      <w:bookmarkStart w:id="26" w:name="_Toc28359018"/>
      <w:bookmarkStart w:id="27" w:name="_Toc28359095"/>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w:t>
      </w:r>
      <w:r>
        <w:rPr>
          <w:rFonts w:hint="eastAsia" w:ascii="宋体" w:hAnsi="宋体" w:cs="宋体"/>
          <w:b w:val="0"/>
          <w:bCs w:val="0"/>
          <w:kern w:val="2"/>
          <w:sz w:val="24"/>
          <w:szCs w:val="22"/>
          <w:highlight w:val="none"/>
          <w:lang w:val="en-US" w:eastAsia="zh-CN" w:bidi="ar-SA"/>
        </w:rPr>
        <w:t>GAJ</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w:t>
      </w:r>
      <w:r>
        <w:rPr>
          <w:rFonts w:hint="eastAsia" w:ascii="宋体" w:hAnsi="宋体" w:cs="宋体"/>
          <w:b w:val="0"/>
          <w:bCs w:val="0"/>
          <w:kern w:val="2"/>
          <w:sz w:val="24"/>
          <w:szCs w:val="22"/>
          <w:highlight w:val="none"/>
          <w:lang w:val="en-US" w:eastAsia="zh-CN" w:bidi="ar-SA"/>
        </w:rPr>
        <w:t>GAJ</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8359009"/>
      <w:bookmarkStart w:id="29" w:name="_Toc27055"/>
      <w:bookmarkStart w:id="30" w:name="_Toc28359086"/>
      <w:r>
        <w:rPr>
          <w:rFonts w:hint="eastAsia" w:ascii="宋体" w:hAnsi="宋体" w:eastAsia="宋体" w:cs="宋体"/>
          <w:b w:val="0"/>
          <w:bCs w:val="0"/>
          <w:kern w:val="2"/>
          <w:sz w:val="24"/>
          <w:szCs w:val="22"/>
          <w:highlight w:val="none"/>
          <w:lang w:val="en-US" w:eastAsia="zh-CN" w:bidi="ar-SA"/>
        </w:rPr>
        <w:t>蒲亚录 15609973129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3.采购监督部门：疏附县财政局采购办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w:t>
      </w:r>
      <w:r>
        <w:rPr>
          <w:rFonts w:hint="eastAsia" w:ascii="宋体" w:hAnsi="宋体" w:cs="宋体"/>
          <w:b w:val="0"/>
          <w:bCs w:val="0"/>
          <w:kern w:val="2"/>
          <w:sz w:val="24"/>
          <w:szCs w:val="22"/>
          <w:highlight w:val="none"/>
          <w:lang w:val="en-US" w:eastAsia="zh-CN" w:bidi="ar-SA"/>
        </w:rPr>
        <w:t>努尔阿力木</w:t>
      </w:r>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7"/>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930" w:firstLineChars="18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widowControl/>
        <w:kinsoku/>
        <w:wordWrap/>
        <w:overflowPunct/>
        <w:topLinePunct w:val="0"/>
        <w:bidi w:val="0"/>
        <w:snapToGrid/>
        <w:spacing w:before="100" w:beforeAutospacing="1" w:after="100" w:afterAutospacing="1" w:line="500" w:lineRule="exact"/>
        <w:ind w:firstLine="5200" w:firstLineChars="1926"/>
        <w:contextualSpacing/>
        <w:jc w:val="left"/>
        <w:textAlignment w:val="auto"/>
        <w:rPr>
          <w:rFonts w:hint="eastAsia" w:ascii="仿宋" w:hAnsi="仿宋" w:cs="宋体"/>
          <w:color w:val="000000"/>
          <w:kern w:val="0"/>
          <w:sz w:val="27"/>
          <w:szCs w:val="27"/>
          <w:lang w:val="en-US" w:eastAsia="zh-CN"/>
        </w:rPr>
      </w:pPr>
      <w:r>
        <w:rPr>
          <w:rFonts w:hint="eastAsia" w:ascii="仿宋" w:hAnsi="仿宋" w:cs="宋体"/>
          <w:color w:val="00B0F0"/>
          <w:kern w:val="0"/>
          <w:sz w:val="27"/>
          <w:szCs w:val="27"/>
          <w:lang w:val="en-US" w:eastAsia="zh-CN"/>
        </w:rPr>
        <w:t>2024年3月28日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5036"/>
    <w:rsid w:val="01A26280"/>
    <w:rsid w:val="020E3E06"/>
    <w:rsid w:val="025A5F10"/>
    <w:rsid w:val="02876D12"/>
    <w:rsid w:val="028B1555"/>
    <w:rsid w:val="02FD399D"/>
    <w:rsid w:val="030B2A3C"/>
    <w:rsid w:val="03393105"/>
    <w:rsid w:val="036F54DB"/>
    <w:rsid w:val="03E81B90"/>
    <w:rsid w:val="042F2ECE"/>
    <w:rsid w:val="045126D0"/>
    <w:rsid w:val="04545F3D"/>
    <w:rsid w:val="047E6816"/>
    <w:rsid w:val="04D02E71"/>
    <w:rsid w:val="05453FE3"/>
    <w:rsid w:val="056F3856"/>
    <w:rsid w:val="06193AAA"/>
    <w:rsid w:val="061E210A"/>
    <w:rsid w:val="06570368"/>
    <w:rsid w:val="06A93BDF"/>
    <w:rsid w:val="06C335B8"/>
    <w:rsid w:val="06D704EE"/>
    <w:rsid w:val="07DD30C9"/>
    <w:rsid w:val="085371EA"/>
    <w:rsid w:val="086D6C3F"/>
    <w:rsid w:val="08A91923"/>
    <w:rsid w:val="08BA15E8"/>
    <w:rsid w:val="091303AA"/>
    <w:rsid w:val="09862E1C"/>
    <w:rsid w:val="0A3A1A30"/>
    <w:rsid w:val="0A505250"/>
    <w:rsid w:val="0A90118B"/>
    <w:rsid w:val="0BBA151B"/>
    <w:rsid w:val="0BC7473F"/>
    <w:rsid w:val="0C1016B0"/>
    <w:rsid w:val="0C336CD3"/>
    <w:rsid w:val="0C737B3B"/>
    <w:rsid w:val="0C930FFD"/>
    <w:rsid w:val="0C94216C"/>
    <w:rsid w:val="0CC670AB"/>
    <w:rsid w:val="0D6945E7"/>
    <w:rsid w:val="0D793303"/>
    <w:rsid w:val="0D831128"/>
    <w:rsid w:val="0E407594"/>
    <w:rsid w:val="0E9A73C2"/>
    <w:rsid w:val="0EB96385"/>
    <w:rsid w:val="0ED6758D"/>
    <w:rsid w:val="0EEA1736"/>
    <w:rsid w:val="0F743502"/>
    <w:rsid w:val="100F7C3A"/>
    <w:rsid w:val="1023672E"/>
    <w:rsid w:val="10944070"/>
    <w:rsid w:val="10E672A6"/>
    <w:rsid w:val="11AC5CF3"/>
    <w:rsid w:val="11B30526"/>
    <w:rsid w:val="12275FFD"/>
    <w:rsid w:val="12F232D0"/>
    <w:rsid w:val="132C6625"/>
    <w:rsid w:val="13591FD4"/>
    <w:rsid w:val="13780673"/>
    <w:rsid w:val="144D4849"/>
    <w:rsid w:val="152B7DEB"/>
    <w:rsid w:val="16425464"/>
    <w:rsid w:val="165F6ECF"/>
    <w:rsid w:val="169D2A08"/>
    <w:rsid w:val="1725004C"/>
    <w:rsid w:val="17996210"/>
    <w:rsid w:val="179D7CAF"/>
    <w:rsid w:val="17EF2504"/>
    <w:rsid w:val="18073BE6"/>
    <w:rsid w:val="18221455"/>
    <w:rsid w:val="18604B97"/>
    <w:rsid w:val="18C33745"/>
    <w:rsid w:val="18DC4807"/>
    <w:rsid w:val="190855FC"/>
    <w:rsid w:val="19AC242B"/>
    <w:rsid w:val="19D41C5A"/>
    <w:rsid w:val="19EA30CF"/>
    <w:rsid w:val="1ACB5039"/>
    <w:rsid w:val="1ACF2099"/>
    <w:rsid w:val="1B5B5EB7"/>
    <w:rsid w:val="1B7816B3"/>
    <w:rsid w:val="1BA23454"/>
    <w:rsid w:val="1BBC26CD"/>
    <w:rsid w:val="1BC22936"/>
    <w:rsid w:val="1BC266DE"/>
    <w:rsid w:val="1C787B9A"/>
    <w:rsid w:val="1CC762E3"/>
    <w:rsid w:val="1CC9218A"/>
    <w:rsid w:val="1CF10155"/>
    <w:rsid w:val="1CFC4C20"/>
    <w:rsid w:val="1D0600A4"/>
    <w:rsid w:val="1D75046A"/>
    <w:rsid w:val="1E7B4F16"/>
    <w:rsid w:val="1EAD42F5"/>
    <w:rsid w:val="1F104EBC"/>
    <w:rsid w:val="1F7A2683"/>
    <w:rsid w:val="1FEC311A"/>
    <w:rsid w:val="2038626C"/>
    <w:rsid w:val="20491033"/>
    <w:rsid w:val="207907A6"/>
    <w:rsid w:val="20B47E17"/>
    <w:rsid w:val="218E68BA"/>
    <w:rsid w:val="21F23265"/>
    <w:rsid w:val="21F453A3"/>
    <w:rsid w:val="223C00C4"/>
    <w:rsid w:val="23541589"/>
    <w:rsid w:val="2364139F"/>
    <w:rsid w:val="237C2E6E"/>
    <w:rsid w:val="23915C59"/>
    <w:rsid w:val="23957A8C"/>
    <w:rsid w:val="23D71716"/>
    <w:rsid w:val="244348F9"/>
    <w:rsid w:val="244514B2"/>
    <w:rsid w:val="24E62909"/>
    <w:rsid w:val="254E083A"/>
    <w:rsid w:val="25B17D55"/>
    <w:rsid w:val="26154EB4"/>
    <w:rsid w:val="26CA707F"/>
    <w:rsid w:val="26DD7D07"/>
    <w:rsid w:val="27346607"/>
    <w:rsid w:val="27677BE9"/>
    <w:rsid w:val="277E287E"/>
    <w:rsid w:val="27AD2F28"/>
    <w:rsid w:val="27B10480"/>
    <w:rsid w:val="284D39E7"/>
    <w:rsid w:val="28543A46"/>
    <w:rsid w:val="28AE21EE"/>
    <w:rsid w:val="28E53263"/>
    <w:rsid w:val="291833E7"/>
    <w:rsid w:val="29363ABF"/>
    <w:rsid w:val="29375E3F"/>
    <w:rsid w:val="295F0773"/>
    <w:rsid w:val="29861DDA"/>
    <w:rsid w:val="29AD79D2"/>
    <w:rsid w:val="29BA133A"/>
    <w:rsid w:val="29EE5401"/>
    <w:rsid w:val="29EF4B52"/>
    <w:rsid w:val="2A036622"/>
    <w:rsid w:val="2A235043"/>
    <w:rsid w:val="2A351FC9"/>
    <w:rsid w:val="2A594549"/>
    <w:rsid w:val="2AF35595"/>
    <w:rsid w:val="2B2F3358"/>
    <w:rsid w:val="2B365FF8"/>
    <w:rsid w:val="2B3758CC"/>
    <w:rsid w:val="2B405978"/>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7B29B7"/>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331DC9"/>
    <w:rsid w:val="39613D3B"/>
    <w:rsid w:val="397B4CA3"/>
    <w:rsid w:val="398A69AF"/>
    <w:rsid w:val="39A034DE"/>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EDF3E59"/>
    <w:rsid w:val="3F080CD2"/>
    <w:rsid w:val="3F4D484B"/>
    <w:rsid w:val="3FB57D76"/>
    <w:rsid w:val="3FCB7B66"/>
    <w:rsid w:val="3FE17098"/>
    <w:rsid w:val="41D04E1F"/>
    <w:rsid w:val="41DE082E"/>
    <w:rsid w:val="420E2CDC"/>
    <w:rsid w:val="426B7481"/>
    <w:rsid w:val="428C26DD"/>
    <w:rsid w:val="428D1E0A"/>
    <w:rsid w:val="42DC400E"/>
    <w:rsid w:val="432F0495"/>
    <w:rsid w:val="43D62E74"/>
    <w:rsid w:val="4482664D"/>
    <w:rsid w:val="44B14B66"/>
    <w:rsid w:val="44D55C3B"/>
    <w:rsid w:val="44EE6034"/>
    <w:rsid w:val="456450B8"/>
    <w:rsid w:val="45951AC1"/>
    <w:rsid w:val="45BE4568"/>
    <w:rsid w:val="45F432D0"/>
    <w:rsid w:val="46302C7E"/>
    <w:rsid w:val="466915F1"/>
    <w:rsid w:val="46986E15"/>
    <w:rsid w:val="47044DA5"/>
    <w:rsid w:val="476354EE"/>
    <w:rsid w:val="477C439A"/>
    <w:rsid w:val="4791488A"/>
    <w:rsid w:val="47EE32C7"/>
    <w:rsid w:val="48270D4B"/>
    <w:rsid w:val="48395CFE"/>
    <w:rsid w:val="492D05E3"/>
    <w:rsid w:val="499A379E"/>
    <w:rsid w:val="499E06C9"/>
    <w:rsid w:val="49C251D0"/>
    <w:rsid w:val="49E8275C"/>
    <w:rsid w:val="49EB3101"/>
    <w:rsid w:val="4A020453"/>
    <w:rsid w:val="4A392FB7"/>
    <w:rsid w:val="4A5B3E39"/>
    <w:rsid w:val="4A733B19"/>
    <w:rsid w:val="4B1C0799"/>
    <w:rsid w:val="4C5C3874"/>
    <w:rsid w:val="4CDA0A74"/>
    <w:rsid w:val="4CF3569F"/>
    <w:rsid w:val="4CF80988"/>
    <w:rsid w:val="4D2E66D8"/>
    <w:rsid w:val="4D367CC9"/>
    <w:rsid w:val="4D862070"/>
    <w:rsid w:val="4DF00C0C"/>
    <w:rsid w:val="4E006B7E"/>
    <w:rsid w:val="4E212258"/>
    <w:rsid w:val="4E604181"/>
    <w:rsid w:val="4EBA754A"/>
    <w:rsid w:val="4F8564C7"/>
    <w:rsid w:val="4FD9289A"/>
    <w:rsid w:val="51085C08"/>
    <w:rsid w:val="5144296E"/>
    <w:rsid w:val="51786173"/>
    <w:rsid w:val="52F7475C"/>
    <w:rsid w:val="531D24A2"/>
    <w:rsid w:val="53D855EF"/>
    <w:rsid w:val="53E45D42"/>
    <w:rsid w:val="542A00A5"/>
    <w:rsid w:val="54880DC3"/>
    <w:rsid w:val="549332C4"/>
    <w:rsid w:val="550545BE"/>
    <w:rsid w:val="5539030F"/>
    <w:rsid w:val="553A07BD"/>
    <w:rsid w:val="55602630"/>
    <w:rsid w:val="55741347"/>
    <w:rsid w:val="55E45F53"/>
    <w:rsid w:val="55F47828"/>
    <w:rsid w:val="563672E3"/>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584615"/>
    <w:rsid w:val="5F610C91"/>
    <w:rsid w:val="5F645F89"/>
    <w:rsid w:val="5FE923B0"/>
    <w:rsid w:val="6012159E"/>
    <w:rsid w:val="612E5DFF"/>
    <w:rsid w:val="61A86601"/>
    <w:rsid w:val="61E33ADD"/>
    <w:rsid w:val="621A5025"/>
    <w:rsid w:val="62313122"/>
    <w:rsid w:val="626D61ED"/>
    <w:rsid w:val="627C1972"/>
    <w:rsid w:val="628C36F1"/>
    <w:rsid w:val="62AA7F3C"/>
    <w:rsid w:val="62F95CCE"/>
    <w:rsid w:val="631A7B2D"/>
    <w:rsid w:val="63377DF2"/>
    <w:rsid w:val="645C7B76"/>
    <w:rsid w:val="64601415"/>
    <w:rsid w:val="648D1ADE"/>
    <w:rsid w:val="65094488"/>
    <w:rsid w:val="65474383"/>
    <w:rsid w:val="65DE43E2"/>
    <w:rsid w:val="65E6594A"/>
    <w:rsid w:val="66304E17"/>
    <w:rsid w:val="6635067F"/>
    <w:rsid w:val="667B0788"/>
    <w:rsid w:val="66A45808"/>
    <w:rsid w:val="671D0DCF"/>
    <w:rsid w:val="672541AA"/>
    <w:rsid w:val="67497B13"/>
    <w:rsid w:val="675872FB"/>
    <w:rsid w:val="67AE06E9"/>
    <w:rsid w:val="687E1C5B"/>
    <w:rsid w:val="68D1663B"/>
    <w:rsid w:val="69092907"/>
    <w:rsid w:val="694D2B5B"/>
    <w:rsid w:val="694F5E7C"/>
    <w:rsid w:val="69AE2C22"/>
    <w:rsid w:val="69DA3A17"/>
    <w:rsid w:val="69E361EE"/>
    <w:rsid w:val="6A655893"/>
    <w:rsid w:val="6B0625EA"/>
    <w:rsid w:val="6B0C6D44"/>
    <w:rsid w:val="6B631FB1"/>
    <w:rsid w:val="6CD22076"/>
    <w:rsid w:val="6D2654C0"/>
    <w:rsid w:val="6DB84E84"/>
    <w:rsid w:val="6E7F06E9"/>
    <w:rsid w:val="6E9105C0"/>
    <w:rsid w:val="6E924DD7"/>
    <w:rsid w:val="6F0E45B3"/>
    <w:rsid w:val="6F2B6B28"/>
    <w:rsid w:val="6F8D1FE5"/>
    <w:rsid w:val="6FC9534B"/>
    <w:rsid w:val="70657DB3"/>
    <w:rsid w:val="70BA1EAD"/>
    <w:rsid w:val="70CE3BAA"/>
    <w:rsid w:val="70FF34FA"/>
    <w:rsid w:val="717E737E"/>
    <w:rsid w:val="7189282E"/>
    <w:rsid w:val="71E60A7F"/>
    <w:rsid w:val="72556331"/>
    <w:rsid w:val="72897D89"/>
    <w:rsid w:val="735B5E4F"/>
    <w:rsid w:val="73944E37"/>
    <w:rsid w:val="745B3B4B"/>
    <w:rsid w:val="749170EC"/>
    <w:rsid w:val="74AA2238"/>
    <w:rsid w:val="74B56491"/>
    <w:rsid w:val="74B77D7B"/>
    <w:rsid w:val="74C54072"/>
    <w:rsid w:val="74E87E1E"/>
    <w:rsid w:val="750E6C6B"/>
    <w:rsid w:val="752A4B5B"/>
    <w:rsid w:val="76B455F0"/>
    <w:rsid w:val="76DA6910"/>
    <w:rsid w:val="76DB477F"/>
    <w:rsid w:val="779E5878"/>
    <w:rsid w:val="77CD5C05"/>
    <w:rsid w:val="780E386A"/>
    <w:rsid w:val="78225C98"/>
    <w:rsid w:val="784B621C"/>
    <w:rsid w:val="787A367C"/>
    <w:rsid w:val="78AE0A29"/>
    <w:rsid w:val="78BD698D"/>
    <w:rsid w:val="78EF19D9"/>
    <w:rsid w:val="79425135"/>
    <w:rsid w:val="79905F13"/>
    <w:rsid w:val="7A150154"/>
    <w:rsid w:val="7A590ABB"/>
    <w:rsid w:val="7A8716DB"/>
    <w:rsid w:val="7A8E3CCA"/>
    <w:rsid w:val="7AE709F8"/>
    <w:rsid w:val="7BAE260E"/>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qFormat="1" w:unhideWhenUsed="0" w:uiPriority="3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2"/>
    <w:basedOn w:val="1"/>
    <w:next w:val="1"/>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8">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1"/>
    <w:autoRedefine/>
    <w:qFormat/>
    <w:uiPriority w:val="0"/>
    <w:pPr>
      <w:spacing w:line="360" w:lineRule="auto"/>
      <w:ind w:firstLine="570"/>
    </w:pPr>
    <w:rPr>
      <w:rFonts w:ascii="Times New Roman" w:hAnsi="Times New Roman"/>
      <w:sz w:val="24"/>
    </w:rPr>
  </w:style>
  <w:style w:type="paragraph" w:styleId="4">
    <w:name w:val="Body Text First Indent"/>
    <w:basedOn w:val="5"/>
    <w:autoRedefine/>
    <w:qFormat/>
    <w:uiPriority w:val="0"/>
    <w:pPr>
      <w:widowControl/>
      <w:tabs>
        <w:tab w:val="left" w:pos="567"/>
      </w:tabs>
      <w:spacing w:line="312" w:lineRule="auto"/>
      <w:ind w:firstLine="420" w:firstLineChars="100"/>
    </w:pPr>
    <w:rPr>
      <w:rFonts w:hint="eastAsia" w:ascii="微软雅黑" w:hAnsi="微软雅黑" w:eastAsia="微软雅黑" w:cs="微软雅黑"/>
      <w:szCs w:val="21"/>
    </w:rPr>
  </w:style>
  <w:style w:type="paragraph" w:styleId="5">
    <w:name w:val="Body Text"/>
    <w:basedOn w:val="1"/>
    <w:next w:val="6"/>
    <w:autoRedefine/>
    <w:qFormat/>
    <w:uiPriority w:val="0"/>
    <w:pPr>
      <w:tabs>
        <w:tab w:val="left" w:pos="567"/>
      </w:tabs>
      <w:spacing w:before="120" w:line="22" w:lineRule="atLeast"/>
    </w:pPr>
    <w:rPr>
      <w:rFonts w:ascii="宋体" w:hAnsi="宋体"/>
      <w:sz w:val="24"/>
    </w:rPr>
  </w:style>
  <w:style w:type="paragraph" w:styleId="6">
    <w:name w:val="toc 4"/>
    <w:basedOn w:val="1"/>
    <w:next w:val="1"/>
    <w:autoRedefine/>
    <w:qFormat/>
    <w:locked/>
    <w:uiPriority w:val="39"/>
    <w:pPr>
      <w:ind w:left="1260" w:leftChars="600"/>
    </w:pPr>
  </w:style>
  <w:style w:type="paragraph" w:styleId="9">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10">
    <w:name w:val="footer"/>
    <w:basedOn w:val="1"/>
    <w:link w:val="21"/>
    <w:autoRedefine/>
    <w:semiHidden/>
    <w:qFormat/>
    <w:uiPriority w:val="99"/>
    <w:pPr>
      <w:tabs>
        <w:tab w:val="center" w:pos="4153"/>
        <w:tab w:val="right" w:pos="8306"/>
      </w:tabs>
      <w:snapToGrid w:val="0"/>
      <w:jc w:val="left"/>
    </w:pPr>
    <w:rPr>
      <w:kern w:val="0"/>
      <w:sz w:val="18"/>
      <w:szCs w:val="18"/>
    </w:rPr>
  </w:style>
  <w:style w:type="paragraph" w:styleId="11">
    <w:name w:val="envelope return"/>
    <w:basedOn w:val="1"/>
    <w:autoRedefine/>
    <w:unhideWhenUsed/>
    <w:qFormat/>
    <w:uiPriority w:val="99"/>
    <w:pPr>
      <w:snapToGrid w:val="0"/>
    </w:pPr>
    <w:rPr>
      <w:rFonts w:ascii="Arial" w:hAnsi="Arial"/>
    </w:rPr>
  </w:style>
  <w:style w:type="paragraph" w:styleId="12">
    <w:name w:val="header"/>
    <w:basedOn w:val="1"/>
    <w:link w:val="20"/>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3">
    <w:name w:val="footnote text"/>
    <w:basedOn w:val="1"/>
    <w:next w:val="5"/>
    <w:autoRedefine/>
    <w:qFormat/>
    <w:uiPriority w:val="0"/>
    <w:pPr>
      <w:adjustRightInd w:val="0"/>
      <w:spacing w:line="315" w:lineRule="atLeast"/>
      <w:textAlignment w:val="baseline"/>
    </w:pPr>
    <w:rPr>
      <w:rFonts w:ascii="宋体" w:hAnsi="宋体"/>
      <w:sz w:val="18"/>
      <w:szCs w:val="18"/>
    </w:rPr>
  </w:style>
  <w:style w:type="paragraph" w:styleId="14">
    <w:name w:val="Normal (Web)"/>
    <w:basedOn w:val="1"/>
    <w:next w:val="15"/>
    <w:autoRedefine/>
    <w:qFormat/>
    <w:uiPriority w:val="0"/>
    <w:pPr>
      <w:widowControl/>
      <w:jc w:val="left"/>
    </w:pPr>
    <w:rPr>
      <w:rFonts w:ascii="宋体" w:hAnsi="宋体" w:cs="宋体"/>
      <w:kern w:val="0"/>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table" w:styleId="17">
    <w:name w:val="Table Grid"/>
    <w:basedOn w:val="1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autoRedefine/>
    <w:qFormat/>
    <w:uiPriority w:val="99"/>
    <w:rPr>
      <w:color w:val="0000FF"/>
      <w:u w:val="single"/>
    </w:rPr>
  </w:style>
  <w:style w:type="character" w:customStyle="1" w:styleId="20">
    <w:name w:val="页眉 Char"/>
    <w:basedOn w:val="18"/>
    <w:link w:val="12"/>
    <w:autoRedefine/>
    <w:semiHidden/>
    <w:qFormat/>
    <w:locked/>
    <w:uiPriority w:val="99"/>
    <w:rPr>
      <w:sz w:val="18"/>
    </w:rPr>
  </w:style>
  <w:style w:type="character" w:customStyle="1" w:styleId="21">
    <w:name w:val="页脚 Char"/>
    <w:basedOn w:val="18"/>
    <w:link w:val="10"/>
    <w:autoRedefine/>
    <w:semiHidden/>
    <w:qFormat/>
    <w:locked/>
    <w:uiPriority w:val="99"/>
    <w:rPr>
      <w:sz w:val="18"/>
    </w:rPr>
  </w:style>
  <w:style w:type="paragraph" w:customStyle="1" w:styleId="22">
    <w:name w:val="列出段落1"/>
    <w:basedOn w:val="1"/>
    <w:autoRedefine/>
    <w:qFormat/>
    <w:uiPriority w:val="99"/>
    <w:pPr>
      <w:ind w:firstLine="420" w:firstLineChars="200"/>
    </w:pPr>
  </w:style>
  <w:style w:type="paragraph" w:styleId="2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0</TotalTime>
  <ScaleCrop>false</ScaleCrop>
  <LinksUpToDate>false</LinksUpToDate>
  <CharactersWithSpaces>2603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2024-03-28T09:30:36Z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77E050DBFC2F49F0896BF07BCD3C44D2</vt:lpwstr>
  </property>
</Properties>
</file>