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/>
        </w:rPr>
        <w:t>《疏附县推行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“一站式”医疗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/>
        </w:rPr>
        <w:t>结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</w:rPr>
        <w:t>算</w:t>
      </w:r>
      <w:r>
        <w:rPr>
          <w:rFonts w:hint="eastAsia" w:ascii="方正小标宋简体" w:hAnsi="宋体" w:eastAsia="方正小标宋简体" w:cs="方正小标宋简体"/>
          <w:bCs/>
          <w:sz w:val="44"/>
          <w:szCs w:val="44"/>
          <w:lang w:val="en-US" w:eastAsia="zh-CN"/>
        </w:rPr>
        <w:t>实施方案（试行）》</w:t>
      </w:r>
      <w:r>
        <w:rPr>
          <w:rStyle w:val="5"/>
          <w:rFonts w:hint="eastAsia" w:ascii="方正小标宋简体" w:hAnsi="黑体" w:eastAsia="方正小标宋简体" w:cs="方正小标宋简体"/>
          <w:b w:val="0"/>
          <w:color w:val="000000"/>
          <w:sz w:val="44"/>
          <w:szCs w:val="44"/>
          <w:lang w:val="en-US" w:eastAsia="zh-CN"/>
        </w:rPr>
        <w:t>政策解读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仿宋_GB2312" w:hAnsi="宋体" w:eastAsia="仿宋_GB2312" w:cs="方正小标宋简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《喀什地区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推行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一站式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医疗结算实施方案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》（喀署办发〔2018〕1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号）文件要求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为最大程度简化住院报销流程、优化服务路径、方便住院患者报销，切实解决住院患者“报销难、报销慢”的问题，将涉及住院报销相关部门流程进行整合，实行住院患者医疗费用“一站式”结算便民服务，</w:t>
      </w:r>
      <w:r>
        <w:rPr>
          <w:rFonts w:hint="eastAsia" w:ascii="仿宋_GB2312" w:hAnsi="宋体" w:eastAsia="仿宋_GB2312" w:cs="方正小标宋简体"/>
          <w:bCs/>
          <w:sz w:val="32"/>
          <w:szCs w:val="32"/>
        </w:rPr>
        <w:t>优化医疗费用结算模式，</w:t>
      </w:r>
      <w:r>
        <w:rPr>
          <w:rFonts w:hint="eastAsia" w:ascii="仿宋_GB2312" w:hAnsi="宋体" w:eastAsia="仿宋_GB2312" w:cs="方正小标宋简体"/>
          <w:bCs/>
          <w:sz w:val="32"/>
          <w:szCs w:val="32"/>
          <w:lang w:val="en-US" w:eastAsia="zh-CN"/>
        </w:rPr>
        <w:t>我县已实施</w:t>
      </w:r>
      <w:r>
        <w:rPr>
          <w:rFonts w:hint="eastAsia" w:ascii="仿宋_GB2312" w:eastAsia="仿宋_GB2312"/>
          <w:sz w:val="32"/>
          <w:szCs w:val="32"/>
        </w:rPr>
        <w:t>“一站式”结算便民服务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政策解读如下。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85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以“简便易行、及时快捷、便民利民”为原则，针对住院医疗费用报销涉及部门多、程序复杂以及由此带来的额外经济负担问题，通过开展“一站式”服务，简化办理流程，缩短办理时限，增强报销时效，达到“资源共享、信息共用、集中审核、即时结算”的目标。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黑体" w:hAnsi="Times New Roman" w:eastAsia="黑体"/>
          <w:sz w:val="32"/>
          <w:szCs w:val="32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二、工作范围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全县所有参加医疗保险的城镇职工、城乡居民。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方正小标宋简体"/>
          <w:bCs/>
          <w:sz w:val="32"/>
          <w:szCs w:val="32"/>
        </w:rPr>
        <w:t>三、工作流程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(一)持卡就医</w:t>
      </w:r>
      <w:r>
        <w:rPr>
          <w:rFonts w:hint="eastAsia" w:ascii="仿宋_GB2312" w:hAnsi="宋体" w:eastAsia="仿宋_GB2312" w:cs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已参加基本医疗保险并领取社会保障卡的患者，持卡就医直接结算。未领取社会保障卡的参保患者，在乡镇、村级定点医疗机构就医的，实行“无卡就医结算”方式，输入身份证号和原新农合号就医直接结算；在县级及以上定点医疗机构就医的，可由县域内二级公立医疗机构或社会保险经办机构，制作社会保障临时卡持卡结算。费用依托医疗保险信息系统进行“一站式”即时结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(二)</w:t>
      </w:r>
      <w:r>
        <w:rPr>
          <w:rFonts w:hint="eastAsia" w:ascii="仿宋_GB2312" w:hAnsi="宋体" w:eastAsia="仿宋_GB2312"/>
          <w:b/>
          <w:sz w:val="32"/>
          <w:szCs w:val="32"/>
        </w:rPr>
        <w:t>费用结算</w:t>
      </w:r>
      <w:r>
        <w:rPr>
          <w:rFonts w:hint="eastAsia" w:ascii="仿宋_GB2312" w:hAnsi="宋体" w:eastAsia="仿宋_GB2312" w:cs="仿宋_GB2312"/>
          <w:b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定点医疗机构直接结算参保患者所发生的基本医疗保险、大病保险、民政医疗救助和深度贫困人口补充医疗保险相关费用，属于社保部门支付的费用，向社保部门报送基本医疗保险和大病保险结算单据；属于民政部门支付的费用，向民政部门报送民政医疗救助结算单据及求助单；属于深度贫困人口补充医疗保险支付的费用，向人保公司报送深度贫困人口补充医疗保险结算单据；并由上述部门支付所属费用。患者出院时只需缴个人自付费用。因非转诊转院、非异地安置未即时结算的费用，参保人员持相关资料到民政部门、人保公司经办机构窗口进行“一站式”报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仿宋_GB2312" w:hAnsi="宋体" w:eastAsia="仿宋_GB2312" w:cs="仿宋_GB2312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 xml:space="preserve"> (三)身份标识。</w:t>
      </w:r>
      <w:r>
        <w:rPr>
          <w:rFonts w:hint="eastAsia" w:ascii="仿宋_GB2312" w:hAnsi="宋体" w:eastAsia="仿宋_GB2312" w:cs="仿宋_GB2312"/>
          <w:sz w:val="32"/>
          <w:szCs w:val="32"/>
        </w:rPr>
        <w:t>按照社保业务系统标识维护要求，</w:t>
      </w:r>
      <w:r>
        <w:rPr>
          <w:rFonts w:hint="eastAsia" w:ascii="仿宋_GB2312" w:hAnsi="宋体" w:eastAsia="仿宋_GB2312"/>
          <w:sz w:val="32"/>
          <w:szCs w:val="32"/>
        </w:rPr>
        <w:t>民政、扶贫部门负责将符合民政救助条件的城乡特困、城乡低保、重病重残基本信息汇总，于当年12月前提供社会保险经办机构，集中在</w:t>
      </w:r>
      <w:r>
        <w:rPr>
          <w:rFonts w:hint="eastAsia" w:ascii="仿宋_GB2312" w:hAnsi="宋体" w:eastAsia="仿宋_GB2312" w:cs="仿宋_GB2312"/>
          <w:sz w:val="32"/>
          <w:szCs w:val="32"/>
        </w:rPr>
        <w:t>社保业务系统进行标识和维护。县人保公司派驻工作人员同社保机构、民政部门共同审核。县内经办机构要将贫困人口、民政救助对象医疗费用纳入医疗服务智能监控，确定专人负责县内医疗费用审核工作。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sz w:val="32"/>
          <w:szCs w:val="32"/>
        </w:rPr>
        <w:t>(四)转诊转院。</w:t>
      </w:r>
      <w:r>
        <w:rPr>
          <w:rFonts w:hint="eastAsia" w:ascii="仿宋_GB2312" w:hAnsi="宋体" w:eastAsia="仿宋_GB2312" w:cs="仿宋_GB2312"/>
          <w:sz w:val="32"/>
          <w:szCs w:val="32"/>
        </w:rPr>
        <w:t>在县域内就诊的，要坚持基层首诊，确需转院的在县域内取消办理转院手续。因病情需转往县域外定点医疗机构诊治的，按转院规定办理。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解读部门：疏附县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办公地址：疏附县文化北路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庞鸿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jc w:val="both"/>
        <w:textAlignment w:val="auto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0998-3253702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50" w:firstLineChars="200"/>
        <w:textAlignment w:val="auto"/>
        <w:rPr>
          <w:rFonts w:hint="eastAsia" w:ascii="仿宋_GB2312" w:hAnsi="宋体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318B9"/>
    <w:rsid w:val="310912E9"/>
    <w:rsid w:val="5885000B"/>
    <w:rsid w:val="59A12775"/>
    <w:rsid w:val="791E6A86"/>
    <w:rsid w:val="7AA70F6B"/>
    <w:rsid w:val="7E3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rFonts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2021-01-09T08:03:00Z</dcterms:created>
  <dc:creator>1</dc:creator>
  <cp:lastModifiedBy>1</cp:lastModifiedBy>
  <dcterms:modified xsi:type="dcterms:W3CDTF">2023-10-14T08:25:30Z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