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疏附县2026年</w:t>
      </w:r>
      <w:r>
        <w:rPr>
          <w:rFonts w:hint="eastAsia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新车享购</w:t>
      </w:r>
      <w:r>
        <w:rPr>
          <w:rFonts w:hint="eastAsia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普惠</w:t>
      </w:r>
      <w:r>
        <w:rPr>
          <w:rFonts w:hint="eastAsia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万家</w:t>
      </w:r>
      <w:r>
        <w:rPr>
          <w:rFonts w:hint="eastAsia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  <w:lang w:val="en-US" w:eastAsia="zh-CN"/>
        </w:rPr>
        <w:t>促消费活动方案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2890" w:firstLineChars="8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20"/>
          <w:kern w:val="2"/>
          <w:sz w:val="2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20"/>
          <w:kern w:val="2"/>
          <w:sz w:val="32"/>
          <w:szCs w:val="32"/>
          <w:lang w:val="en-US" w:eastAsia="zh-CN" w:bidi="ar-SA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2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为认真贯彻落实党中央、国务院、自治区党委、喀什地委关于大力提振消费的决策部署，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</w:rPr>
        <w:t>以激发县域消费活力、稳定消费增长为核心。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根据喀什地区商务局下发的《2026年喀什地区“扩大内需 提振消费”专项行动实施方案》的文件要求，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结合疏附县实际</w:t>
      </w:r>
      <w:r>
        <w:rPr>
          <w:rFonts w:hint="eastAsia" w:ascii="Times New Roman" w:hAnsi="Times New Roman" w:cs="Times New Roman"/>
          <w:spacing w:val="20"/>
          <w:sz w:val="32"/>
          <w:szCs w:val="32"/>
          <w:lang w:val="en-US" w:eastAsia="zh-CN"/>
        </w:rPr>
        <w:t>，拟定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开展2026年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新车享购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普惠万家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促消费活动</w:t>
      </w:r>
      <w:r>
        <w:rPr>
          <w:rFonts w:hint="eastAsia" w:ascii="Times New Roman" w:hAnsi="Times New Roman" w:cs="Times New Roman"/>
          <w:spacing w:val="20"/>
          <w:sz w:val="32"/>
          <w:szCs w:val="32"/>
          <w:lang w:val="en-US" w:eastAsia="zh-CN"/>
        </w:rPr>
        <w:t>方案。</w:t>
      </w:r>
      <w:r>
        <w:rPr>
          <w:rFonts w:hint="eastAsia"/>
        </w:rPr>
        <w:t>现</w:t>
      </w:r>
      <w:r>
        <w:rPr>
          <w:rFonts w:hint="eastAsia"/>
          <w:lang w:eastAsia="zh-CN"/>
        </w:rPr>
        <w:t>就有关事项通告如下：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一、活动依据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喀什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地区下发的《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2026年喀什地区“扩大内需 提振消费”专项行动实施方案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、活动主题及名称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  <w:t>主题：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新车享购</w:t>
      </w:r>
      <w:r>
        <w:rPr>
          <w:rFonts w:hint="eastAsia" w:ascii="Times New Roman" w:hAnsi="Times New Roman" w:eastAsia="方正仿宋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普惠万家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名称：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疏附县2026年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新车享购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普惠万家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促消费活动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default" w:ascii="仿宋_GB2312" w:hAnsi="仿宋_GB2312" w:eastAsia="仿宋_GB2312" w:cs="仿宋_GB2312"/>
          <w:spacing w:val="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实施单位：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县商务和工业信息化局牵头组织实施。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 xml:space="preserve">、活动时间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cs="Times New Roman"/>
          <w:spacing w:val="2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pacing w:val="2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日—</w:t>
      </w:r>
      <w:r>
        <w:rPr>
          <w:rFonts w:hint="eastAsia" w:ascii="Times New Roman" w:hAnsi="Times New Roman" w:cs="Times New Roman"/>
          <w:spacing w:val="2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pacing w:val="2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、资金来源</w:t>
      </w:r>
      <w:r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援疆资金与疏附县本级财政统筹安排，实行专户管理、专账核算、专款专用，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200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资金来源：援疆资金、县本级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，活动结束之日起两个月内兑现至消费者。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、补贴对象及标准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eastAsia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（一）参与企业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 xml:space="preserve">辖区内经营信誉良好、管理规范、服务优质，且具备合法经营资质的汽车经销企业。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default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）补贴</w:t>
      </w:r>
      <w:r>
        <w:rPr>
          <w:rFonts w:hint="eastAsia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0" w:firstLineChars="200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活动期间在参与企业初次购买非营运乘用车的消费者。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3" w:firstLineChars="200"/>
        <w:textAlignment w:val="auto"/>
        <w:rPr>
          <w:rFonts w:hint="default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补贴标准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200"/>
        <w:textAlignment w:val="auto"/>
        <w:rPr>
          <w:rFonts w:hint="default" w:ascii="方正仿宋_GBK" w:hAnsi="方正仿宋_GBK" w:eastAsia="方正仿宋_GBK" w:cs="方正仿宋_GBK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t>按车辆价格（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eastAsia="zh-CN"/>
        </w:rPr>
        <w:t>不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t>含税）实行补贴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5%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  <w:t>给予补贴</w:t>
      </w:r>
      <w:r>
        <w:rPr>
          <w:rFonts w:hint="default" w:ascii="方正仿宋_GBK" w:hAnsi="方正仿宋_GBK" w:eastAsia="方正仿宋_GBK" w:cs="方正仿宋_GBK"/>
          <w:spacing w:val="20"/>
          <w:sz w:val="32"/>
          <w:szCs w:val="32"/>
          <w:lang w:eastAsia="zh-CN"/>
        </w:rPr>
        <w:t>，消费者至高可领取1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  <w:t>0</w:t>
      </w:r>
      <w:r>
        <w:rPr>
          <w:rFonts w:hint="default" w:ascii="方正仿宋_GBK" w:hAnsi="方正仿宋_GBK" w:eastAsia="方正仿宋_GBK" w:cs="方正仿宋_GBK"/>
          <w:spacing w:val="20"/>
          <w:sz w:val="32"/>
          <w:szCs w:val="32"/>
          <w:lang w:eastAsia="zh-CN"/>
        </w:rPr>
        <w:t>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六、职责分工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highlight w:val="none"/>
          <w:lang w:val="en-US" w:eastAsia="zh-CN"/>
        </w:rPr>
        <w:t>县委宣传部</w:t>
      </w:r>
      <w:r>
        <w:rPr>
          <w:rFonts w:hint="default" w:ascii="Times New Roman" w:hAnsi="Times New Roman" w:eastAsia="方正仿宋_GBK" w:cs="Times New Roman"/>
          <w:b/>
          <w:bCs/>
          <w:spacing w:val="2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牵头做好活动宣传推广，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通过县融媒体中心官方微信号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、抖音等新媒体平台，分阶段、多维度宣传活动政策、参与方式及成效，扩大知晓度、提升参与度，营造浓厚消费氛围。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县商务和工业信息化局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牵头统筹活动组织实施，制定细化操作流程，审核确定参与主体，督促企业提交申报材料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初审，联合公安局车管所、税务局对提交材料真实性复核，提交资金申请报告和复核材料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上会研究，研究后拨付至消费者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统计、分析活动数据，协调解决活动中的各类问题，总结活动成效。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县财政局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负责落实补贴资金预算，牵头做好资金拨付、清算及监管工作，确保资金合法合规使用。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县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市场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监督管理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局：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负责开展市场督导检查，依法打击哄抬物价、虚标价格等违法违规行为；受理消费投诉举报，维护消费者和合法经营商户的权益。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（五）县公安局：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负责配合开展购车资格核验，对消费者提供的车辆登记信息、身份证明材料进行真实性、一致性核查；协助县商务和工业信息化局、县财政局做好补贴申领环节的资格联审工作，防范冒领、骗补等风险。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（六）税务局：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负责配合开展购车发票核验，对消费者所提交的机动车销售统一发票的真实性、一致性核查；协助县商工信局、县财政局做好补贴申领环节的资格联审工作，防范冒领、骗补等风险。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3" w:firstLineChars="200"/>
        <w:textAlignment w:val="auto"/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七</w:t>
      </w:r>
      <w:r>
        <w:rPr>
          <w:rFonts w:hint="default" w:ascii="方正楷体_GBK" w:hAnsi="方正楷体_GBK" w:eastAsia="方正楷体_GBK" w:cs="方正楷体_GBK"/>
          <w:b/>
          <w:bCs/>
          <w:spacing w:val="20"/>
          <w:sz w:val="32"/>
          <w:szCs w:val="32"/>
          <w:lang w:val="en-US" w:eastAsia="zh-CN"/>
        </w:rPr>
        <w:t>）金融机构：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负责配合县商工信局、财政局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将补贴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资金拨付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eastAsia="zh-CN"/>
        </w:rPr>
        <w:t>消费者。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20"/>
          <w:sz w:val="32"/>
          <w:szCs w:val="32"/>
          <w:highlight w:val="none"/>
          <w:lang w:val="en-US" w:eastAsia="zh-CN"/>
        </w:rPr>
        <w:t>七、其他附则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自正式发布之日开始实施，有效期内如遇上级有关最新政策对涉及本政策内条款需进行调整的，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以上级政策文件为准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。本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最终解释权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归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商务和工业信息化局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  <w:highlight w:val="none"/>
          <w:lang w:val="en-US" w:eastAsia="zh-CN"/>
        </w:rPr>
        <w:t>所有。</w:t>
      </w:r>
    </w:p>
    <w:p/>
    <w:p/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B2C65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59AB2C6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7">
    <w:name w:val="Body Text First Indent"/>
    <w:basedOn w:val="5"/>
    <w:uiPriority w:val="0"/>
    <w:pPr>
      <w:ind w:firstLine="420" w:firstLineChars="100"/>
    </w:pPr>
  </w:style>
  <w:style w:type="paragraph" w:customStyle="1" w:styleId="10">
    <w:name w:val="一级标题"/>
    <w:basedOn w:val="6"/>
    <w:next w:val="7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2026-04-10T11:29:00Z</dcterms:created>
  <dc:creator>1</dc:creator>
  <cp:lastModifiedBy>1</cp:lastModifiedBy>
  <dcterms:modified xsi:type="dcterms:W3CDTF">2026-04-10T11:29:58Z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